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9EB3E">
      <w:pPr>
        <w:keepNext w:val="0"/>
        <w:keepLines w:val="0"/>
        <w:pageBreakBefore w:val="0"/>
        <w:widowControl w:val="0"/>
        <w:kinsoku/>
        <w:wordWrap/>
        <w:overflowPunct/>
        <w:autoSpaceDE/>
        <w:autoSpaceDN/>
        <w:bidi w:val="0"/>
        <w:adjustRightInd/>
        <w:snapToGrid/>
        <w:spacing w:line="560" w:lineRule="exact"/>
        <w:ind w:left="0" w:right="0" w:firstLine="420" w:firstLineChars="200"/>
        <w:jc w:val="both"/>
        <w:textAlignment w:val="auto"/>
        <w:rPr>
          <w:rFonts w:ascii="Arial"/>
          <w:color w:val="auto"/>
          <w:sz w:val="21"/>
          <w:highlight w:val="none"/>
        </w:rPr>
      </w:pPr>
    </w:p>
    <w:p w14:paraId="4442AB5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5E81A891">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05260E68">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吉阳东岸三亚迎宾路中央商务区DA02-19-02地块项目外立面门窗工程（一标段）</w:t>
      </w:r>
    </w:p>
    <w:p w14:paraId="42D59D12">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“6·23”一般触电事故调查报告</w:t>
      </w:r>
      <w:bookmarkStart w:id="0" w:name="heading_0"/>
    </w:p>
    <w:p w14:paraId="16DEEE8A">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0269DD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BBB4075">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2CE939D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6D576A71">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61F5608C">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3956D63F">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2B342B3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1E793F1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710EED0B">
      <w:pPr>
        <w:keepNext w:val="0"/>
        <w:keepLines w:val="0"/>
        <w:pageBreakBefore w:val="0"/>
        <w:widowControl w:val="0"/>
        <w:tabs>
          <w:tab w:val="left" w:pos="2505"/>
        </w:tabs>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ab/>
      </w:r>
    </w:p>
    <w:p w14:paraId="5476755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FD5DAA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54ECFCB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00FA0D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015D5B48">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color w:val="auto"/>
          <w:sz w:val="44"/>
          <w:highlight w:val="none"/>
          <w:lang w:val="en-US" w:eastAsia="zh-CN"/>
        </w:rPr>
      </w:pPr>
      <w:r>
        <w:rPr>
          <w:rFonts w:hint="eastAsia" w:ascii="方正小标宋简体" w:hAnsi="方正小标宋简体" w:eastAsia="方正小标宋简体" w:cs="方正小标宋简体"/>
          <w:color w:val="auto"/>
          <w:sz w:val="44"/>
          <w:highlight w:val="none"/>
          <w:lang w:val="en-US" w:eastAsia="zh-CN"/>
        </w:rPr>
        <w:t>吉阳区政府事故调查组</w:t>
      </w:r>
    </w:p>
    <w:p w14:paraId="7FA4F2D9">
      <w:pPr>
        <w:keepNext w:val="0"/>
        <w:keepLines w:val="0"/>
        <w:pageBreakBefore w:val="0"/>
        <w:widowControl w:val="0"/>
        <w:kinsoku/>
        <w:wordWrap/>
        <w:overflow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color w:val="auto"/>
          <w:sz w:val="44"/>
          <w:highlight w:val="none"/>
          <w:lang w:val="en-US" w:eastAsia="zh-CN"/>
        </w:rPr>
      </w:pPr>
      <w:r>
        <w:rPr>
          <w:rFonts w:hint="eastAsia" w:ascii="方正小标宋简体" w:hAnsi="方正小标宋简体" w:eastAsia="方正小标宋简体" w:cs="方正小标宋简体"/>
          <w:color w:val="auto"/>
          <w:sz w:val="44"/>
          <w:highlight w:val="none"/>
          <w:lang w:val="en-US" w:eastAsia="zh-CN"/>
        </w:rPr>
        <w:t>2026年9月22日</w:t>
      </w:r>
    </w:p>
    <w:bookmarkEnd w:id="0"/>
    <w:p w14:paraId="54BD282D">
      <w:pPr>
        <w:spacing w:before="0" w:beforeLines="0" w:after="0" w:afterLines="0" w:line="240" w:lineRule="auto"/>
        <w:ind w:left="0" w:leftChars="0" w:right="0" w:rightChars="0" w:firstLine="0" w:firstLineChars="0"/>
        <w:jc w:val="center"/>
        <w:rPr>
          <w:rFonts w:ascii="宋体" w:hAnsi="宋体" w:eastAsia="宋体" w:cstheme="minorBidi"/>
          <w:color w:val="auto"/>
          <w:kern w:val="2"/>
          <w:sz w:val="21"/>
          <w:szCs w:val="24"/>
          <w:highlight w:val="none"/>
          <w:lang w:val="en-US" w:eastAsia="zh-CN" w:bidi="ar-SA"/>
        </w:rPr>
      </w:pPr>
    </w:p>
    <w:sdt>
      <w:sdtPr>
        <w:rPr>
          <w:rFonts w:ascii="宋体" w:hAnsi="宋体" w:eastAsia="宋体" w:cstheme="minorBidi"/>
          <w:color w:val="auto"/>
          <w:kern w:val="2"/>
          <w:sz w:val="21"/>
          <w:szCs w:val="24"/>
          <w:highlight w:val="none"/>
          <w:lang w:val="en-US" w:eastAsia="zh-CN" w:bidi="ar-SA"/>
        </w:rPr>
        <w:id w:val="147459466"/>
        <w15:color w:val="DBDBDB"/>
        <w:docPartObj>
          <w:docPartGallery w:val="Table of Contents"/>
          <w:docPartUnique/>
        </w:docPartObj>
      </w:sdtPr>
      <w:sdtEndPr>
        <w:rPr>
          <w:rFonts w:ascii="宋体" w:hAnsi="宋体" w:eastAsia="宋体" w:cstheme="minorBidi"/>
          <w:color w:val="auto"/>
          <w:kern w:val="2"/>
          <w:sz w:val="21"/>
          <w:szCs w:val="24"/>
          <w:highlight w:val="none"/>
          <w:lang w:val="en-US" w:eastAsia="zh-CN" w:bidi="ar-SA"/>
        </w:rPr>
      </w:sdtEndPr>
      <w:sdtContent>
        <w:p w14:paraId="31390445">
          <w:pP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2"/>
              <w:szCs w:val="32"/>
              <w:highlight w:val="none"/>
            </w:rPr>
            <w:t>目录</w:t>
          </w:r>
        </w:p>
        <w:p w14:paraId="25771C46">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highlight w:val="none"/>
            </w:rPr>
            <w:instrText xml:space="preserve"> HYPERLINK \l _Toc1411 </w:instrText>
          </w:r>
          <w:r>
            <w:rPr>
              <w:highlight w:val="none"/>
            </w:rPr>
            <w:fldChar w:fldCharType="separate"/>
          </w:r>
          <w:r>
            <w:rPr>
              <w:rFonts w:hint="eastAsia" w:ascii="黑体" w:hAnsi="黑体" w:eastAsia="黑体" w:cs="黑体"/>
              <w:bCs w:val="0"/>
              <w:snapToGrid w:val="0"/>
              <w:kern w:val="0"/>
              <w:szCs w:val="32"/>
              <w:highlight w:val="none"/>
              <w:lang w:val="en-US" w:eastAsia="zh-CN"/>
            </w:rPr>
            <w:t>一、事故基本情况</w:t>
          </w:r>
          <w:r>
            <w:tab/>
          </w:r>
          <w:r>
            <w:fldChar w:fldCharType="begin"/>
          </w:r>
          <w:r>
            <w:instrText xml:space="preserve"> PAGEREF _Toc1411 \h </w:instrText>
          </w:r>
          <w:r>
            <w:fldChar w:fldCharType="separate"/>
          </w:r>
          <w:r>
            <w:t>4</w:t>
          </w:r>
          <w:r>
            <w:fldChar w:fldCharType="end"/>
          </w:r>
          <w:r>
            <w:rPr>
              <w:color w:val="auto"/>
              <w:highlight w:val="none"/>
            </w:rPr>
            <w:fldChar w:fldCharType="end"/>
          </w:r>
        </w:p>
        <w:p w14:paraId="79673307">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_Toc28549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（一）事故工程项目基本概况</w:t>
          </w:r>
          <w:r>
            <w:tab/>
          </w:r>
          <w:r>
            <w:fldChar w:fldCharType="begin"/>
          </w:r>
          <w:r>
            <w:instrText xml:space="preserve"> PAGEREF _Toc28549 \h </w:instrText>
          </w:r>
          <w:r>
            <w:fldChar w:fldCharType="separate"/>
          </w:r>
          <w:r>
            <w:t>4</w:t>
          </w:r>
          <w:r>
            <w:fldChar w:fldCharType="end"/>
          </w:r>
          <w:r>
            <w:rPr>
              <w:color w:val="auto"/>
              <w:highlight w:val="none"/>
            </w:rPr>
            <w:fldChar w:fldCharType="end"/>
          </w:r>
        </w:p>
        <w:p w14:paraId="49B9CBFE">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_Toc24740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（二）事故发生单位及相关单位概况</w:t>
          </w:r>
          <w:r>
            <w:tab/>
          </w:r>
          <w:r>
            <w:fldChar w:fldCharType="begin"/>
          </w:r>
          <w:r>
            <w:instrText xml:space="preserve"> PAGEREF _Toc24740 \h </w:instrText>
          </w:r>
          <w:r>
            <w:fldChar w:fldCharType="separate"/>
          </w:r>
          <w:r>
            <w:t>4</w:t>
          </w:r>
          <w:r>
            <w:fldChar w:fldCharType="end"/>
          </w:r>
          <w:r>
            <w:rPr>
              <w:color w:val="auto"/>
              <w:highlight w:val="none"/>
            </w:rPr>
            <w:fldChar w:fldCharType="end"/>
          </w:r>
        </w:p>
        <w:p w14:paraId="0068C862">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_Toc26823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（三）相关单位合同关系</w:t>
          </w:r>
          <w:r>
            <w:tab/>
          </w:r>
          <w:r>
            <w:fldChar w:fldCharType="begin"/>
          </w:r>
          <w:r>
            <w:instrText xml:space="preserve"> PAGEREF _Toc26823 \h </w:instrText>
          </w:r>
          <w:r>
            <w:fldChar w:fldCharType="separate"/>
          </w:r>
          <w:r>
            <w:t>9</w:t>
          </w:r>
          <w:r>
            <w:fldChar w:fldCharType="end"/>
          </w:r>
          <w:r>
            <w:rPr>
              <w:color w:val="auto"/>
              <w:highlight w:val="none"/>
            </w:rPr>
            <w:fldChar w:fldCharType="end"/>
          </w:r>
        </w:p>
        <w:p w14:paraId="73271D76">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_Toc17167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（四）事故发生单位安全管理情况</w:t>
          </w:r>
          <w:r>
            <w:tab/>
          </w:r>
          <w:r>
            <w:fldChar w:fldCharType="begin"/>
          </w:r>
          <w:r>
            <w:instrText xml:space="preserve"> PAGEREF _Toc17167 \h </w:instrText>
          </w:r>
          <w:r>
            <w:fldChar w:fldCharType="separate"/>
          </w:r>
          <w:r>
            <w:t>9</w:t>
          </w:r>
          <w:r>
            <w:fldChar w:fldCharType="end"/>
          </w:r>
          <w:r>
            <w:rPr>
              <w:color w:val="auto"/>
              <w:highlight w:val="none"/>
            </w:rPr>
            <w:fldChar w:fldCharType="end"/>
          </w:r>
        </w:p>
        <w:p w14:paraId="7AD30112">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_Toc3217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（五）事故发生经过</w:t>
          </w:r>
          <w:r>
            <w:tab/>
          </w:r>
          <w:r>
            <w:fldChar w:fldCharType="begin"/>
          </w:r>
          <w:r>
            <w:instrText xml:space="preserve"> PAGEREF _Toc3217 \h </w:instrText>
          </w:r>
          <w:r>
            <w:fldChar w:fldCharType="separate"/>
          </w:r>
          <w:r>
            <w:t>10</w:t>
          </w:r>
          <w:r>
            <w:fldChar w:fldCharType="end"/>
          </w:r>
          <w:r>
            <w:rPr>
              <w:color w:val="auto"/>
              <w:highlight w:val="none"/>
            </w:rPr>
            <w:fldChar w:fldCharType="end"/>
          </w:r>
        </w:p>
        <w:p w14:paraId="5DB7E4E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_Toc21928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（六）事故现场情况</w:t>
          </w:r>
          <w:r>
            <w:tab/>
          </w:r>
          <w:r>
            <w:fldChar w:fldCharType="begin"/>
          </w:r>
          <w:r>
            <w:instrText xml:space="preserve"> PAGEREF _Toc21928 \h </w:instrText>
          </w:r>
          <w:r>
            <w:fldChar w:fldCharType="separate"/>
          </w:r>
          <w:r>
            <w:t>13</w:t>
          </w:r>
          <w:r>
            <w:fldChar w:fldCharType="end"/>
          </w:r>
          <w:r>
            <w:rPr>
              <w:color w:val="auto"/>
              <w:highlight w:val="none"/>
            </w:rPr>
            <w:fldChar w:fldCharType="end"/>
          </w:r>
        </w:p>
        <w:p w14:paraId="54E18A8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_Toc15743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（七）人员伤亡和直接经济损失情况</w:t>
          </w:r>
          <w:r>
            <w:tab/>
          </w:r>
          <w:r>
            <w:fldChar w:fldCharType="begin"/>
          </w:r>
          <w:r>
            <w:instrText xml:space="preserve"> PAGEREF _Toc15743 \h </w:instrText>
          </w:r>
          <w:r>
            <w:fldChar w:fldCharType="separate"/>
          </w:r>
          <w:r>
            <w:t>13</w:t>
          </w:r>
          <w:r>
            <w:fldChar w:fldCharType="end"/>
          </w:r>
          <w:r>
            <w:rPr>
              <w:color w:val="auto"/>
              <w:highlight w:val="none"/>
            </w:rPr>
            <w:fldChar w:fldCharType="end"/>
          </w:r>
        </w:p>
        <w:p w14:paraId="3D3568E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_Toc24791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（八）其他情况</w:t>
          </w:r>
          <w:r>
            <w:tab/>
          </w:r>
          <w:r>
            <w:fldChar w:fldCharType="begin"/>
          </w:r>
          <w:r>
            <w:instrText xml:space="preserve"> PAGEREF _Toc24791 \h </w:instrText>
          </w:r>
          <w:r>
            <w:fldChar w:fldCharType="separate"/>
          </w:r>
          <w:r>
            <w:t>14</w:t>
          </w:r>
          <w:r>
            <w:fldChar w:fldCharType="end"/>
          </w:r>
          <w:r>
            <w:rPr>
              <w:color w:val="auto"/>
              <w:highlight w:val="none"/>
            </w:rPr>
            <w:fldChar w:fldCharType="end"/>
          </w:r>
        </w:p>
        <w:p w14:paraId="7559ED00">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_Toc14758 </w:instrText>
          </w:r>
          <w:r>
            <w:rPr>
              <w:highlight w:val="none"/>
            </w:rPr>
            <w:fldChar w:fldCharType="separate"/>
          </w:r>
          <w:r>
            <w:rPr>
              <w:rFonts w:hint="eastAsia" w:ascii="黑体" w:hAnsi="黑体" w:eastAsia="黑体" w:cs="黑体"/>
              <w:bCs w:val="0"/>
              <w:snapToGrid w:val="0"/>
              <w:kern w:val="0"/>
              <w:szCs w:val="32"/>
              <w:highlight w:val="none"/>
              <w:lang w:val="en-US" w:eastAsia="zh-CN"/>
            </w:rPr>
            <w:t>二、事故应急处置及评估情况</w:t>
          </w:r>
          <w:r>
            <w:tab/>
          </w:r>
          <w:r>
            <w:fldChar w:fldCharType="begin"/>
          </w:r>
          <w:r>
            <w:instrText xml:space="preserve"> PAGEREF _Toc14758 \h </w:instrText>
          </w:r>
          <w:r>
            <w:fldChar w:fldCharType="separate"/>
          </w:r>
          <w:r>
            <w:t>15</w:t>
          </w:r>
          <w:r>
            <w:fldChar w:fldCharType="end"/>
          </w:r>
          <w:r>
            <w:rPr>
              <w:color w:val="auto"/>
              <w:highlight w:val="none"/>
            </w:rPr>
            <w:fldChar w:fldCharType="end"/>
          </w:r>
        </w:p>
        <w:p w14:paraId="4BE4616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_Toc11367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（一）事故信息接报及响应情况</w:t>
          </w:r>
          <w:r>
            <w:tab/>
          </w:r>
          <w:r>
            <w:fldChar w:fldCharType="begin"/>
          </w:r>
          <w:r>
            <w:instrText xml:space="preserve"> PAGEREF _Toc11367 \h </w:instrText>
          </w:r>
          <w:r>
            <w:fldChar w:fldCharType="separate"/>
          </w:r>
          <w:r>
            <w:t>15</w:t>
          </w:r>
          <w:r>
            <w:fldChar w:fldCharType="end"/>
          </w:r>
          <w:r>
            <w:rPr>
              <w:color w:val="auto"/>
              <w:highlight w:val="none"/>
            </w:rPr>
            <w:fldChar w:fldCharType="end"/>
          </w:r>
        </w:p>
        <w:p w14:paraId="6A69697F">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_Toc19334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（二）事故现场应急处置情况</w:t>
          </w:r>
          <w:r>
            <w:tab/>
          </w:r>
          <w:r>
            <w:fldChar w:fldCharType="begin"/>
          </w:r>
          <w:r>
            <w:instrText xml:space="preserve"> PAGEREF _Toc19334 \h </w:instrText>
          </w:r>
          <w:r>
            <w:fldChar w:fldCharType="separate"/>
          </w:r>
          <w:r>
            <w:t>16</w:t>
          </w:r>
          <w:r>
            <w:fldChar w:fldCharType="end"/>
          </w:r>
          <w:r>
            <w:rPr>
              <w:color w:val="auto"/>
              <w:highlight w:val="none"/>
            </w:rPr>
            <w:fldChar w:fldCharType="end"/>
          </w:r>
        </w:p>
        <w:p w14:paraId="1817D703">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_Toc31537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（三）医疗救治和善后情况</w:t>
          </w:r>
          <w:r>
            <w:tab/>
          </w:r>
          <w:r>
            <w:fldChar w:fldCharType="begin"/>
          </w:r>
          <w:r>
            <w:instrText xml:space="preserve"> PAGEREF _Toc31537 \h </w:instrText>
          </w:r>
          <w:r>
            <w:fldChar w:fldCharType="separate"/>
          </w:r>
          <w:r>
            <w:t>16</w:t>
          </w:r>
          <w:r>
            <w:fldChar w:fldCharType="end"/>
          </w:r>
          <w:r>
            <w:rPr>
              <w:color w:val="auto"/>
              <w:highlight w:val="none"/>
            </w:rPr>
            <w:fldChar w:fldCharType="end"/>
          </w:r>
        </w:p>
        <w:p w14:paraId="68D78B0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_Toc11146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（四）事故应急处置评估</w:t>
          </w:r>
          <w:r>
            <w:tab/>
          </w:r>
          <w:r>
            <w:fldChar w:fldCharType="begin"/>
          </w:r>
          <w:r>
            <w:instrText xml:space="preserve"> PAGEREF _Toc11146 \h </w:instrText>
          </w:r>
          <w:r>
            <w:fldChar w:fldCharType="separate"/>
          </w:r>
          <w:r>
            <w:t>17</w:t>
          </w:r>
          <w:r>
            <w:fldChar w:fldCharType="end"/>
          </w:r>
          <w:r>
            <w:rPr>
              <w:color w:val="auto"/>
              <w:highlight w:val="none"/>
            </w:rPr>
            <w:fldChar w:fldCharType="end"/>
          </w:r>
        </w:p>
        <w:p w14:paraId="47FEC578">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_Toc26909 </w:instrText>
          </w:r>
          <w:r>
            <w:rPr>
              <w:highlight w:val="none"/>
            </w:rPr>
            <w:fldChar w:fldCharType="separate"/>
          </w:r>
          <w:r>
            <w:rPr>
              <w:rFonts w:hint="eastAsia" w:ascii="黑体" w:hAnsi="黑体" w:eastAsia="黑体" w:cs="黑体"/>
              <w:bCs w:val="0"/>
              <w:snapToGrid w:val="0"/>
              <w:kern w:val="0"/>
              <w:szCs w:val="32"/>
              <w:highlight w:val="none"/>
              <w:lang w:val="en-US" w:eastAsia="zh-CN"/>
            </w:rPr>
            <w:t>三、事故原因分析</w:t>
          </w:r>
          <w:r>
            <w:tab/>
          </w:r>
          <w:r>
            <w:fldChar w:fldCharType="begin"/>
          </w:r>
          <w:r>
            <w:instrText xml:space="preserve"> PAGEREF _Toc26909 \h </w:instrText>
          </w:r>
          <w:r>
            <w:fldChar w:fldCharType="separate"/>
          </w:r>
          <w:r>
            <w:t>17</w:t>
          </w:r>
          <w:r>
            <w:fldChar w:fldCharType="end"/>
          </w:r>
          <w:r>
            <w:rPr>
              <w:color w:val="auto"/>
              <w:highlight w:val="none"/>
            </w:rPr>
            <w:fldChar w:fldCharType="end"/>
          </w:r>
        </w:p>
        <w:p w14:paraId="28A426B0">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_Toc24189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（一）直接原因分析</w:t>
          </w:r>
          <w:r>
            <w:tab/>
          </w:r>
          <w:r>
            <w:fldChar w:fldCharType="begin"/>
          </w:r>
          <w:r>
            <w:instrText xml:space="preserve"> PAGEREF _Toc24189 \h </w:instrText>
          </w:r>
          <w:r>
            <w:fldChar w:fldCharType="separate"/>
          </w:r>
          <w:r>
            <w:t>17</w:t>
          </w:r>
          <w:r>
            <w:fldChar w:fldCharType="end"/>
          </w:r>
          <w:r>
            <w:rPr>
              <w:color w:val="auto"/>
              <w:highlight w:val="none"/>
            </w:rPr>
            <w:fldChar w:fldCharType="end"/>
          </w:r>
        </w:p>
        <w:p w14:paraId="2A39551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_Toc26183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（二）事故相关检验检测和鉴定情况</w:t>
          </w:r>
          <w:r>
            <w:tab/>
          </w:r>
          <w:r>
            <w:fldChar w:fldCharType="begin"/>
          </w:r>
          <w:r>
            <w:instrText xml:space="preserve"> PAGEREF _Toc26183 \h </w:instrText>
          </w:r>
          <w:r>
            <w:fldChar w:fldCharType="separate"/>
          </w:r>
          <w:r>
            <w:t>18</w:t>
          </w:r>
          <w:r>
            <w:fldChar w:fldCharType="end"/>
          </w:r>
          <w:r>
            <w:rPr>
              <w:color w:val="auto"/>
              <w:highlight w:val="none"/>
            </w:rPr>
            <w:fldChar w:fldCharType="end"/>
          </w:r>
        </w:p>
        <w:p w14:paraId="5EE3B4A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_Toc150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（三）其他可能因素排除</w:t>
          </w:r>
          <w:r>
            <w:tab/>
          </w:r>
          <w:r>
            <w:fldChar w:fldCharType="begin"/>
          </w:r>
          <w:r>
            <w:instrText xml:space="preserve"> PAGEREF _Toc150 \h </w:instrText>
          </w:r>
          <w:r>
            <w:fldChar w:fldCharType="separate"/>
          </w:r>
          <w:r>
            <w:t>19</w:t>
          </w:r>
          <w:r>
            <w:fldChar w:fldCharType="end"/>
          </w:r>
          <w:r>
            <w:rPr>
              <w:color w:val="auto"/>
              <w:highlight w:val="none"/>
            </w:rPr>
            <w:fldChar w:fldCharType="end"/>
          </w:r>
        </w:p>
        <w:p w14:paraId="7010447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_Toc8275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（四）间接原因分析</w:t>
          </w:r>
          <w:r>
            <w:tab/>
          </w:r>
          <w:r>
            <w:fldChar w:fldCharType="begin"/>
          </w:r>
          <w:r>
            <w:instrText xml:space="preserve"> PAGEREF _Toc8275 \h </w:instrText>
          </w:r>
          <w:r>
            <w:fldChar w:fldCharType="separate"/>
          </w:r>
          <w:r>
            <w:t>20</w:t>
          </w:r>
          <w:r>
            <w:fldChar w:fldCharType="end"/>
          </w:r>
          <w:r>
            <w:rPr>
              <w:color w:val="auto"/>
              <w:highlight w:val="none"/>
            </w:rPr>
            <w:fldChar w:fldCharType="end"/>
          </w:r>
        </w:p>
        <w:p w14:paraId="0FF74C35">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_Toc10768 </w:instrText>
          </w:r>
          <w:r>
            <w:rPr>
              <w:highlight w:val="none"/>
            </w:rPr>
            <w:fldChar w:fldCharType="separate"/>
          </w:r>
          <w:r>
            <w:rPr>
              <w:rFonts w:hint="eastAsia" w:ascii="黑体" w:hAnsi="黑体" w:eastAsia="黑体" w:cs="黑体"/>
              <w:bCs w:val="0"/>
              <w:snapToGrid w:val="0"/>
              <w:kern w:val="0"/>
              <w:szCs w:val="32"/>
              <w:highlight w:val="none"/>
              <w:lang w:val="en-US" w:eastAsia="zh-CN"/>
            </w:rPr>
            <w:t>四、有关责任单位存在的主要问题</w:t>
          </w:r>
          <w:r>
            <w:tab/>
          </w:r>
          <w:r>
            <w:fldChar w:fldCharType="begin"/>
          </w:r>
          <w:r>
            <w:instrText xml:space="preserve"> PAGEREF _Toc10768 \h </w:instrText>
          </w:r>
          <w:r>
            <w:fldChar w:fldCharType="separate"/>
          </w:r>
          <w:r>
            <w:t>22</w:t>
          </w:r>
          <w:r>
            <w:fldChar w:fldCharType="end"/>
          </w:r>
          <w:r>
            <w:rPr>
              <w:color w:val="auto"/>
              <w:highlight w:val="none"/>
            </w:rPr>
            <w:fldChar w:fldCharType="end"/>
          </w:r>
        </w:p>
        <w:p w14:paraId="750029B7">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_Toc29478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（一）中诺（海南）建设工程有限公司：主要责任单位</w:t>
          </w:r>
          <w:r>
            <w:tab/>
          </w:r>
          <w:r>
            <w:fldChar w:fldCharType="begin"/>
          </w:r>
          <w:r>
            <w:instrText xml:space="preserve"> PAGEREF _Toc29478 \h </w:instrText>
          </w:r>
          <w:r>
            <w:fldChar w:fldCharType="separate"/>
          </w:r>
          <w:r>
            <w:t>22</w:t>
          </w:r>
          <w:r>
            <w:fldChar w:fldCharType="end"/>
          </w:r>
          <w:r>
            <w:rPr>
              <w:color w:val="auto"/>
              <w:highlight w:val="none"/>
            </w:rPr>
            <w:fldChar w:fldCharType="end"/>
          </w:r>
        </w:p>
        <w:p w14:paraId="3CFDB1CC">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_Toc16753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w:t>
          </w:r>
          <w:r>
            <w:rPr>
              <w:rFonts w:hint="eastAsia" w:ascii="方正楷体_GB2312" w:hAnsi="方正楷体_GB2312" w:eastAsia="方正楷体_GB2312" w:cs="方正楷体_GB2312"/>
              <w:bCs/>
              <w:highlight w:val="none"/>
            </w:rPr>
            <w:t>海南实创建筑劳务有限公司</w:t>
          </w:r>
          <w:r>
            <w:rPr>
              <w:rFonts w:hint="eastAsia" w:ascii="方正楷体_GB2312" w:hAnsi="方正楷体_GB2312" w:eastAsia="方正楷体_GB2312" w:cs="方正楷体_GB2312"/>
              <w:bCs/>
              <w:snapToGrid/>
              <w:kern w:val="2"/>
              <w:szCs w:val="24"/>
              <w:highlight w:val="none"/>
              <w:lang w:val="en-US" w:eastAsia="zh-CN" w:bidi="ar-SA"/>
            </w:rPr>
            <w:t>：次要责任单位</w:t>
          </w:r>
          <w:r>
            <w:tab/>
          </w:r>
          <w:r>
            <w:fldChar w:fldCharType="begin"/>
          </w:r>
          <w:r>
            <w:instrText xml:space="preserve"> PAGEREF _Toc16753 \h </w:instrText>
          </w:r>
          <w:r>
            <w:fldChar w:fldCharType="separate"/>
          </w:r>
          <w:r>
            <w:t>22</w:t>
          </w:r>
          <w:r>
            <w:fldChar w:fldCharType="end"/>
          </w:r>
          <w:r>
            <w:rPr>
              <w:color w:val="auto"/>
              <w:highlight w:val="none"/>
            </w:rPr>
            <w:fldChar w:fldCharType="end"/>
          </w:r>
        </w:p>
        <w:p w14:paraId="49FFA7C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_Toc1182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（三）浙江天成项目管理有限公司：次要责任单位</w:t>
          </w:r>
          <w:r>
            <w:tab/>
          </w:r>
          <w:r>
            <w:fldChar w:fldCharType="begin"/>
          </w:r>
          <w:r>
            <w:instrText xml:space="preserve"> PAGEREF _Toc1182 \h </w:instrText>
          </w:r>
          <w:r>
            <w:fldChar w:fldCharType="separate"/>
          </w:r>
          <w:r>
            <w:t>23</w:t>
          </w:r>
          <w:r>
            <w:fldChar w:fldCharType="end"/>
          </w:r>
          <w:r>
            <w:rPr>
              <w:color w:val="auto"/>
              <w:highlight w:val="none"/>
            </w:rPr>
            <w:fldChar w:fldCharType="end"/>
          </w:r>
        </w:p>
        <w:p w14:paraId="4F542666">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_Toc28889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（四）相关单位无责说明</w:t>
          </w:r>
          <w:r>
            <w:tab/>
          </w:r>
          <w:r>
            <w:fldChar w:fldCharType="begin"/>
          </w:r>
          <w:r>
            <w:instrText xml:space="preserve"> PAGEREF _Toc28889 \h </w:instrText>
          </w:r>
          <w:r>
            <w:fldChar w:fldCharType="separate"/>
          </w:r>
          <w:r>
            <w:t>23</w:t>
          </w:r>
          <w:r>
            <w:fldChar w:fldCharType="end"/>
          </w:r>
          <w:r>
            <w:rPr>
              <w:color w:val="auto"/>
              <w:highlight w:val="none"/>
            </w:rPr>
            <w:fldChar w:fldCharType="end"/>
          </w:r>
        </w:p>
        <w:p w14:paraId="4C16A622">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_Toc2833 </w:instrText>
          </w:r>
          <w:r>
            <w:rPr>
              <w:highlight w:val="none"/>
            </w:rPr>
            <w:fldChar w:fldCharType="separate"/>
          </w:r>
          <w:r>
            <w:rPr>
              <w:rFonts w:hint="eastAsia" w:ascii="黑体" w:hAnsi="黑体" w:eastAsia="黑体" w:cs="黑体"/>
              <w:bCs w:val="0"/>
              <w:snapToGrid w:val="0"/>
              <w:kern w:val="0"/>
              <w:szCs w:val="32"/>
              <w:highlight w:val="none"/>
              <w:lang w:val="en-US" w:eastAsia="zh-CN"/>
            </w:rPr>
            <w:t>五、对有关责任人员和责任单位的处理建议</w:t>
          </w:r>
          <w:r>
            <w:tab/>
          </w:r>
          <w:r>
            <w:fldChar w:fldCharType="begin"/>
          </w:r>
          <w:r>
            <w:instrText xml:space="preserve"> PAGEREF _Toc2833 \h </w:instrText>
          </w:r>
          <w:r>
            <w:fldChar w:fldCharType="separate"/>
          </w:r>
          <w:r>
            <w:t>24</w:t>
          </w:r>
          <w:r>
            <w:fldChar w:fldCharType="end"/>
          </w:r>
          <w:r>
            <w:rPr>
              <w:color w:val="auto"/>
              <w:highlight w:val="none"/>
            </w:rPr>
            <w:fldChar w:fldCharType="end"/>
          </w:r>
        </w:p>
        <w:p w14:paraId="40115E9B">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_Toc24350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（一）因在事故中死亡免予追究责任人员</w:t>
          </w:r>
          <w:r>
            <w:tab/>
          </w:r>
          <w:r>
            <w:fldChar w:fldCharType="begin"/>
          </w:r>
          <w:r>
            <w:instrText xml:space="preserve"> PAGEREF _Toc24350 \h </w:instrText>
          </w:r>
          <w:r>
            <w:fldChar w:fldCharType="separate"/>
          </w:r>
          <w:r>
            <w:t>24</w:t>
          </w:r>
          <w:r>
            <w:fldChar w:fldCharType="end"/>
          </w:r>
          <w:r>
            <w:rPr>
              <w:color w:val="auto"/>
              <w:highlight w:val="none"/>
            </w:rPr>
            <w:fldChar w:fldCharType="end"/>
          </w:r>
        </w:p>
        <w:p w14:paraId="3707C49F">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_Toc31881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（二）对相关责任人员的行政处罚建议</w:t>
          </w:r>
          <w:r>
            <w:tab/>
          </w:r>
          <w:r>
            <w:fldChar w:fldCharType="begin"/>
          </w:r>
          <w:r>
            <w:instrText xml:space="preserve"> PAGEREF _Toc31881 \h </w:instrText>
          </w:r>
          <w:r>
            <w:fldChar w:fldCharType="separate"/>
          </w:r>
          <w:r>
            <w:t>25</w:t>
          </w:r>
          <w:r>
            <w:fldChar w:fldCharType="end"/>
          </w:r>
          <w:r>
            <w:rPr>
              <w:color w:val="auto"/>
              <w:highlight w:val="none"/>
            </w:rPr>
            <w:fldChar w:fldCharType="end"/>
          </w:r>
        </w:p>
        <w:p w14:paraId="7DD3FE4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_Toc4737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（三）对相关责任单位的行政处罚建议</w:t>
          </w:r>
          <w:r>
            <w:tab/>
          </w:r>
          <w:r>
            <w:fldChar w:fldCharType="begin"/>
          </w:r>
          <w:r>
            <w:instrText xml:space="preserve"> PAGEREF _Toc4737 \h </w:instrText>
          </w:r>
          <w:r>
            <w:fldChar w:fldCharType="separate"/>
          </w:r>
          <w:r>
            <w:t>30</w:t>
          </w:r>
          <w:r>
            <w:fldChar w:fldCharType="end"/>
          </w:r>
          <w:r>
            <w:rPr>
              <w:color w:val="auto"/>
              <w:highlight w:val="none"/>
            </w:rPr>
            <w:fldChar w:fldCharType="end"/>
          </w:r>
        </w:p>
        <w:p w14:paraId="5A50191E">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_Toc5403 </w:instrText>
          </w:r>
          <w:r>
            <w:rPr>
              <w:highlight w:val="none"/>
            </w:rPr>
            <w:fldChar w:fldCharType="separate"/>
          </w:r>
          <w:r>
            <w:rPr>
              <w:rFonts w:hint="eastAsia" w:ascii="黑体" w:hAnsi="黑体" w:eastAsia="黑体" w:cs="黑体"/>
              <w:bCs w:val="0"/>
              <w:snapToGrid w:val="0"/>
              <w:kern w:val="0"/>
              <w:szCs w:val="32"/>
              <w:highlight w:val="none"/>
              <w:lang w:val="en-US" w:eastAsia="zh-CN"/>
            </w:rPr>
            <w:t>六、事故主要教训</w:t>
          </w:r>
          <w:r>
            <w:tab/>
          </w:r>
          <w:r>
            <w:fldChar w:fldCharType="begin"/>
          </w:r>
          <w:r>
            <w:instrText xml:space="preserve"> PAGEREF _Toc5403 \h </w:instrText>
          </w:r>
          <w:r>
            <w:fldChar w:fldCharType="separate"/>
          </w:r>
          <w:r>
            <w:t>32</w:t>
          </w:r>
          <w:r>
            <w:fldChar w:fldCharType="end"/>
          </w:r>
          <w:r>
            <w:rPr>
              <w:color w:val="auto"/>
              <w:highlight w:val="none"/>
            </w:rPr>
            <w:fldChar w:fldCharType="end"/>
          </w:r>
        </w:p>
        <w:p w14:paraId="6FEB10CE">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_Toc21049 </w:instrText>
          </w:r>
          <w:r>
            <w:rPr>
              <w:highlight w:val="none"/>
            </w:rPr>
            <w:fldChar w:fldCharType="separate"/>
          </w:r>
          <w:r>
            <w:rPr>
              <w:rFonts w:hint="eastAsia" w:ascii="黑体" w:hAnsi="黑体" w:eastAsia="黑体" w:cs="黑体"/>
              <w:bCs w:val="0"/>
              <w:snapToGrid w:val="0"/>
              <w:kern w:val="0"/>
              <w:szCs w:val="32"/>
              <w:highlight w:val="none"/>
              <w:lang w:val="en-US" w:eastAsia="zh-CN"/>
            </w:rPr>
            <w:t>七、事故整改和防范措施</w:t>
          </w:r>
          <w:r>
            <w:tab/>
          </w:r>
          <w:r>
            <w:fldChar w:fldCharType="begin"/>
          </w:r>
          <w:r>
            <w:instrText xml:space="preserve"> PAGEREF _Toc21049 \h </w:instrText>
          </w:r>
          <w:r>
            <w:fldChar w:fldCharType="separate"/>
          </w:r>
          <w:r>
            <w:t>33</w:t>
          </w:r>
          <w:r>
            <w:fldChar w:fldCharType="end"/>
          </w:r>
          <w:r>
            <w:rPr>
              <w:color w:val="auto"/>
              <w:highlight w:val="none"/>
            </w:rPr>
            <w:fldChar w:fldCharType="end"/>
          </w:r>
        </w:p>
        <w:p w14:paraId="6E7E5F4B">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_Toc21712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（一）施工单位防范措施</w:t>
          </w:r>
          <w:r>
            <w:tab/>
          </w:r>
          <w:r>
            <w:fldChar w:fldCharType="begin"/>
          </w:r>
          <w:r>
            <w:instrText xml:space="preserve"> PAGEREF _Toc21712 \h </w:instrText>
          </w:r>
          <w:r>
            <w:fldChar w:fldCharType="separate"/>
          </w:r>
          <w:r>
            <w:t>33</w:t>
          </w:r>
          <w:r>
            <w:fldChar w:fldCharType="end"/>
          </w:r>
          <w:r>
            <w:rPr>
              <w:color w:val="auto"/>
              <w:highlight w:val="none"/>
            </w:rPr>
            <w:fldChar w:fldCharType="end"/>
          </w:r>
        </w:p>
        <w:p w14:paraId="768F3B3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_Toc17705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（二）监理单位防范措施</w:t>
          </w:r>
          <w:r>
            <w:tab/>
          </w:r>
          <w:r>
            <w:fldChar w:fldCharType="begin"/>
          </w:r>
          <w:r>
            <w:instrText xml:space="preserve"> PAGEREF _Toc17705 \h </w:instrText>
          </w:r>
          <w:r>
            <w:fldChar w:fldCharType="separate"/>
          </w:r>
          <w:r>
            <w:t>34</w:t>
          </w:r>
          <w:r>
            <w:fldChar w:fldCharType="end"/>
          </w:r>
          <w:r>
            <w:rPr>
              <w:color w:val="auto"/>
              <w:highlight w:val="none"/>
            </w:rPr>
            <w:fldChar w:fldCharType="end"/>
          </w:r>
        </w:p>
        <w:p w14:paraId="4775933C">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_Toc23029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（三）项目总包及专业分包单位管控措施</w:t>
          </w:r>
          <w:r>
            <w:tab/>
          </w:r>
          <w:r>
            <w:fldChar w:fldCharType="begin"/>
          </w:r>
          <w:r>
            <w:instrText xml:space="preserve"> PAGEREF _Toc23029 \h </w:instrText>
          </w:r>
          <w:r>
            <w:fldChar w:fldCharType="separate"/>
          </w:r>
          <w:r>
            <w:t>34</w:t>
          </w:r>
          <w:r>
            <w:fldChar w:fldCharType="end"/>
          </w:r>
          <w:r>
            <w:rPr>
              <w:color w:val="auto"/>
              <w:highlight w:val="none"/>
            </w:rPr>
            <w:fldChar w:fldCharType="end"/>
          </w:r>
        </w:p>
        <w:p w14:paraId="20219748">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_Toc16253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（四）行业监管警示措施</w:t>
          </w:r>
          <w:r>
            <w:tab/>
          </w:r>
          <w:r>
            <w:fldChar w:fldCharType="begin"/>
          </w:r>
          <w:r>
            <w:instrText xml:space="preserve"> PAGEREF _Toc16253 \h </w:instrText>
          </w:r>
          <w:r>
            <w:fldChar w:fldCharType="separate"/>
          </w:r>
          <w:r>
            <w:t>35</w:t>
          </w:r>
          <w:r>
            <w:fldChar w:fldCharType="end"/>
          </w:r>
          <w:r>
            <w:rPr>
              <w:color w:val="auto"/>
              <w:highlight w:val="none"/>
            </w:rPr>
            <w:fldChar w:fldCharType="end"/>
          </w:r>
        </w:p>
        <w:p w14:paraId="5BF9F6AF">
          <w:pPr>
            <w:keepNext w:val="0"/>
            <w:keepLines w:val="0"/>
            <w:pageBreakBefore w:val="0"/>
            <w:widowControl w:val="0"/>
            <w:kinsoku/>
            <w:wordWrap/>
            <w:overflowPunct/>
            <w:topLinePunct w:val="0"/>
            <w:autoSpaceDE/>
            <w:autoSpaceDN/>
            <w:bidi w:val="0"/>
            <w:adjustRightInd/>
            <w:snapToGrid/>
            <w:spacing w:line="264" w:lineRule="auto"/>
            <w:textAlignment w:val="auto"/>
            <w:rPr>
              <w:color w:val="auto"/>
              <w:highlight w:val="none"/>
            </w:rPr>
          </w:pPr>
          <w:r>
            <w:rPr>
              <w:color w:val="auto"/>
              <w:highlight w:val="none"/>
            </w:rPr>
            <w:fldChar w:fldCharType="end"/>
          </w:r>
        </w:p>
      </w:sdtContent>
    </w:sdt>
    <w:p w14:paraId="73214E7E">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2026年6月23日7:23分许，三亚市吉阳区迎宾路中央商务区DA02-19-02地块项目外立面门窗工程（一标段）发生一起触电事故，造成 1 名建筑外立面门窗安装劳务作业工人死亡，直接经济损失200万元。</w:t>
      </w:r>
    </w:p>
    <w:p w14:paraId="61F48715">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事故发生后，区委、区政府主要领导高度重视，立即作出指示批示，要求全力做好善后处置、事故调查和隐患排查工作，坚决防范类似事故再次发生。依据《中华人民共和国安全生产法》</w:t>
      </w:r>
      <w:r>
        <w:rPr>
          <w:rFonts w:hint="eastAsia" w:ascii="Times New Roman" w:hAnsi="Times New Roman" w:eastAsia="仿宋_GB2312" w:cs="Times New Roman"/>
          <w:b w:val="0"/>
          <w:bCs w:val="0"/>
          <w:snapToGrid w:val="0"/>
          <w:color w:val="auto"/>
          <w:kern w:val="0"/>
          <w:sz w:val="32"/>
          <w:szCs w:val="32"/>
          <w:highlight w:val="none"/>
          <w:lang w:val="en-US" w:eastAsia="zh-CN"/>
        </w:rPr>
        <w:t>《中华人民共和国</w:t>
      </w:r>
      <w:r>
        <w:rPr>
          <w:rFonts w:hint="default" w:ascii="Times New Roman" w:hAnsi="Times New Roman" w:eastAsia="仿宋_GB2312" w:cs="Times New Roman"/>
          <w:b w:val="0"/>
          <w:bCs w:val="0"/>
          <w:snapToGrid w:val="0"/>
          <w:color w:val="auto"/>
          <w:kern w:val="0"/>
          <w:sz w:val="32"/>
          <w:szCs w:val="32"/>
          <w:highlight w:val="none"/>
          <w:lang w:val="en-US" w:eastAsia="zh-CN"/>
        </w:rPr>
        <w:t>主席令</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第</w:t>
      </w:r>
      <w:r>
        <w:rPr>
          <w:rFonts w:hint="eastAsia" w:ascii="Times New Roman" w:hAnsi="Times New Roman" w:eastAsia="仿宋_GB2312" w:cs="Times New Roman"/>
          <w:b w:val="0"/>
          <w:bCs w:val="0"/>
          <w:snapToGrid w:val="0"/>
          <w:color w:val="auto"/>
          <w:kern w:val="0"/>
          <w:sz w:val="32"/>
          <w:szCs w:val="32"/>
          <w:highlight w:val="none"/>
          <w:lang w:val="en-US" w:eastAsia="zh-CN"/>
        </w:rPr>
        <w:t>八十八</w:t>
      </w:r>
      <w:r>
        <w:rPr>
          <w:rFonts w:hint="default" w:ascii="Times New Roman" w:hAnsi="Times New Roman" w:eastAsia="仿宋_GB2312" w:cs="Times New Roman"/>
          <w:b w:val="0"/>
          <w:bCs w:val="0"/>
          <w:snapToGrid w:val="0"/>
          <w:color w:val="auto"/>
          <w:kern w:val="0"/>
          <w:sz w:val="32"/>
          <w:szCs w:val="32"/>
          <w:highlight w:val="none"/>
          <w:lang w:val="en-US" w:eastAsia="zh-CN"/>
        </w:rPr>
        <w:t>号</w:t>
      </w:r>
      <w:bookmarkStart w:id="58" w:name="_GoBack"/>
      <w:bookmarkEnd w:id="58"/>
      <w:r>
        <w:rPr>
          <w:rFonts w:hint="default" w:ascii="Times New Roman" w:hAnsi="Times New Roman" w:eastAsia="仿宋_GB2312" w:cs="Times New Roman"/>
          <w:b w:val="0"/>
          <w:bCs w:val="0"/>
          <w:snapToGrid w:val="0"/>
          <w:color w:val="auto"/>
          <w:kern w:val="0"/>
          <w:sz w:val="32"/>
          <w:szCs w:val="32"/>
          <w:highlight w:val="none"/>
          <w:lang w:val="en-US" w:eastAsia="zh-CN"/>
        </w:rPr>
        <w:t>）</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《生产安全事故报告和调查处理条例》</w:t>
      </w:r>
      <w:r>
        <w:rPr>
          <w:rFonts w:hint="eastAsia" w:ascii="Times New Roman" w:hAnsi="Times New Roman" w:eastAsia="仿宋_GB2312" w:cs="Times New Roman"/>
          <w:b w:val="0"/>
          <w:bCs w:val="0"/>
          <w:snapToGrid w:val="0"/>
          <w:color w:val="auto"/>
          <w:kern w:val="0"/>
          <w:sz w:val="32"/>
          <w:szCs w:val="32"/>
          <w:highlight w:val="none"/>
          <w:lang w:val="en-US" w:eastAsia="zh-CN"/>
        </w:rPr>
        <w:t>《中华人民共和国</w:t>
      </w:r>
      <w:r>
        <w:rPr>
          <w:rFonts w:hint="default" w:ascii="Times New Roman" w:hAnsi="Times New Roman" w:eastAsia="仿宋_GB2312" w:cs="Times New Roman"/>
          <w:b w:val="0"/>
          <w:bCs w:val="0"/>
          <w:snapToGrid w:val="0"/>
          <w:color w:val="auto"/>
          <w:kern w:val="0"/>
          <w:sz w:val="32"/>
          <w:szCs w:val="32"/>
          <w:highlight w:val="none"/>
          <w:lang w:val="en-US" w:eastAsia="zh-CN"/>
        </w:rPr>
        <w:t>国务院令</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第 493 号）</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等法律法规规定，区政府迅速成立由区住房城乡建设局牵头，区纪委监委、区应急管理局、市公安局吉阳分局、市综合行政执法局吉阳分局、区总工会等相关单位组成事故调查组，对该事故开展调查。</w:t>
      </w:r>
    </w:p>
    <w:p w14:paraId="2420C6B5">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调查组严格遵循“科学严谨、依法依规、实事求是、注重实效”原则和“四不放过”要求，通过现场勘验、技术分析、资料查阅、法规研判、询问谈话、专家论证等多种方式进行综合研判，查明事故发生的经过、原因、人员伤亡和直接经济损失，认定事故性质和责任，提出对有关责任单位和责任人的处理建议。同时，调查组举一反三、以点带面，深入剖析事故暴露的突出问题，总结事故主要教训，针对事故原因提出整改和防范措施建议。</w:t>
      </w:r>
    </w:p>
    <w:p w14:paraId="6903C26D">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经调查认定，吉阳东岸三亚迎宾路中央商务区DA02-19-02地块项目外立面门窗工程（一标段）“6·23”一般触电事故是一起因建筑外立面门窗安装劳务作业人员违规操作，1#楼门窗安装劳务分包单位安全管理存在疏漏，监理单位现场监理履职不到位共同引发的一般生产安全责任事故。</w:t>
      </w:r>
    </w:p>
    <w:p w14:paraId="02707F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 w:name="_Toc1411"/>
      <w:r>
        <w:rPr>
          <w:rFonts w:hint="eastAsia" w:ascii="黑体" w:hAnsi="黑体" w:eastAsia="黑体" w:cs="黑体"/>
          <w:b w:val="0"/>
          <w:bCs w:val="0"/>
          <w:snapToGrid w:val="0"/>
          <w:color w:val="auto"/>
          <w:kern w:val="0"/>
          <w:sz w:val="32"/>
          <w:szCs w:val="32"/>
          <w:highlight w:val="none"/>
          <w:lang w:val="en-US" w:eastAsia="zh-CN"/>
        </w:rPr>
        <w:t>一、事故基本情况</w:t>
      </w:r>
      <w:bookmarkEnd w:id="1"/>
    </w:p>
    <w:p w14:paraId="56A97EB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 w:name="_Toc2854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（一）事故工程项目基本概况</w:t>
      </w:r>
      <w:bookmarkEnd w:id="2"/>
    </w:p>
    <w:p w14:paraId="688C481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本事故工程为三亚市吉阳区迎宾路中央商务区DA02-19-02地块项目外立面门窗安装（一标段）（以下简称：一标段），事故发生在一标段1#楼外立面门窗安装施工作业过程。事故涉及作业为一标段1#楼南侧外立面门窗窗框基层剔凿整改，属幕墙装饰配套工序：一是复核窗框安装位置，检查主体工程完工后的墙体基层平整度与窗框贴合情况，标记因不贴合需要剔凿的点位；二是对窗框贴合不严、基层凸起处，拆除局部窗框固定件；三是人工精细化剔凿打磨墙体多余混凝土、砂浆层，保障窗框贴合精度；四是清理基层后复位窗框，完成密封加固及验收复核。一标段1#楼外立面门窗安装相关作业高度最高</w:t>
      </w:r>
      <w:r>
        <w:rPr>
          <w:rFonts w:hint="default" w:ascii="Times New Roman" w:hAnsi="Times New Roman" w:eastAsia="仿宋_GB2312" w:cs="Times New Roman"/>
          <w:b w:val="0"/>
          <w:bCs w:val="0"/>
          <w:color w:val="auto"/>
          <w:kern w:val="0"/>
          <w:sz w:val="32"/>
          <w:szCs w:val="32"/>
          <w:highlight w:val="none"/>
          <w:lang w:val="en-US" w:eastAsia="zh-CN"/>
        </w:rPr>
        <w:t>85.9</w:t>
      </w:r>
      <w:r>
        <w:rPr>
          <w:rFonts w:hint="default" w:ascii="Times New Roman" w:hAnsi="Times New Roman" w:eastAsia="仿宋_GB2312" w:cs="Times New Roman"/>
          <w:b w:val="0"/>
          <w:bCs w:val="0"/>
          <w:snapToGrid w:val="0"/>
          <w:color w:val="auto"/>
          <w:kern w:val="0"/>
          <w:sz w:val="32"/>
          <w:szCs w:val="32"/>
          <w:highlight w:val="none"/>
          <w:lang w:val="en-US" w:eastAsia="zh-CN"/>
        </w:rPr>
        <w:t>米，为满足工人上下作业的要求，该作业采用吊篮作为核心施工设备，作业人员依托吊篮完成外立面高空剔凿作业，作业人员需要有高处作业证。</w:t>
      </w:r>
      <w:r>
        <w:rPr>
          <w:rFonts w:hint="default" w:ascii="Times New Roman" w:hAnsi="Times New Roman" w:eastAsia="仿宋_GB2312" w:cs="Times New Roman"/>
          <w:b w:val="0"/>
          <w:bCs w:val="0"/>
          <w:color w:val="auto"/>
          <w:kern w:val="0"/>
          <w:sz w:val="32"/>
          <w:szCs w:val="32"/>
          <w:highlight w:val="none"/>
          <w:lang w:val="en-US" w:eastAsia="zh-CN"/>
        </w:rPr>
        <w:t>本起事故发生于一标段1#楼12层外立面吊篮内，该吊篮供现场剔凿施工作业使用。</w:t>
      </w:r>
    </w:p>
    <w:p w14:paraId="1316A5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 w:name="_Toc24740"/>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（二）事故发生单位及相关单位概况</w:t>
      </w:r>
      <w:bookmarkEnd w:id="3"/>
    </w:p>
    <w:p w14:paraId="0BD8AC3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bCs/>
          <w:snapToGrid w:val="0"/>
          <w:color w:val="auto"/>
          <w:kern w:val="0"/>
          <w:sz w:val="32"/>
          <w:szCs w:val="32"/>
          <w:highlight w:val="none"/>
          <w:lang w:val="en-US" w:eastAsia="zh-CN"/>
        </w:rPr>
        <w:t>涉事工程项目相关单位</w:t>
      </w:r>
    </w:p>
    <w:p w14:paraId="6E1A67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建设单位：三亚悦麓开发有限公司（以下简称：三亚悦麓）；</w:t>
      </w:r>
    </w:p>
    <w:p w14:paraId="3B48901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主体工程施工单位：中国建筑第六工程局有限公司（以下简称：中建六局）；</w:t>
      </w:r>
    </w:p>
    <w:p w14:paraId="435D67E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主体施工劳务分包单位：海南实创建筑劳务有限公司（以下简称：海南实创）；</w:t>
      </w:r>
    </w:p>
    <w:p w14:paraId="60453D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涉事项目一标段外立面门窗安装专业分包单位：中国建筑装饰集团有限公司（以下简称：中建装饰）；</w:t>
      </w:r>
    </w:p>
    <w:p w14:paraId="6BF23EC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监理单位：浙江天成项目管理有限公司（以下简称：浙江天成）；</w:t>
      </w:r>
    </w:p>
    <w:p w14:paraId="266082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一标段外立面门窗安装劳务分包单位：</w:t>
      </w: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以下简称：</w:t>
      </w:r>
      <w:r>
        <w:rPr>
          <w:rFonts w:hint="default" w:ascii="Times New Roman" w:hAnsi="Times New Roman" w:eastAsia="仿宋_GB2312" w:cs="Times New Roman"/>
          <w:snapToGrid w:val="0"/>
          <w:color w:val="auto"/>
          <w:kern w:val="0"/>
          <w:sz w:val="32"/>
          <w:szCs w:val="32"/>
          <w:highlight w:val="none"/>
        </w:rPr>
        <w:t>中诺建工</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w:t>
      </w:r>
    </w:p>
    <w:p w14:paraId="03FBD4E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一标段吊篮租赁及维保单位：海南嘉鑫工程设备租赁有限公司（以下简称：嘉鑫租赁）。</w:t>
      </w:r>
    </w:p>
    <w:p w14:paraId="410CFA1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bCs/>
          <w:snapToGrid w:val="0"/>
          <w:color w:val="auto"/>
          <w:kern w:val="0"/>
          <w:sz w:val="32"/>
          <w:szCs w:val="32"/>
          <w:highlight w:val="none"/>
          <w:lang w:val="en-US" w:eastAsia="zh-CN"/>
        </w:rPr>
        <w:t>事故相关各单位概况</w:t>
      </w:r>
    </w:p>
    <w:p w14:paraId="7D5AB6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（1）中诺（海南）建设工程有限公司：事故发生单位</w:t>
      </w:r>
    </w:p>
    <w:p w14:paraId="204A651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中诺（海南）建设工程有限公司，2026年1月8日成立；统一社会信用代码：91460000MAK4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。企业类型：有限责任公司（自然人投资或控股）；法定代表人：张</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；注册地址：海南省三亚市天涯区胜利路91号海湾商务大厦16楼1615室。其经营范围包括建筑劳务分包、建设工程施工等许可经营项目。具备建筑业施工劳务（不分等级）资质证书（证书编号：D34607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20DC31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中诺建工承接涉事项目一标段外立面门窗安装劳务作业，负责承包范围内的木工、瓦工、焊工、安装工等工种施工作业，包括安排作业人员、分配吊篮作业点位、开展班前派工等。死者向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1296。户籍地址：重庆市开州区）系该公司劳务作业人员，于2026年4月7日入职中诺建工，双方签订建筑工人简易劳动合同，合同截止日为三亚迎宾路幕墙安装工作完成日。</w:t>
      </w:r>
    </w:p>
    <w:p w14:paraId="789E99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（2）浙江天成项目管理有限公司：监理单位</w:t>
      </w:r>
    </w:p>
    <w:p w14:paraId="7CE986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浙江天成项目管理有限公司，成立于2002年12月19日；类型：其他有限责任公司；统一社会信用代码：913301057458</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；该公司对外投资1家公司，具有47处分支机构；注册地：浙江省杭州市拱墅区；注册资本：2010万元；法定代表人：胡</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。经营范围包括建设工程监理等许可项目。具备工程监理综合资质（证书编号：E133001027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），可承担所有专业工程类别建设工程项目的工程监理业务。</w:t>
      </w:r>
    </w:p>
    <w:p w14:paraId="5E1407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浙江天成为本项目监理单位，涉事项目配备项目负责人及总监理工程师 1 人，一标段配备监理员 2 名，负责一标段施工现场高处作业、吊篮设备、临时用电、隐患闭环等安全监理巡查工作。</w:t>
      </w:r>
    </w:p>
    <w:p w14:paraId="5E0F1CD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（3）中国建筑装饰集团有限公司：一标段外立面门窗安装专业分包单位</w:t>
      </w:r>
    </w:p>
    <w:p w14:paraId="58096B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中国建筑装饰集团有限公司，成立于2010年9月27日；类型：其他有限责任公司；法定代表人：袁</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；注册资本：100000万元；统一社会信用代码：911101081000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；注册地址：北京市大兴区。经营范围包括建筑幕墙、幕墙及门窗产品的加工与出口等在内的业务。具备建筑装修装饰工程专业承包壹级、建筑幕墙工程专业承包壹级等建筑业企业资质证书，证书编号：D211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。中建装饰于2025年11月18日为其公司劳务作业人员购买建筑工程施工人员团体意外伤害保险（保单号：208010206132025</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1E5A10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建装饰承接项目一标段1#楼外立面门窗安装工程，之后将相关劳务作业分包给劳务分包公司中诺建工，双方签订《劳务分包合同》，在合同约定由中诺建工负责项目一标段范围内的木工、瓦工、焊工、安装工等工种施工作业，包括现场人员派工、吊篮使用、临时用电、班前安全交底、隐患告知等在内的全流程安全管理。</w:t>
      </w:r>
    </w:p>
    <w:p w14:paraId="7049D6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（4）海南嘉鑫工程设备租赁有限公司：一标段吊篮租赁维保单位</w:t>
      </w:r>
    </w:p>
    <w:p w14:paraId="2EF5AC2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海南嘉鑫工程设备租赁有限公司，公司成立于2021年07月05日；统一社会信用代码：91460000MA5U</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；类型：有限责任公司（自然人投资或控股）；法定代表人：孙</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注册资本：200万元；注册地：海南省三亚市天涯区。经营范围包括建筑工程机械与设备租赁；机械设备租赁；运输设备租赁服务；普通机械设备安装服务；特种设备出租（除许可业务外，可自主依法经营法律法规非禁止或限制的项目）等一般项目。</w:t>
      </w:r>
    </w:p>
    <w:p w14:paraId="48E227B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嘉鑫租赁与项目一标段外立面门窗安装专业分包单位中建装饰签订吊篮租赁合同，负责向项目一标段出租吊篮并进行吊篮的日常检修、故障报修、配件更换，通过吊篮工作协调微信群，同步报送设备故障、维修保养计划。</w:t>
      </w:r>
    </w:p>
    <w:p w14:paraId="426EE61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（5）海南实创建筑劳务有限公司：主体工程劳务分包单位</w:t>
      </w:r>
    </w:p>
    <w:p w14:paraId="311ACF4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海南实创建筑劳务有限公司，成立于2017年07月10日；统一社会信用代码：91460100MA5R</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；类型：有限责任公司（自然人投资或控股）；法定代表人：石</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；注册资本：2,000万元；注册地址：海南省海口市美兰区。经营范围包括国内劳务分包等许可经营项目。具备建筑业施工劳务（不分等级）资质证书（证书编号：D346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06B8B09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海南实创与项目主体施工单位</w:t>
      </w:r>
      <w:r>
        <w:rPr>
          <w:rFonts w:hint="eastAsia" w:ascii="Times New Roman" w:hAnsi="Times New Roman" w:eastAsia="仿宋_GB2312" w:cs="Times New Roman"/>
          <w:b w:val="0"/>
          <w:bCs w:val="0"/>
          <w:color w:val="auto"/>
          <w:kern w:val="0"/>
          <w:sz w:val="32"/>
          <w:szCs w:val="32"/>
          <w:highlight w:val="none"/>
          <w:lang w:val="en-US" w:eastAsia="zh-CN"/>
        </w:rPr>
        <w:t>签</w:t>
      </w:r>
      <w:r>
        <w:rPr>
          <w:rFonts w:hint="default" w:ascii="Times New Roman" w:hAnsi="Times New Roman" w:eastAsia="仿宋_GB2312" w:cs="Times New Roman"/>
          <w:b w:val="0"/>
          <w:bCs w:val="0"/>
          <w:color w:val="auto"/>
          <w:kern w:val="0"/>
          <w:sz w:val="32"/>
          <w:szCs w:val="32"/>
          <w:highlight w:val="none"/>
          <w:lang w:val="en-US" w:eastAsia="zh-CN"/>
        </w:rPr>
        <w:t>订项目主体施工劳务分包合同。事故发生时，海南实创自身劳务作业任务已经完工，因在同一项目工地进行劳务作业，留少数劳务作业人员配合中诺建工完成建筑外立面剔凿辅助工作，其劳务作业人员听从中诺建工班组长统一安排，无独立作业调度、设备管理权限。</w:t>
      </w:r>
    </w:p>
    <w:p w14:paraId="496CFF8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（6）中国建筑第六工程局有限公司：主体工程施工单位</w:t>
      </w:r>
    </w:p>
    <w:p w14:paraId="349F289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中国建筑第六工程局有限公司，成立于1987年04月27日；统一社会信用代码：911201161030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；该公司为国务院国有资产控股企业；类型：有限责任公司（法人独资）；法定代表人：王</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；注册资本：627794.6464万元；注册地址：天津市滨海新区。经营范围包括建筑工程设计、施工、机电设备安装、装饰和技术咨询等。具备房屋建筑工程总承包特级资质，证书编号：D112</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6228C68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建六局负责项目主体结构施工。主体工程完工后，完成工作面书面移交，移交给幕墙施工单位中建装饰，移交后幕墙吊篮、幕墙剔凿作业、幕墙劳务人员、临时用电等幕墙施工管理均由幕墙专业分包单位统一管理。</w:t>
      </w:r>
    </w:p>
    <w:p w14:paraId="6DE1EA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（7）三亚悦麓开发有限公司：建设单位</w:t>
      </w:r>
    </w:p>
    <w:p w14:paraId="1591F6A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三亚悦麓开发有限公司，成立于2024年11月05日；统一社会信用代码：91460000MAE4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；经济性质：有限责任公司（港澳台投资、非独资）；法定代表人：康</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；注册资本：76923.0769万元。经营范围包括房地产开发经营等许可经营项目。具备房地产开发企业二级资质证书，证书编号：房46020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776069B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Times New Roman" w:hAnsi="Times New Roman" w:eastAsia="仿宋_GB2312" w:cs="Times New Roman"/>
          <w:b w:val="0"/>
          <w:bCs/>
          <w:snapToGrid/>
          <w:color w:val="auto"/>
          <w:kern w:val="2"/>
          <w:szCs w:val="24"/>
          <w:highlight w:val="none"/>
          <w:lang w:val="en-US" w:eastAsia="zh-CN" w:bidi="ar-SA"/>
        </w:rPr>
      </w:pPr>
      <w:bookmarkStart w:id="4" w:name="_Toc26823"/>
      <w:r>
        <w:rPr>
          <w:rStyle w:val="15"/>
          <w:rFonts w:hint="default" w:ascii="Times New Roman" w:hAnsi="Times New Roman" w:eastAsia="仿宋_GB2312" w:cs="Times New Roman"/>
          <w:b w:val="0"/>
          <w:bCs/>
          <w:snapToGrid/>
          <w:color w:val="auto"/>
          <w:kern w:val="2"/>
          <w:szCs w:val="24"/>
          <w:highlight w:val="none"/>
          <w:lang w:val="en-US" w:eastAsia="zh-CN" w:bidi="ar-SA"/>
        </w:rPr>
        <w:t>（三）相关单位合同关系</w:t>
      </w:r>
      <w:bookmarkEnd w:id="4"/>
    </w:p>
    <w:p w14:paraId="412C3C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建设单位三亚悦麓分别与施工单位中建六局签订项目主体施工合同、与施工单位中建六局及专业分包单位中建装饰签订一标段外立面门窗安装专业分包合同、与监理单位浙江天成签订监理合同。之后，主体工程施工单位中建六局与劳务分包单位海南实创签订主体施工劳务分包合同；专业分包单位中建装饰与劳务分包单位中诺建工签订一标段外立面门窗安装劳务分包合同；专业分包单位中建装饰与吊篮租赁单位嘉鑫租赁签订吊篮租赁合同。</w:t>
      </w:r>
    </w:p>
    <w:p w14:paraId="112D30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 w:name="_Toc1716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（四）事故发生单位安全管理情况</w:t>
      </w:r>
      <w:bookmarkEnd w:id="5"/>
    </w:p>
    <w:p w14:paraId="377303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作为涉事1#楼外立面门窗安装工程的施工现场、人员、设备、临时用电及安全技术交底等直接管理实施单位，其安全管理存在多项漏洞：现场管理方面，未建立因故障停用吊篮现场安全风险防控机制，在获知吊篮电缆损坏后，未在施工现场对</w:t>
      </w:r>
      <w:r>
        <w:rPr>
          <w:rFonts w:hint="eastAsia" w:ascii="Times New Roman" w:hAnsi="Times New Roman" w:eastAsia="仿宋_GB2312" w:cs="Times New Roman"/>
          <w:b w:val="0"/>
          <w:bCs w:val="0"/>
          <w:color w:val="auto"/>
          <w:kern w:val="0"/>
          <w:sz w:val="32"/>
          <w:szCs w:val="32"/>
          <w:highlight w:val="none"/>
          <w:lang w:val="en-US" w:eastAsia="zh-CN"/>
        </w:rPr>
        <w:t>其</w:t>
      </w:r>
      <w:r>
        <w:rPr>
          <w:rFonts w:hint="default" w:ascii="Times New Roman" w:hAnsi="Times New Roman" w:eastAsia="仿宋_GB2312" w:cs="Times New Roman"/>
          <w:b w:val="0"/>
          <w:bCs w:val="0"/>
          <w:color w:val="auto"/>
          <w:kern w:val="0"/>
          <w:sz w:val="32"/>
          <w:szCs w:val="32"/>
          <w:highlight w:val="none"/>
          <w:lang w:val="en-US" w:eastAsia="zh-CN"/>
        </w:rPr>
        <w:t>采取隔离、警示等风险防控措施，致使作业人员可以进入故障吊篮进行作业；人员管理方面，未对吊篮作业人员开展临时用电专项安全教育，班前派工未告知吊篮作业人员作业现场故障吊篮存在的安全隐患；设备管理方面，未核实故障吊篮的维修时限，未对故障吊篮实施有效封控措施；临时用电管理上，未严格落实配电箱等常态化管控及临时用电报批制度，致使出现劳务作业人员未经报备许可擅自接驳断损电缆线的情形；安全技术交底方面，未针对性告知故障吊篮作业风险及严禁违规搭接电缆等关键安全要求。</w:t>
      </w:r>
    </w:p>
    <w:p w14:paraId="1A14A46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6" w:name="_Toc321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（五）事故发生经过</w:t>
      </w:r>
      <w:bookmarkEnd w:id="6"/>
    </w:p>
    <w:p w14:paraId="112316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2026年6月17日15:42分：中建装饰项目经理殷</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通过微信确认，项目1#楼南侧19～25层外立面窗框剔凿作业未完成，协调安排人员进场开展窗框基层剔凿整改作业。</w:t>
      </w:r>
    </w:p>
    <w:p w14:paraId="34D942A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2026年6月21日14:11分：中建装饰窗框班组带班张</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通过微信联系海南实创班组长李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，协商请其班组额外开展一天外立面窗框剔凿作业，李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回复待确认后答复。</w:t>
      </w:r>
    </w:p>
    <w:p w14:paraId="71E0495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2026年6月21日16:05分：中建装饰生产经理王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通过微信反馈剔凿作业进度滞后，仅施工 2 天未完成既定工作量。现场核查发现，前期窗框已安装到位，无法直接剔凿，需拆卸窗框后方可开展基层剔凿作业。随后相关人员对接海南实创劳务班组长李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，并将李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联系方式推送至王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，由王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直接对接后续施工安排。</w:t>
      </w:r>
    </w:p>
    <w:p w14:paraId="39BF72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2026年6月22日：项目监理单位现场开展安全巡查，发现1#楼142#吊篮存在电缆线老化、破皮未及时更换的问题，并记录在当日安全巡查记录中，下达监理通知单，要求设备停用整改、复检合格后方可使用。</w:t>
      </w:r>
    </w:p>
    <w:p w14:paraId="50733BD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2026年6月22日16:20分：现场外立面幕墙班组以约定的微信方式在“中央商务区一标项目吊篮工作群”报备142#吊篮存在无电故障，吊篮维保人员电工马</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到场核查，确认吊篮故障原因为电缆烧毁，当场拍摄故障照片并上传到吊篮微信工作群，明确告知各施工班组：142#吊篮电缆烧毁需更换，设备禁止使用，</w:t>
      </w:r>
      <w:r>
        <w:rPr>
          <w:rFonts w:hint="eastAsia" w:ascii="Times New Roman" w:hAnsi="Times New Roman" w:eastAsia="仿宋_GB2312" w:cs="Times New Roman"/>
          <w:b w:val="0"/>
          <w:bCs w:val="0"/>
          <w:color w:val="auto"/>
          <w:kern w:val="0"/>
          <w:sz w:val="32"/>
          <w:szCs w:val="32"/>
          <w:highlight w:val="none"/>
          <w:lang w:val="en-US" w:eastAsia="zh-CN"/>
        </w:rPr>
        <w:t>该</w:t>
      </w:r>
      <w:r>
        <w:rPr>
          <w:rFonts w:hint="default" w:ascii="Times New Roman" w:hAnsi="Times New Roman" w:eastAsia="仿宋_GB2312" w:cs="Times New Roman"/>
          <w:b w:val="0"/>
          <w:bCs w:val="0"/>
          <w:color w:val="auto"/>
          <w:kern w:val="0"/>
          <w:sz w:val="32"/>
          <w:szCs w:val="32"/>
          <w:highlight w:val="none"/>
          <w:lang w:val="en-US" w:eastAsia="zh-CN"/>
        </w:rPr>
        <w:t>吊篮电缆已经拆除并抽离烧毁的旧电缆至15楼。因当日班组报备吊篮故障时间较晚、库房距离较远，现场无备用电缆，维保单位计划于次日（2026年6月23日）一早前往库房领取新电缆后到场更换。</w:t>
      </w:r>
    </w:p>
    <w:p w14:paraId="6FDF7F0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2026年6月22日21:10分：中诺建工班组长田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在班组工作群发布6月23日施工作业安排，指派死者向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负责包含142#故障吊篮点位在内的四处墙面剔凿拆除作业，未同步向作业人员告知 142</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 xml:space="preserve"> 吊篮存在已报备故障、电缆抽离、禁止使用的安全隐患，未落实班前安全风险交底及作业管控措施。</w:t>
      </w:r>
    </w:p>
    <w:p w14:paraId="5385DA6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受其班组长李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安排配合中诺建工开展外立面剔凿作业。</w:t>
      </w:r>
    </w:p>
    <w:p w14:paraId="762A2B1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2026年6月23日7:00分许：海南实创作业人员熊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先行抵达142#吊篮，对吊篮进行检查后发现该吊篮无供电电缆、无法正常启用，随即告知后续到场的中诺建工作业人员向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w:t>
      </w:r>
    </w:p>
    <w:p w14:paraId="44915CC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2026年6月23日7:05分许：向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现场查看后，擅自挪用现场拐角另一侧正常在用的97#吊篮的供电电缆，拆卸完97#吊篮的电缆接电插口后，向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将97#吊篮的电缆接电插口插至处于整改停用状态的142#吊篮用电端口，插接完成后，启动142#吊篮升空作业。因熊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为临时借用的配合作业人员，对向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挪用电缆线的行为未参与也未阻止。</w:t>
      </w:r>
    </w:p>
    <w:p w14:paraId="22343B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20分许：142#吊篮上升至12层墙体拐角处时，从 97# 吊篮搭接过来的电缆受墙体挤压、拉扯发生断裂，断裂的电缆脱落至吊篮外侧并坠地。随后向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联系其工友，通过吊篮安全绳将断裂电缆传送至停滞在12层的142#吊篮中。</w:t>
      </w:r>
    </w:p>
    <w:p w14:paraId="35C254D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在未取得电工特种作业资质、未确保142#吊篮电缆处于非供电状态、未做任何绝缘防护的情况下，徒手对接破损电缆，接线过程中突然触电遭受电击倒地。</w:t>
      </w:r>
    </w:p>
    <w:p w14:paraId="66C3BC5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2026年6月23日7:23分许：事故发生后，现场另一名作业工人熊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第一时间通</w:t>
      </w:r>
      <w:r>
        <w:rPr>
          <w:rFonts w:hint="eastAsia" w:ascii="Times New Roman" w:hAnsi="Times New Roman" w:eastAsia="仿宋_GB2312" w:cs="Times New Roman"/>
          <w:b w:val="0"/>
          <w:bCs w:val="0"/>
          <w:color w:val="auto"/>
          <w:kern w:val="0"/>
          <w:sz w:val="32"/>
          <w:szCs w:val="32"/>
          <w:highlight w:val="none"/>
          <w:lang w:val="en-US" w:eastAsia="zh-CN"/>
        </w:rPr>
        <w:t>知</w:t>
      </w:r>
      <w:r>
        <w:rPr>
          <w:rFonts w:hint="default" w:ascii="Times New Roman" w:hAnsi="Times New Roman" w:eastAsia="仿宋_GB2312" w:cs="Times New Roman"/>
          <w:b w:val="0"/>
          <w:bCs w:val="0"/>
          <w:color w:val="auto"/>
          <w:kern w:val="0"/>
          <w:sz w:val="32"/>
          <w:szCs w:val="32"/>
          <w:highlight w:val="none"/>
          <w:lang w:val="en-US" w:eastAsia="zh-CN"/>
        </w:rPr>
        <w:t>中诺建工知班组管理人员田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，紧急上报触电事故情况并拨打 120 急救电话。</w:t>
      </w:r>
    </w:p>
    <w:p w14:paraId="68B8606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2026年6月23日8</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05分许：120 救护人员赶到现场，对向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进行急救后宣布死亡。</w:t>
      </w:r>
    </w:p>
    <w:p w14:paraId="233D438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楷体_GB2312" w:hAnsi="楷体_GB2312" w:eastAsia="楷体_GB2312" w:cs="楷体_GB2312"/>
          <w:b w:val="0"/>
          <w:bCs/>
          <w:snapToGrid/>
          <w:color w:val="auto"/>
          <w:kern w:val="2"/>
          <w:szCs w:val="24"/>
          <w:highlight w:val="none"/>
          <w:lang w:val="en-US" w:eastAsia="zh-CN" w:bidi="ar-SA"/>
        </w:rPr>
      </w:pPr>
      <w:bookmarkStart w:id="7" w:name="_Toc21928"/>
      <w:r>
        <w:rPr>
          <w:rStyle w:val="15"/>
          <w:rFonts w:hint="eastAsia" w:ascii="楷体_GB2312" w:hAnsi="楷体_GB2312" w:eastAsia="楷体_GB2312" w:cs="楷体_GB2312"/>
          <w:b w:val="0"/>
          <w:bCs/>
          <w:snapToGrid/>
          <w:color w:val="auto"/>
          <w:kern w:val="2"/>
          <w:szCs w:val="24"/>
          <w:highlight w:val="none"/>
          <w:lang w:val="en-US" w:eastAsia="zh-CN" w:bidi="ar-SA"/>
        </w:rPr>
        <w:t>（六）事故现场情况</w:t>
      </w:r>
      <w:bookmarkEnd w:id="7"/>
    </w:p>
    <w:p w14:paraId="5BC5441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发地点位于项目一标段1#楼南侧12层外立面142#吊篮。现场勘察时，涉事142#吊篮因应急救援工作的开展，已停至二楼露台。涉事142#吊篮电控箱完好；地面散落断裂电缆，电缆绝缘层破损；142#旁边的97#吊篮电缆线缺失，被死者挪用至事故涉事 142#吊篮；事发位置无设备故障警示标识、无隔离警戒带等封控措施。发生事故的142#吊篮与被借用电缆的97#吊篮位于建筑90°拐角的两侧。涉事142#吊篮与被借用电缆线的97#吊篮之间的位置关系如下图1所示：</w:t>
      </w:r>
    </w:p>
    <w:p w14:paraId="1488AF76">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仿宋_GB2312" w:hAnsi="方正仿宋_GB2312" w:eastAsia="方正仿宋_GB2312" w:cs="方正仿宋_GB2312"/>
          <w:b w:val="0"/>
          <w:bCs w:val="0"/>
          <w:color w:val="auto"/>
          <w:kern w:val="0"/>
          <w:sz w:val="32"/>
          <w:szCs w:val="32"/>
          <w:highlight w:val="none"/>
          <w:lang w:val="en-US" w:eastAsia="zh-CN"/>
        </w:rPr>
      </w:pPr>
      <w:r>
        <w:rPr>
          <w:color w:val="auto"/>
          <w:highlight w:val="none"/>
        </w:rPr>
        <w:drawing>
          <wp:anchor distT="0" distB="0" distL="114300" distR="114300" simplePos="0" relativeHeight="251660288" behindDoc="0" locked="0" layoutInCell="1" allowOverlap="1">
            <wp:simplePos x="0" y="0"/>
            <wp:positionH relativeFrom="column">
              <wp:posOffset>194310</wp:posOffset>
            </wp:positionH>
            <wp:positionV relativeFrom="paragraph">
              <wp:posOffset>97155</wp:posOffset>
            </wp:positionV>
            <wp:extent cx="5035550" cy="3211195"/>
            <wp:effectExtent l="0" t="0" r="6350" b="1905"/>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5035550" cy="3211195"/>
                    </a:xfrm>
                    <a:prstGeom prst="rect">
                      <a:avLst/>
                    </a:prstGeom>
                    <a:noFill/>
                    <a:ln>
                      <a:noFill/>
                    </a:ln>
                  </pic:spPr>
                </pic:pic>
              </a:graphicData>
            </a:graphic>
          </wp:anchor>
        </w:drawing>
      </w:r>
      <w:r>
        <w:rPr>
          <w:rFonts w:hint="eastAsia" w:ascii="宋体" w:hAnsi="宋体" w:eastAsia="宋体" w:cs="宋体"/>
          <w:b w:val="0"/>
          <w:bCs w:val="0"/>
          <w:color w:val="auto"/>
          <w:kern w:val="0"/>
          <w:sz w:val="28"/>
          <w:szCs w:val="28"/>
          <w:highlight w:val="none"/>
          <w:lang w:val="en-US" w:eastAsia="zh-CN"/>
        </w:rPr>
        <w:t>图1  事故相关吊篮位置关系图</w:t>
      </w:r>
    </w:p>
    <w:p w14:paraId="42735C4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8" w:name="_Toc1574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（七）人员伤亡和直接经济损失情况</w:t>
      </w:r>
    </w:p>
    <w:bookmarkEnd w:id="8"/>
    <w:p w14:paraId="37CE8A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人员伤亡</w:t>
      </w:r>
    </w:p>
    <w:p w14:paraId="4C1060B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本次事故造成1人死亡（中诺建工作业人员：向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1296；死亡原因：电击伤），无受伤、失踪人员。</w:t>
      </w:r>
    </w:p>
    <w:p w14:paraId="26BDEA3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直接经济损失</w:t>
      </w:r>
    </w:p>
    <w:p w14:paraId="3996C50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 《企业职工伤亡事故经济损失统计标准》（GB/T 6721-1986）核定，包含丧葬抚恤、赔偿、事故处置费用等合计200万元。</w:t>
      </w:r>
    </w:p>
    <w:p w14:paraId="33F0488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9" w:name="_Toc2479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（八）其他情况</w:t>
      </w:r>
      <w:bookmarkEnd w:id="9"/>
    </w:p>
    <w:p w14:paraId="3A8A7DC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天气情况</w:t>
      </w:r>
    </w:p>
    <w:p w14:paraId="0EC0A87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当天，阴，最低气温25℃，最高气温29℃，东南风3级。经核查，事发时间段内无大风、强降雨等恶劣气象状况，气象条件满足吊篮室外作业基本条件，不存在极端天气强制停工情形，不存在因极端天气引发本次事故的客观条件。</w:t>
      </w:r>
    </w:p>
    <w:p w14:paraId="2B3487F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环境情况</w:t>
      </w:r>
    </w:p>
    <w:p w14:paraId="280A8B9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（1）项目整体环境</w:t>
      </w:r>
    </w:p>
    <w:p w14:paraId="2A2EBD0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项目由三亚悦麓开发有限公司建设，主体工程由中建六局完成施工，外立面门窗工程由中建装饰专业分包、中诺建工承接劳务施工，高处作业吊篮由海南嘉鑫租赁及维保，浙江天成全程负责项目安全质量监理。涉事 1# 楼共 25 层、总高 85.9 米，事发点位位于 12 层外立面，离地约40米，属高风险高处作业区域，现场多台吊篮同步开展外墙施工作业。</w:t>
      </w:r>
    </w:p>
    <w:p w14:paraId="7760875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（2）现场作业环境</w:t>
      </w:r>
    </w:p>
    <w:p w14:paraId="0021CF1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设备环境：事发前一天6月22日16时许，事故吊篮设备租赁单位已将存在配套电缆破损情况的142#涉事吊篮执行停用处置，并将142#吊篮原有电缆全部抽离至1#楼的15层存放，同时将吊篮电缆损坏、设备临时停用的情况在项目工作微信群内进行文字及图片通报。</w:t>
      </w:r>
    </w:p>
    <w:p w14:paraId="713E7FF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作业面环境：事发作业点位为建筑 90°外凸直角转角，墙体凹凸不平、存在凸起构件，97#吊篮与142#吊篮紧邻布置于转角两侧。作业时违规借用97#吊篮电缆跨转角为142#吊篮供电，线缆随吊篮升降易被墙体凸起挂断。</w:t>
      </w:r>
    </w:p>
    <w:p w14:paraId="02E8C4A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吊篮墙体间隙作业环境：涉事142#吊篮与墙体间距不足0.5米，作业间隙狭小且无任何隔离防护设施，存在电缆挤压破损、剐蹭断裂的客观安全隐患。</w:t>
      </w:r>
    </w:p>
    <w:p w14:paraId="125927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3.舆论关注热点</w:t>
      </w:r>
    </w:p>
    <w:p w14:paraId="2DA9E9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事故发生后相关施工、监理单位微信群同步通报事故信息，相关单位第一时间组织应急救援、善后及家属安抚工作，未引发社会舆情。</w:t>
      </w:r>
    </w:p>
    <w:p w14:paraId="31D1D98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0" w:name="_Toc14758"/>
      <w:r>
        <w:rPr>
          <w:rFonts w:hint="eastAsia" w:ascii="黑体" w:hAnsi="黑体" w:eastAsia="黑体" w:cs="黑体"/>
          <w:b w:val="0"/>
          <w:bCs w:val="0"/>
          <w:snapToGrid w:val="0"/>
          <w:color w:val="auto"/>
          <w:kern w:val="0"/>
          <w:sz w:val="32"/>
          <w:szCs w:val="32"/>
          <w:highlight w:val="none"/>
          <w:lang w:val="en-US" w:eastAsia="zh-CN"/>
        </w:rPr>
        <w:t>二、事故应急处置及评估情况</w:t>
      </w:r>
      <w:bookmarkEnd w:id="10"/>
    </w:p>
    <w:p w14:paraId="22DB8BF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1" w:name="_Toc1136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（一）事故信息接报及响应情况</w:t>
      </w:r>
      <w:bookmarkEnd w:id="11"/>
    </w:p>
    <w:p w14:paraId="02F7C26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触电后，现场另一名作业人员海南实创的熊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，第一时间拨打 120 急救电话、同步将事故情况电话告知中诺建工班组长田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；7:25分许，田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上报中诺建工生产经理；7:30分许，中诺建工生产经理将事故情况上报门窗专业分包单位中建装饰及监理单位浙江天成，监理单位浙江天成获悉事故情况后，随即将事故情况上报建设单位三亚悦麓及属地行业主管部门；8:30分许，属地住建部门、应急管理局等接报后报至区政府。事故信息接报及</w:t>
      </w:r>
      <w:r>
        <w:rPr>
          <w:rFonts w:hint="eastAsia" w:ascii="Times New Roman" w:hAnsi="Times New Roman" w:eastAsia="仿宋_GB2312" w:cs="Times New Roman"/>
          <w:b w:val="0"/>
          <w:bCs w:val="0"/>
          <w:color w:val="auto"/>
          <w:kern w:val="0"/>
          <w:sz w:val="32"/>
          <w:szCs w:val="32"/>
          <w:highlight w:val="none"/>
          <w:lang w:val="en-US" w:eastAsia="zh-CN"/>
        </w:rPr>
        <w:t>响应</w:t>
      </w:r>
      <w:r>
        <w:rPr>
          <w:rFonts w:hint="default" w:ascii="Times New Roman" w:hAnsi="Times New Roman" w:eastAsia="仿宋_GB2312" w:cs="Times New Roman"/>
          <w:b w:val="0"/>
          <w:bCs w:val="0"/>
          <w:color w:val="auto"/>
          <w:kern w:val="0"/>
          <w:sz w:val="32"/>
          <w:szCs w:val="32"/>
          <w:highlight w:val="none"/>
          <w:lang w:val="en-US" w:eastAsia="zh-CN"/>
        </w:rPr>
        <w:t>规范及时，整个过程无迟报、瞒报、谎报等情形。</w:t>
      </w:r>
    </w:p>
    <w:p w14:paraId="32E1D2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2" w:name="_Toc1933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（二）事故现场应急处置情况</w:t>
      </w:r>
      <w:bookmarkEnd w:id="12"/>
    </w:p>
    <w:p w14:paraId="165BC7F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将中诺建工作业人员向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的触电情况电话告知中诺建工班组长田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接报后立即赶往事发现场，同时拨打 120 急救电话。到达现场后，发现向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晕倒在吊篮里。因无法独自将向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搬离事发地点，</w:t>
      </w:r>
      <w:r>
        <w:rPr>
          <w:rFonts w:hint="eastAsia" w:ascii="Times New Roman" w:hAnsi="Times New Roman" w:eastAsia="仿宋_GB2312" w:cs="Times New Roman"/>
          <w:b w:val="0"/>
          <w:bCs w:val="0"/>
          <w:color w:val="auto"/>
          <w:kern w:val="0"/>
          <w:sz w:val="32"/>
          <w:szCs w:val="32"/>
          <w:highlight w:val="none"/>
          <w:lang w:val="en-US" w:eastAsia="zh-CN"/>
        </w:rPr>
        <w:t>随即</w:t>
      </w:r>
      <w:r>
        <w:rPr>
          <w:rFonts w:hint="default" w:ascii="Times New Roman" w:hAnsi="Times New Roman" w:eastAsia="仿宋_GB2312" w:cs="Times New Roman"/>
          <w:b w:val="0"/>
          <w:bCs w:val="0"/>
          <w:color w:val="auto"/>
          <w:kern w:val="0"/>
          <w:sz w:val="32"/>
          <w:szCs w:val="32"/>
          <w:highlight w:val="none"/>
          <w:lang w:val="en-US" w:eastAsia="zh-CN"/>
        </w:rPr>
        <w:t>联系其他工友一起协助，将死者转移到楼层地面后，对其开展心肺复苏应急救护。</w:t>
      </w:r>
    </w:p>
    <w:p w14:paraId="756C16C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2026年6月23日7:35分许，浙江天成项目总监理工程师江</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接到事故通知后第一时间抵达现场，督促落实现场管控、启动应急预案、下达工程暂停令，叫停项目全部施工，组织人员撤离并同步上报建设及行业主管部门。</w:t>
      </w:r>
    </w:p>
    <w:p w14:paraId="6450131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2026年6月23日8:05分许，120急救人员抵达现场，现场抢救无效后宣告向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死亡。</w:t>
      </w:r>
    </w:p>
    <w:p w14:paraId="747EDB7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2026年6月23日9:00许，住建、应急执法人员到达现场，封锁1#楼南侧作业区域，停用全部吊篮，开展现场勘查、证据固定，确认无其他被困人员、无次生事故风险。</w:t>
      </w:r>
    </w:p>
    <w:p w14:paraId="1668A8B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2026年6月23日10:30分许，现场应急救援工作终止。</w:t>
      </w:r>
    </w:p>
    <w:p w14:paraId="2BA8C4A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3" w:name="_Toc3153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（三）医疗救治和善后情况</w:t>
      </w:r>
      <w:bookmarkEnd w:id="13"/>
    </w:p>
    <w:p w14:paraId="4962A6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医疗救治</w:t>
      </w:r>
    </w:p>
    <w:p w14:paraId="4BBA79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事发后，现场工友紧急对死者进行心肺复苏急救，120救护人员到达现场后，对死者进行抢救，随后送至三亚市中医院继续抢救，之后由三亚市中医院确认死者电击死亡。</w:t>
      </w:r>
    </w:p>
    <w:p w14:paraId="2A9B0F9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善后情况</w:t>
      </w:r>
    </w:p>
    <w:p w14:paraId="430E90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亚悦麓、中诺建工、中建六局等单位第一时间成立善后工作组，对接死者家属，协商相关善后事宜，并于2026年6月25日达成对死者家属的补偿协议，家属同时签订谅解书。善后处理过程家属情绪稳定，未发生群体性事件，未引发社会舆情。</w:t>
      </w:r>
    </w:p>
    <w:p w14:paraId="710CAA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4" w:name="_Toc11146"/>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（四）事故应急处置评估</w:t>
      </w:r>
      <w:bookmarkEnd w:id="14"/>
    </w:p>
    <w:p w14:paraId="143B3B5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发生后，现场工友第一时间拨打120急救电话，并将事故情况汇报给班组负责人，在现场与闻讯赶来的其他工友一起进行应急救援，现场急救处置工作及时。各单位及各有关部门事故上报流程顺畅，政府部门到场迅速，善后协商高效，未引发社会舆情。本次事故现场应急处置、政府救援处置流程合规。</w:t>
      </w:r>
    </w:p>
    <w:p w14:paraId="0086E1A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5" w:name="_Toc26909"/>
      <w:r>
        <w:rPr>
          <w:rFonts w:hint="eastAsia" w:ascii="黑体" w:hAnsi="黑体" w:eastAsia="黑体" w:cs="黑体"/>
          <w:b w:val="0"/>
          <w:bCs w:val="0"/>
          <w:snapToGrid w:val="0"/>
          <w:color w:val="auto"/>
          <w:kern w:val="0"/>
          <w:sz w:val="32"/>
          <w:szCs w:val="32"/>
          <w:highlight w:val="none"/>
          <w:lang w:val="en-US" w:eastAsia="zh-CN"/>
        </w:rPr>
        <w:t>三、事故原因分析</w:t>
      </w:r>
      <w:bookmarkEnd w:id="15"/>
    </w:p>
    <w:p w14:paraId="74F98C8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事故直接原因是：死者向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违规擅自搭接相邻吊篮电缆为故障停用吊篮供电，吊篮运行中发生电缆断裂后，未上报班组长等管理人员，徒手接驳破损电缆，引发触电事故。</w:t>
      </w:r>
    </w:p>
    <w:p w14:paraId="3582D8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6" w:name="_Toc2418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（一）直接原因分析</w:t>
      </w:r>
      <w:bookmarkEnd w:id="16"/>
    </w:p>
    <w:p w14:paraId="3B842A4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本次事故是设备不安全状态持续存在、现场安全管控失效、人员违规作业等多重因素叠加，按时间递进逐步诱发的生产安全事故，各环节环环相扣、层层放大风险。</w:t>
      </w:r>
    </w:p>
    <w:p w14:paraId="64C790F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事故隐患分四个阶段递进：首先，吊篮维保单位</w:t>
      </w:r>
      <w:r>
        <w:rPr>
          <w:rFonts w:hint="default" w:ascii="Times New Roman" w:hAnsi="Times New Roman" w:eastAsia="仿宋_GB2312" w:cs="Times New Roman"/>
          <w:b w:val="0"/>
          <w:bCs w:val="0"/>
          <w:snapToGrid w:val="0"/>
          <w:color w:val="auto"/>
          <w:kern w:val="0"/>
          <w:sz w:val="32"/>
          <w:szCs w:val="32"/>
          <w:highlight w:val="none"/>
          <w:lang w:val="en-US" w:eastAsia="zh-CN"/>
        </w:rPr>
        <w:t>嘉鑫租赁</w:t>
      </w:r>
      <w:r>
        <w:rPr>
          <w:rFonts w:hint="default" w:ascii="Times New Roman" w:hAnsi="Times New Roman" w:eastAsia="仿宋_GB2312" w:cs="Times New Roman"/>
          <w:b w:val="0"/>
          <w:bCs w:val="0"/>
          <w:color w:val="auto"/>
          <w:kern w:val="0"/>
          <w:sz w:val="32"/>
          <w:szCs w:val="32"/>
          <w:highlight w:val="none"/>
          <w:lang w:val="en-US" w:eastAsia="zh-CN"/>
        </w:rPr>
        <w:t>确认142#吊篮电缆损坏并下达停用通知后，中诺建工未对故障吊篮采取隔离封存、上锁警示等管控措施，形成设备基础安全隐患；其次，作业人员向诗洪擅自挪用其他吊篮电缆跨建筑拐角私接临时电源，启动人为风险；接下来，吊篮在 90°拐角升空时拉扯挤压外接电缆，造成线缆断裂、导线裸露，风险升级；最后，作业人员向诗洪在未向班组长等管理人员报告的情况下徒手接驳带电破损线缆，形成导电回路，设备安全隐患叠加人为操作风险，多重不安全因素叠加耦合，最终导致本次触电生产安全事故。</w:t>
      </w:r>
    </w:p>
    <w:p w14:paraId="7080B7F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7" w:name="_Toc2618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（二）事故相关检验检测和鉴定情况</w:t>
      </w:r>
      <w:bookmarkEnd w:id="17"/>
    </w:p>
    <w:p w14:paraId="1FA1B95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死亡证明</w:t>
      </w:r>
    </w:p>
    <w:p w14:paraId="0A667D3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依据三亚市中医院出具的《居民死亡医学证明（推断）书》（编号：46020300120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），向诗洪的死亡原因为电击伤。</w:t>
      </w:r>
    </w:p>
    <w:p w14:paraId="4FCF87B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事故电缆现场勘验</w:t>
      </w:r>
    </w:p>
    <w:p w14:paraId="3E99E98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经事故调查组对断裂电缆现场勘验：事故电缆绝缘层断裂裸露，绝缘保护失效，通电状态下人体接触可造成触电。</w:t>
      </w:r>
    </w:p>
    <w:p w14:paraId="4EDE09B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特种作业资格证书核查</w:t>
      </w:r>
    </w:p>
    <w:p w14:paraId="6D16C52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 xml:space="preserve">经住建部门和应急管理部门系统核查，死者向诗洪具备高处作业资格证书，无电工作业特种作业资格证书取证记录。   </w:t>
      </w:r>
    </w:p>
    <w:p w14:paraId="5777B67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 超危大工程认定及专项施工方案管理</w:t>
      </w:r>
    </w:p>
    <w:p w14:paraId="57734C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（1）超危大工程认定</w:t>
      </w:r>
    </w:p>
    <w:p w14:paraId="11CB916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依据住房和城乡建设部办公厅关于实施《危险性较大的分部分项工程安全管理规定》有关问题的通知（建办质〔2018〕31号）附件 2 规定</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0"/>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：本项目涉事楼栋幕墙施工高度约 85.9 米，远超 50m 临界值，属于超过一定规模的危险性较大的分部分项工程（以下简称：超危大工程），依法必须严格落实超危大工程专项管控、专人旁站、隐患闭环、节假日重点值守等从严管理要求。</w:t>
      </w:r>
    </w:p>
    <w:p w14:paraId="3FDD52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（2）超危大工程专项施工方案管理</w:t>
      </w:r>
    </w:p>
    <w:p w14:paraId="2238D1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2025年12月27日，中建装饰编制的《临时用电》专项施工方案通过浙江天成的审查。方案第1.1.4条“本工程临电管理重难点”中吊篮用电安全解决方案及保证措施明确指出：禁止各班组在吊篮内随意接线，改变吊篮电路结构。</w:t>
      </w:r>
    </w:p>
    <w:p w14:paraId="06926F5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2026年3月4日，由中建六局组织三亚悦麓、浙江天成、中建装饰及 5 名专家召开专项施工方案论证会，对中建装饰编制的《高处作业吊篮专项施工方案》，进行危险性较大分部、分项工程安全专项施工方案论证。</w:t>
      </w:r>
    </w:p>
    <w:p w14:paraId="1333578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2026年3月7日，中建装饰依据专家组意见，完成对《高处作业吊篮专项施工方案》的修改。方案中要求通过编制安全专项施工方案并对方案交底、使用前联合验收</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并加强过程检查、培训《高处作业吊篮》（GB-T19155-2017）、做好三级安全技术交底、作业人员佩戴好劳保用品等措施防止吊篮触电事故发生。</w:t>
      </w:r>
    </w:p>
    <w:p w14:paraId="36D037D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8" w:name="_Toc150"/>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（三）其他可能因素排除</w:t>
      </w:r>
      <w:bookmarkEnd w:id="18"/>
    </w:p>
    <w:p w14:paraId="1DD2245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排除人为故意破坏</w:t>
      </w:r>
    </w:p>
    <w:p w14:paraId="0CE6411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经现场勘查、人员询问及调取项目聊天记录核实，本次违规接线行为系死者向诗洪自主实施，未发现他人指使、干预及蓄意破坏现场、设备的相关痕迹。</w:t>
      </w:r>
    </w:p>
    <w:p w14:paraId="7E7809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排除自然灾害、电网故障</w:t>
      </w:r>
    </w:p>
    <w:p w14:paraId="1FB103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经调阅气象部门数据、结合现场人员询问核实：事发当日现场供电正常、工况稳定，无雷电、大风、暴雨等极端恶劣天气，气象及供电条件均未对本次事故造成影响。</w:t>
      </w:r>
    </w:p>
    <w:p w14:paraId="59ED0E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排除吊篮设备本身电控故障</w:t>
      </w:r>
    </w:p>
    <w:p w14:paraId="356E0A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经现场核查排除吊篮设备自身电控故障，除死者本人人为挪用、搭接电缆造成线路破损外，涉事吊篮电控箱、漏电保护器等电气装置功能完好、工况正常。</w:t>
      </w:r>
    </w:p>
    <w:p w14:paraId="5A9906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9" w:name="_Toc8275"/>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（四）间接原因分析</w:t>
      </w:r>
      <w:bookmarkEnd w:id="19"/>
    </w:p>
    <w:p w14:paraId="44E6E7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的发生，除作业人员个人严重违规作业的直接因素外，核心源于事发现场相关劳务作业人员安全意识及能力匮乏、劳务分包单位对作业安排及故障吊篮风险防控措施落实不力、监理安全监管不到位等管理漏洞，未能及时发现并制止违规作业、消除现场安全隐患，是引发本次事故的重要间接原因，具体分析如下：</w:t>
      </w:r>
    </w:p>
    <w:p w14:paraId="590720E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中诺（海南）建设工程有限公司：现场安全管控主体</w:t>
      </w:r>
    </w:p>
    <w:p w14:paraId="4E3617A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中诺建工作为幕墙吊篮作业实施主体及现场安全管控直接责任单位，因未严格落实全员安全生产责任制，高处超危大作业与临时用电安全管理落实不到位，</w:t>
      </w:r>
      <w:r>
        <w:rPr>
          <w:rFonts w:hint="eastAsia" w:ascii="Times New Roman" w:hAnsi="Times New Roman" w:eastAsia="仿宋_GB2312" w:cs="Times New Roman"/>
          <w:b w:val="0"/>
          <w:bCs w:val="0"/>
          <w:color w:val="auto"/>
          <w:kern w:val="0"/>
          <w:sz w:val="32"/>
          <w:szCs w:val="32"/>
          <w:highlight w:val="none"/>
          <w:lang w:val="en-US" w:eastAsia="zh-CN"/>
        </w:rPr>
        <w:t>是</w:t>
      </w:r>
      <w:r>
        <w:rPr>
          <w:rFonts w:hint="default" w:ascii="Times New Roman" w:hAnsi="Times New Roman" w:eastAsia="仿宋_GB2312" w:cs="Times New Roman"/>
          <w:b w:val="0"/>
          <w:bCs w:val="0"/>
          <w:color w:val="auto"/>
          <w:kern w:val="0"/>
          <w:sz w:val="32"/>
          <w:szCs w:val="32"/>
          <w:highlight w:val="none"/>
          <w:lang w:val="en-US" w:eastAsia="zh-CN"/>
        </w:rPr>
        <w:t>本次事故最核心的间接管理原因：该公司实施吊篮高处高危作业时，未能准确研判故障吊篮风险、未对故障吊篮采取有效防控措施，未能及时发现并制止违规使用故障吊篮并挪用电缆等违规行为；未严格落实专项安全技术交底和安全教育培训考核机制，作业人员安全风险辨识与应急处置能力不足；同时未对建筑拐角狭小空间、多吊篮交叉作业等高风险部位开展专项辨识并制定管控措施；其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在安排施工作业任务时，未告知作业人员故障吊篮停用及风险；多重管理漏洞叠加最终诱发事故。</w:t>
      </w:r>
    </w:p>
    <w:p w14:paraId="0AFE6CA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海南实创建筑劳务有限公司：劳务作业配合单位</w:t>
      </w:r>
    </w:p>
    <w:p w14:paraId="2422234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为本项目主体工程劳务分包单位，主体工程完工后，配合中诺建工开展外立面门窗安装瑕疵剔凿作业，对参与配合作业的劳务人员安全意识教育培训不到位，现场风险防控管理落实不力。其劳务作业人员熊爱军抵达涉事142#吊篮，发现吊篮缺少供电电缆，且在吊篮内目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违规搭接97#吊篮电缆、违规接驳破损电缆等违章行为时，未及时制止，亦未向班组长及现场管理人员上报隐患。</w:t>
      </w:r>
      <w:r>
        <w:rPr>
          <w:rFonts w:hint="eastAsia" w:ascii="Times New Roman" w:hAnsi="Times New Roman" w:eastAsia="仿宋_GB2312" w:cs="Times New Roman"/>
          <w:b w:val="0"/>
          <w:bCs w:val="0"/>
          <w:color w:val="auto"/>
          <w:kern w:val="0"/>
          <w:sz w:val="32"/>
          <w:szCs w:val="32"/>
          <w:highlight w:val="none"/>
          <w:lang w:val="en-US" w:eastAsia="zh-CN"/>
        </w:rPr>
        <w:t>上述行为</w:t>
      </w:r>
      <w:r>
        <w:rPr>
          <w:rFonts w:hint="default" w:ascii="Times New Roman" w:hAnsi="Times New Roman" w:eastAsia="仿宋_GB2312" w:cs="Times New Roman"/>
          <w:b w:val="0"/>
          <w:bCs w:val="0"/>
          <w:color w:val="auto"/>
          <w:kern w:val="0"/>
          <w:sz w:val="32"/>
          <w:szCs w:val="32"/>
          <w:highlight w:val="none"/>
          <w:lang w:val="en-US" w:eastAsia="zh-CN"/>
        </w:rPr>
        <w:t>均为本起事故发生的间接原因。</w:t>
      </w:r>
    </w:p>
    <w:p w14:paraId="4F32EB2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浙江天成项目管理有限公司：项目安全监理主体</w:t>
      </w:r>
    </w:p>
    <w:p w14:paraId="2F124D5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作为项目安全质量监理单位，未依照法律、法规和工程建设强制性标准实施监理，是本起事故重要间接原因。该单位监理值守制度存在突出问题：一是2026年6月19-22日端午假期，实际放假较法定假期（6月19-21日）多了一天，4天假期期间，节假日高风险作业期间仅安排总监值班；二是现场 7:00 开工，监理 8:30 打卡到岗，晚于现场开工时间，存在1小时30分的超危大工程监理空档；三是设备隐患整改指令表述笼统，未明确事故吊篮的整改标准和完成时限，整改约束力不足；四是吊篮隐患未开展现场实质复核验收，6月22日安全巡查记录载明1#楼142#吊篮电缆老化破皮未更换，同份记录同时填报“已整改完毕”，且无具体整改措施。</w:t>
      </w:r>
    </w:p>
    <w:p w14:paraId="5477BC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20" w:name="_Toc15623"/>
      <w:bookmarkStart w:id="21" w:name="_Toc10768"/>
      <w:r>
        <w:rPr>
          <w:rFonts w:hint="eastAsia" w:ascii="黑体" w:hAnsi="黑体" w:eastAsia="黑体" w:cs="黑体"/>
          <w:b w:val="0"/>
          <w:bCs w:val="0"/>
          <w:snapToGrid w:val="0"/>
          <w:color w:val="auto"/>
          <w:kern w:val="0"/>
          <w:sz w:val="32"/>
          <w:szCs w:val="32"/>
          <w:highlight w:val="none"/>
          <w:lang w:val="en-US" w:eastAsia="zh-CN"/>
        </w:rPr>
        <w:t>四、有关责任单位存在的主要问题</w:t>
      </w:r>
      <w:bookmarkEnd w:id="20"/>
      <w:bookmarkEnd w:id="21"/>
    </w:p>
    <w:p w14:paraId="1C7E831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22" w:name="_Toc29478"/>
      <w:bookmarkStart w:id="23" w:name="_Toc2418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w:t>
      </w:r>
      <w:bookmarkStart w:id="24" w:name="heading_25"/>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中诺（海南）建设工程有限公司：主要责任单位</w:t>
      </w:r>
      <w:bookmarkEnd w:id="22"/>
      <w:bookmarkEnd w:id="23"/>
      <w:bookmarkEnd w:id="24"/>
    </w:p>
    <w:p w14:paraId="43F0326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下午16时许，在吊篮维保单位电工已在吊篮维保微信工作群告知142#吊篮电缆损坏并抽离的情况下，当日晚上21时许该公司班组长派工安排包括事故点位在内的相关作业时，未同步告知作业人员存在的吊篮故障停用问题，且未对故障吊篮采取停用、隔离、警示等现场安全管控措施；对劳务人员的安全风险辨识和临时用电安全教育培训不足，致使作业现场出现无电工特种作业资质人员实施临时用电接线作业的情况；高处作业用电安全日常巡查不到位，未及时发现并制止违章挪用电缆行为。</w:t>
      </w:r>
    </w:p>
    <w:p w14:paraId="4F34B6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5" w:name="_Toc16753"/>
      <w:bookmarkStart w:id="26" w:name="_Toc1056"/>
      <w:bookmarkStart w:id="27" w:name="heading_32"/>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（二）海南实创建筑劳务有限公司：次要责任单位</w:t>
      </w:r>
      <w:bookmarkEnd w:id="25"/>
      <w:bookmarkEnd w:id="26"/>
    </w:p>
    <w:p w14:paraId="29936DB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作为主体工程劳务分包单位，在外立面剔凿配合作业期间，劳务人员安全意识教育培训、现场风险防范管理落实不到位；作业人员发现吊篮供电缺失、他人违规搭接接驳电缆等违章隐患时，未予以制止、未上报管理人员，现场隐患自查互控管理履职不力。</w:t>
      </w:r>
    </w:p>
    <w:p w14:paraId="382FB3A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8" w:name="_Toc1182"/>
      <w:bookmarkStart w:id="29" w:name="_Toc25366"/>
      <w:bookmarkStart w:id="30" w:name="heading_28"/>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（三）浙江天成项目管理有限公司：次要责任单位</w:t>
      </w:r>
      <w:bookmarkEnd w:id="28"/>
      <w:bookmarkEnd w:id="29"/>
    </w:p>
    <w:bookmarkEnd w:id="30"/>
    <w:p w14:paraId="724F95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未依照法律、法规和工程建设强制性标准实施监理：监理值守制度不完善，端午假期仅总监值班，早间施工至监理到岗形成监管空档；隐患整改监理不规范，下发整改指令要素不全、监管指导性差，未现场复核验收吊篮整改情况完成隐患整改闭环。</w:t>
      </w:r>
    </w:p>
    <w:p w14:paraId="19FD30A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31" w:name="_Toc5958"/>
      <w:bookmarkStart w:id="32" w:name="_Toc2888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（四）相关单位无责说明</w:t>
      </w:r>
      <w:bookmarkEnd w:id="31"/>
      <w:bookmarkEnd w:id="32"/>
    </w:p>
    <w:p w14:paraId="314953B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1.海南嘉鑫工程设备租赁有限公司</w:t>
      </w:r>
    </w:p>
    <w:p w14:paraId="5C9B41A9">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经调查核实，海南嘉鑫</w:t>
      </w:r>
      <w:r>
        <w:rPr>
          <w:rFonts w:hint="eastAsia" w:ascii="Times New Roman" w:hAnsi="Times New Roman" w:eastAsia="仿宋_GB2312" w:cs="Times New Roman"/>
          <w:b w:val="0"/>
          <w:bCs w:val="0"/>
          <w:color w:val="auto"/>
          <w:kern w:val="0"/>
          <w:sz w:val="32"/>
          <w:szCs w:val="32"/>
          <w:highlight w:val="none"/>
          <w:lang w:val="en-US" w:eastAsia="zh-CN"/>
        </w:rPr>
        <w:t>与</w:t>
      </w:r>
      <w:r>
        <w:rPr>
          <w:rFonts w:hint="default" w:ascii="Times New Roman" w:hAnsi="Times New Roman" w:eastAsia="仿宋_GB2312" w:cs="Times New Roman"/>
          <w:b w:val="0"/>
          <w:bCs w:val="0"/>
          <w:color w:val="auto"/>
          <w:kern w:val="0"/>
          <w:sz w:val="32"/>
          <w:szCs w:val="32"/>
          <w:highlight w:val="none"/>
          <w:lang w:val="en-US" w:eastAsia="zh-CN"/>
        </w:rPr>
        <w:t>中建装饰签订吊篮租赁合同，合同约定由该单位负责向项目一标段出租吊篮并进行吊篮的日常检修、故障报修、配件更换，通过吊篮工作协调微信群，同步报送设备故障、维修保养计划。</w:t>
      </w:r>
    </w:p>
    <w:p w14:paraId="549410E9">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2026年6月22日，针对中诺建工在微信群中反馈的吊篮故障问题，该单位工作人员马海洋已赴现场完成故障核实确认，并在工作协调微信群内上传故障吊篮电缆缺陷照片、电缆抽离至 15 楼的现场处置照片，同时明确告知相关单位该故障吊篮应当停止使用，待电缆修复完成后方可投入作业。</w:t>
      </w:r>
    </w:p>
    <w:p w14:paraId="2A120B17">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海南嘉鑫工程设备租赁有限公司已按照合同约定完成故障排查、现场处置、发布停用通知的相关工作，其行为与事故发生不存在因果关系，对本起事故不承担事故责任。</w:t>
      </w:r>
    </w:p>
    <w:p w14:paraId="386BA89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中国建筑装饰集团有限公司</w:t>
      </w:r>
    </w:p>
    <w:p w14:paraId="7D0E92B8">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事故发生前，中国建筑装饰集团有限公司作为涉事建筑外立面门窗安装工程专业分包单位，已依照其与中诺建工签订的劳务分包合同、安全生产管理协议的约定，履行其对中诺建工的相关安全管理职责，已依照与嘉鑫租赁的吊篮租赁合同约定约束嘉鑫租赁履行吊篮相关维保责任，对本次事故不承担事故责任，不给予行政处罚、不追究相关管理人员责任。</w:t>
      </w:r>
    </w:p>
    <w:bookmarkEnd w:id="27"/>
    <w:p w14:paraId="19ECBFE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bookmarkStart w:id="33" w:name="heading_33"/>
      <w:r>
        <w:rPr>
          <w:rFonts w:hint="default" w:ascii="Times New Roman" w:hAnsi="Times New Roman" w:eastAsia="仿宋_GB2312" w:cs="Times New Roman"/>
          <w:b/>
          <w:bCs/>
          <w:color w:val="auto"/>
          <w:kern w:val="0"/>
          <w:sz w:val="32"/>
          <w:szCs w:val="32"/>
          <w:highlight w:val="none"/>
          <w:lang w:val="en-US" w:eastAsia="zh-CN"/>
        </w:rPr>
        <w:t xml:space="preserve">3. </w:t>
      </w:r>
      <w:bookmarkEnd w:id="33"/>
      <w:r>
        <w:rPr>
          <w:rFonts w:hint="default" w:ascii="Times New Roman" w:hAnsi="Times New Roman" w:eastAsia="仿宋_GB2312" w:cs="Times New Roman"/>
          <w:b/>
          <w:bCs/>
          <w:color w:val="auto"/>
          <w:kern w:val="0"/>
          <w:sz w:val="32"/>
          <w:szCs w:val="32"/>
          <w:highlight w:val="none"/>
          <w:lang w:val="en-US" w:eastAsia="zh-CN"/>
        </w:rPr>
        <w:t>中国建筑第六工程局有限公司</w:t>
      </w:r>
    </w:p>
    <w:p w14:paraId="7D4D8E31">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事故发生前，中国建筑第六工程局有限公司已完成涉事项目的主体工程施工，现场已进入门窗外立面安装工程的施工阶段，对本起门窗外立面安装工程发生的高处作业吊篮事故不承担事故责任，不给予行政处罚、不追究相关管理人员责任。</w:t>
      </w:r>
      <w:bookmarkStart w:id="34" w:name="_Toc12854"/>
    </w:p>
    <w:p w14:paraId="1FE54D71">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3"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4.三亚悦麓开发有限公司</w:t>
      </w:r>
    </w:p>
    <w:p w14:paraId="6231F677">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三亚悦麓开发有限公司作为涉事工程项目的建设单位，已按规定办理项目建设相关手续，足额计取并拨付安全生产文明施工措施费用，不存在压缩合同工期、明示或暗示使用不合格机械设备、违规干预施工现场安全管理等行为，已依法履行项目建设单位法定安全职责。事故发生与建设单位履职行为无因果关系，建设单位对本起事故不承担事故责任，不给予行政处罚、不追究相关管理人员责任。</w:t>
      </w:r>
    </w:p>
    <w:p w14:paraId="660E6B73">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35" w:name="_Toc2833"/>
      <w:r>
        <w:rPr>
          <w:rFonts w:hint="eastAsia" w:ascii="黑体" w:hAnsi="黑体" w:eastAsia="黑体" w:cs="黑体"/>
          <w:b w:val="0"/>
          <w:bCs w:val="0"/>
          <w:snapToGrid w:val="0"/>
          <w:color w:val="auto"/>
          <w:kern w:val="0"/>
          <w:sz w:val="32"/>
          <w:szCs w:val="32"/>
          <w:highlight w:val="none"/>
          <w:lang w:val="en-US" w:eastAsia="zh-CN"/>
        </w:rPr>
        <w:t>五、对有关责任人员和责任单位的处理建议</w:t>
      </w:r>
      <w:bookmarkEnd w:id="34"/>
      <w:bookmarkEnd w:id="35"/>
    </w:p>
    <w:p w14:paraId="5A52AA3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6" w:name="_Toc32427"/>
      <w:bookmarkStart w:id="37" w:name="_Toc24350"/>
      <w:bookmarkStart w:id="38" w:name="heading_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（一）因在事故中死亡免予追究责任人员</w:t>
      </w:r>
      <w:bookmarkEnd w:id="36"/>
      <w:bookmarkEnd w:id="37"/>
      <w:bookmarkEnd w:id="38"/>
    </w:p>
    <w:p w14:paraId="675CAD1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，男，群众，中诺（海南）建设工程有限公司作业人员。身份证号码：500234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经住建、应急管理部门系统核查，该人员无电工作业特种作业操作资格取证记录，安全意识非常淡薄，在142#吊篮因电缆损坏已被停用、电缆抽离的情况下，擅自跨作业面搭接相邻吊篮电缆为涉事吊篮临时供电；在吊篮运行扯断电缆、线路破损带电后，未切断总电源、未佩戴绝缘防护用品，违规徒手对接带电破损电缆，最终引发触电事故。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《中华人民共和国主席令</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相关规定，对本次事故发生负直接主要责任。鉴于其已在事故中死亡，建议免予追究其相关责任。</w:t>
      </w:r>
    </w:p>
    <w:p w14:paraId="6BEB765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9" w:name="heading_3"/>
      <w:bookmarkStart w:id="40" w:name="_Toc12847"/>
      <w:bookmarkStart w:id="41" w:name="_Toc3188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w:t>
      </w:r>
      <w:bookmarkEnd w:id="39"/>
      <w:bookmarkStart w:id="42" w:name="heading_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对相关责任人员的行政处罚建议</w:t>
      </w:r>
      <w:bookmarkEnd w:id="40"/>
      <w:bookmarkEnd w:id="41"/>
      <w:bookmarkEnd w:id="42"/>
    </w:p>
    <w:p w14:paraId="70D76B2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田</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：中诺（海南）建设工程有限公司班组长</w:t>
      </w:r>
    </w:p>
    <w:p w14:paraId="4FFF597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，男，中国共产党党员，中诺（海南）建设工程有限公司班组长及现场安全生产管理人员，涉事项目现场带班人员。身份证号码：500234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4972。在知道涉事142#吊篮发生故障停用的情况下，未严格落实其班组长安全责任，向死者向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派工时未同步告知其142#故障吊篮停用及其安全风险问题，对事故发生负直接责任。其行为违反《中华人民共和国安全生产法》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2"/>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相关规定，建议由中诺（海南）建设工程有限公司依据《中华人民共和国安全生产法》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《中华人民共和国主席令</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第一百零七条相关规定对其进行批评教育，依照有关规章制度给予处分。</w:t>
      </w:r>
    </w:p>
    <w:p w14:paraId="7FB590F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熊</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：海南实创建筑劳务有限公司劳务作业人员</w:t>
      </w:r>
    </w:p>
    <w:p w14:paraId="23C5B8D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，男，群众，海南实创建筑劳务有限公司劳务作业人员。事发时，与中诺建工劳务作业人员向诗洪同在事发吊篮上。身份证号码：421126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313X。未通过安全生产教育培训掌握吊篮作业所需的安全知识，发现涉事吊篮存在无电缆线、向诗洪违规操作等事故隐患未立即向现场安全生产管理人员或者本单位负责人报告。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第五十八条、第五十九条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3"/>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相关规定，建议由海南实创建筑劳务有限公司依据《中华人民共和国安全生产法》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第一百零七条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4"/>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相关规定对其进行批评教育，依照有关规章制度给予处分。</w:t>
      </w:r>
    </w:p>
    <w:p w14:paraId="73A8D26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李</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：海南实创建筑劳务有限公司班组长</w:t>
      </w:r>
    </w:p>
    <w:p w14:paraId="55A951F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，男，群众，海南实创建筑劳务有限公司班组长。身份证号码：421126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3316。作为班组长，李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未严格落实班组长安全生产岗位职责。班组作业人员熊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发现吊篮故障无法使用、向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存在违规操作等安全隐患时，未能第一时间向李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报告；李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对班组人员熊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的现场作业安全管控不到位，未尽到班组安全管理责任。其行为违反《中华人民共和国安全生产法》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第五十七条相关规定，建议由海南实创建筑劳务有限公司依据《中华人民共和国安全生产法》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第一百零七条相关规定对其进行批评教育，依照有关规章制度给予处分。</w:t>
      </w:r>
    </w:p>
    <w:p w14:paraId="6C3EBAD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 潘</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：中诺（海南）建设工程有限公司安全员</w:t>
      </w:r>
    </w:p>
    <w:p w14:paraId="5A2553C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潘</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，男，群众，中诺（海南）建设工程有限公司安全员，负责涉事项目现场安全管理。身份证号码：512222</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1715。在已知涉事142#吊篮发生故障停用的情况下，未组织人员对故障吊篮实施有效现场安全管控，对事故发生负有安全管理责任。其行为违反《中华人民共和国安全生产法》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第二十五条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5"/>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、第四十六条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6"/>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。处罚建议：依据《中华人民共和国安全生产法》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第九十六条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7"/>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对其进行处罚。</w:t>
      </w:r>
    </w:p>
    <w:p w14:paraId="1B36C36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5. 孙</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：中诺（海南）建设工程有限公司项目负责人/安全负责人</w:t>
      </w:r>
    </w:p>
    <w:p w14:paraId="32D1C7D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孙</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，男，群众，中诺（海南）建设工程有限公司项目负责人。身份证号码：220881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0917。对涉事项目实施管理期间，未建立健全全员安全生产责任制，未建立有效的危大工程管控、人员资质审核、隐患排查治理机制，企业安全管理体系失效，对项目现场存在的高处作业设备及临时用电等危险作业安全管理漏洞失管失察，对事故发生负有主要领导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8"/>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相关规定，建议有关行政执法部门依据《中华人民共和国安全生产法》第九十六条对其进行处罚。</w:t>
      </w:r>
    </w:p>
    <w:p w14:paraId="7CDAFA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6. 江</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：浙江天成项目管理有限公司项目总监理工程师</w:t>
      </w:r>
    </w:p>
    <w:p w14:paraId="15CEDF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江</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，男，群众，浙江天成项目管理有限公司项目总监理工程师，全面负责涉事项目监理安全管控工作。身份证号码：420381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2210。未健全项目监理现场值守排班制度，造成高风险作业监管空档；吊篮隐患整改跟踪复核流于形式，未核实整改实效即销项；危大工程巡视、旁站制度未有效落实；默许监理形成不实巡查记录，监理安全管控履职缺位，对事故发生负有重要领导责任。其行为违反《建设工程安全生产管理条例》</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中华人民共和国国务院令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第393号）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9"/>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、《危险性较大的分部分项工程安全管理规定》</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中华人民共和国住房和城乡建设部令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第37号）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第十八条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0"/>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相关规定。建议有关行政执法部门依据《危险性较大的分部分项工程安全管理规定》</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中华人民共和国住房和城乡建设部令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第37号）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第三十七条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1"/>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对其进行处罚。</w:t>
      </w:r>
    </w:p>
    <w:p w14:paraId="55A16CF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7. 张</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：中诺（海南）建设工程有限公司法定代表人</w:t>
      </w:r>
    </w:p>
    <w:p w14:paraId="0E0317A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张</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，男，中国共产党党员，中诺（海南）建设工程有限公司法定代表人。身份证号码：230230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1318。未建立健全并有效落实全员安全生产责任制，未督促建立完善危大工程管控、从业人员资质审查、现场隐患排查治理等管理制度，对项目存在的安全管理薄弱问题督促整改不力，是</w:t>
      </w:r>
      <w:r>
        <w:rPr>
          <w:rFonts w:hint="eastAsia" w:ascii="Times New Roman" w:hAnsi="Times New Roman" w:eastAsia="仿宋_GB2312" w:cs="Times New Roman"/>
          <w:b w:val="0"/>
          <w:bCs w:val="0"/>
          <w:color w:val="auto"/>
          <w:kern w:val="0"/>
          <w:sz w:val="32"/>
          <w:szCs w:val="32"/>
          <w:highlight w:val="none"/>
          <w:lang w:val="en-US" w:eastAsia="zh-CN"/>
        </w:rPr>
        <w:t>本次</w:t>
      </w:r>
      <w:r>
        <w:rPr>
          <w:rFonts w:hint="default" w:ascii="Times New Roman" w:hAnsi="Times New Roman" w:eastAsia="仿宋_GB2312" w:cs="Times New Roman"/>
          <w:b w:val="0"/>
          <w:bCs w:val="0"/>
          <w:color w:val="auto"/>
          <w:kern w:val="0"/>
          <w:sz w:val="32"/>
          <w:szCs w:val="32"/>
          <w:highlight w:val="none"/>
          <w:lang w:val="en-US" w:eastAsia="zh-CN"/>
        </w:rPr>
        <w:t>事故发生</w:t>
      </w:r>
      <w:r>
        <w:rPr>
          <w:rFonts w:hint="eastAsia" w:ascii="Times New Roman" w:hAnsi="Times New Roman" w:eastAsia="仿宋_GB2312" w:cs="Times New Roman"/>
          <w:b w:val="0"/>
          <w:bCs w:val="0"/>
          <w:color w:val="auto"/>
          <w:kern w:val="0"/>
          <w:sz w:val="32"/>
          <w:szCs w:val="32"/>
          <w:highlight w:val="none"/>
          <w:lang w:val="en-US" w:eastAsia="zh-CN"/>
        </w:rPr>
        <w:t>的</w:t>
      </w:r>
      <w:r>
        <w:rPr>
          <w:rFonts w:hint="default" w:ascii="Times New Roman" w:hAnsi="Times New Roman" w:eastAsia="仿宋_GB2312" w:cs="Times New Roman"/>
          <w:b w:val="0"/>
          <w:bCs w:val="0"/>
          <w:color w:val="auto"/>
          <w:kern w:val="0"/>
          <w:sz w:val="32"/>
          <w:szCs w:val="32"/>
          <w:highlight w:val="none"/>
          <w:lang w:val="en-US" w:eastAsia="zh-CN"/>
        </w:rPr>
        <w:t>重要管理根源。对事故发生负重要领导责任。其行为违反《中华人民共和国安全生产法》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第五条、第二十一条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2"/>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第九十五条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3"/>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相关规定对其进行处罚。</w:t>
      </w:r>
    </w:p>
    <w:p w14:paraId="00A5E8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43" w:name="heading_5"/>
      <w:bookmarkStart w:id="44" w:name="_Toc4737"/>
      <w:bookmarkStart w:id="45" w:name="_Toc1508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（三）对相关责任单位的行政处罚建议</w:t>
      </w:r>
      <w:bookmarkEnd w:id="43"/>
      <w:bookmarkEnd w:id="44"/>
      <w:bookmarkEnd w:id="45"/>
    </w:p>
    <w:p w14:paraId="07AF79B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中诺（海南）建设工程有限公司：主要管理责任单位</w:t>
      </w:r>
    </w:p>
    <w:p w14:paraId="77998E3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作为外立面门窗安装中吊篮作业实施主体与现场安全直接管理责任单位，未落实全员安全生产责任制；特种作业人员资质管控不严，放任无证人员从事电气作业；未落实高处危大作业现场风险分级管控及隐患排查治理机制；安全技术交底与安全教育流于形式；未对建筑外立面存在的 90°拐角狭小区域等高风险点位开展风险辨识；在142#吊篮电缆因电缆故障停用的情况下，未对吊篮施工现场采取隔离警示措施；事发当天班组长安排作业人员在142#吊篮施工作业时，未告知作业人员142#吊篮存在的施工作业风险；多重管理漏洞叠加，最终诱发触电事故。对事故发生负主要管理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第四条、第二十八条、第四十一条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4"/>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第一百一十四条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5"/>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相关规定对其进行处罚。</w:t>
      </w:r>
    </w:p>
    <w:p w14:paraId="3609733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bookmarkStart w:id="46" w:name="_Toc11534"/>
      <w:r>
        <w:rPr>
          <w:rFonts w:hint="default" w:ascii="Times New Roman" w:hAnsi="Times New Roman" w:eastAsia="仿宋_GB2312" w:cs="Times New Roman"/>
          <w:b/>
          <w:bCs/>
          <w:color w:val="auto"/>
          <w:kern w:val="0"/>
          <w:sz w:val="32"/>
          <w:szCs w:val="32"/>
          <w:highlight w:val="none"/>
          <w:lang w:val="en-US" w:eastAsia="zh-CN"/>
        </w:rPr>
        <w:t>2. 海南实创建筑劳务有限公司：次要责任单位</w:t>
      </w:r>
    </w:p>
    <w:p w14:paraId="0A7930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作为本项目主体工程劳务分包单位，在外立面门窗瑕疵剔凿配合作业实施期间，对参与配合作业的劳务人员安全意识教育培训、作业风险防范管理工作落实不力；其班组长岗位安全管理职责履行不到位，未能有效督促班组人员落实隐患报告、违章制止等安全互控要求。其现场参与作业的人员在发现吊篮供电缺失、他人违规跨吊篮搭接及接驳破损电缆等安全隐患与违章行为时，未及时制止、未上报现场管理人员，未能及时消除作业现场安全风险，对事故发生负次要管理责任。其行为违反《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第四条、第二十八条、第四十一条相关规定，建议有关行政执法部门依据《中华人民共和国安全生产法》</w:t>
      </w:r>
      <w:r>
        <w:rPr>
          <w:rFonts w:hint="eastAsia" w:ascii="Times New Roman" w:hAnsi="Times New Roman" w:eastAsia="仿宋_GB2312" w:cs="Times New Roman"/>
          <w:b w:val="0"/>
          <w:bCs w:val="0"/>
          <w:color w:val="auto"/>
          <w:kern w:val="0"/>
          <w:sz w:val="32"/>
          <w:szCs w:val="32"/>
          <w:highlight w:val="none"/>
          <w:lang w:val="en-US" w:eastAsia="zh-CN"/>
        </w:rPr>
        <w:t>《中华人民共和国</w:t>
      </w:r>
      <w:r>
        <w:rPr>
          <w:rFonts w:hint="default" w:ascii="Times New Roman" w:hAnsi="Times New Roman" w:eastAsia="仿宋_GB2312" w:cs="Times New Roman"/>
          <w:b w:val="0"/>
          <w:bCs w:val="0"/>
          <w:color w:val="auto"/>
          <w:kern w:val="0"/>
          <w:sz w:val="32"/>
          <w:szCs w:val="32"/>
          <w:highlight w:val="none"/>
          <w:lang w:val="en-US" w:eastAsia="zh-CN"/>
        </w:rPr>
        <w:t>主席令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w:t>
      </w:r>
      <w:r>
        <w:rPr>
          <w:rFonts w:hint="eastAsia" w:ascii="Times New Roman" w:hAnsi="Times New Roman" w:eastAsia="仿宋_GB2312" w:cs="Times New Roman"/>
          <w:b w:val="0"/>
          <w:bCs w:val="0"/>
          <w:color w:val="auto"/>
          <w:kern w:val="0"/>
          <w:sz w:val="32"/>
          <w:szCs w:val="32"/>
          <w:highlight w:val="none"/>
          <w:lang w:val="en-US" w:eastAsia="zh-CN"/>
        </w:rPr>
        <w:t>八十八</w:t>
      </w:r>
      <w:r>
        <w:rPr>
          <w:rFonts w:hint="default" w:ascii="Times New Roman" w:hAnsi="Times New Roman" w:eastAsia="仿宋_GB2312" w:cs="Times New Roman"/>
          <w:b w:val="0"/>
          <w:bCs w:val="0"/>
          <w:color w:val="auto"/>
          <w:kern w:val="0"/>
          <w:sz w:val="32"/>
          <w:szCs w:val="32"/>
          <w:highlight w:val="none"/>
          <w:lang w:val="en-US" w:eastAsia="zh-CN"/>
        </w:rPr>
        <w:t>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第一百一十四条相关规定对其进行处罚。</w:t>
      </w:r>
    </w:p>
    <w:p w14:paraId="03B7351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Style w:val="15"/>
          <w:rFonts w:hint="default" w:ascii="Times New Roman" w:hAnsi="Times New Roman" w:eastAsia="仿宋_GB2312" w:cs="Times New Roman"/>
          <w:b w:val="0"/>
          <w:bCs/>
          <w:snapToGrid/>
          <w:color w:val="auto"/>
          <w:kern w:val="2"/>
          <w:szCs w:val="24"/>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rPr>
        <w:t>3. 浙江天成项目管理有限公司：次要责任单位</w:t>
      </w:r>
    </w:p>
    <w:p w14:paraId="4A0717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作为涉事项目的监理单位，未依照法律、法规和工程建设强制性标准实施监理：端午假期仅安排总监值班，早间作业时段形成监管空档；隐患整改指令缺少整改标准、时限、复查要求，未实地复核吊篮隐患整改情况即默认设备恢复使用；监理巡查记录流于形式，监理防控屏障失效。对事故发生负监理责任。其行为违反《建设工程安全生产管理条例》</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中华人民共和国国务院令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第393号）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6"/>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相关规定。建议有关部门依据《建设工程安全生产管理条例》</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中华人民共和国国务院令</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第393号）</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7"/>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责令其对本单位存在的各项问题进行限期改正。同时约谈其相关负责人员，要求其在后续的工程监理过程中，严格依照法律、法规和工程建设强制性标准实施监理。若在规定的时限内未整改完毕，或后续的监理过程中再次出现问题，将依法依规从重处罚。</w:t>
      </w:r>
    </w:p>
    <w:p w14:paraId="381B89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47" w:name="_Toc5403"/>
      <w:r>
        <w:rPr>
          <w:rFonts w:hint="eastAsia" w:ascii="黑体" w:hAnsi="黑体" w:eastAsia="黑体" w:cs="黑体"/>
          <w:b w:val="0"/>
          <w:bCs w:val="0"/>
          <w:snapToGrid w:val="0"/>
          <w:color w:val="auto"/>
          <w:kern w:val="0"/>
          <w:sz w:val="32"/>
          <w:szCs w:val="32"/>
          <w:highlight w:val="none"/>
          <w:lang w:val="en-US" w:eastAsia="zh-CN"/>
        </w:rPr>
        <w:t>六、事故主要教训</w:t>
      </w:r>
      <w:bookmarkEnd w:id="46"/>
      <w:bookmarkEnd w:id="47"/>
    </w:p>
    <w:p w14:paraId="48C655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本次事故是超危大工程安全管理不严、现场管控失守、监理监管缺位叠加引发的生产安全责任事故，暴露出项目安全生产管理存在短板，教训深刻。</w:t>
      </w:r>
    </w:p>
    <w:p w14:paraId="2959629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一是工程监理单位未严格依法依规落实监理职责，现场排班存在监管空档，隐患整改闭环管理虚化，监理资料流于形式，安全监督屏障失效。</w:t>
      </w:r>
    </w:p>
    <w:p w14:paraId="3740028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二是建筑施工现场故障设备停用管控措施缺失，设备故障信息传递不畅，未落实隔离、警示管控，易引发设备带病使用风险。</w:t>
      </w:r>
    </w:p>
    <w:p w14:paraId="63E58AD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三是高处作业与临时用电交叉风险辨识不足，对狭小转角、多吊篮近距离作业等高风险场景缺乏专项管控方案。</w:t>
      </w:r>
    </w:p>
    <w:p w14:paraId="782CC2B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四是参建各方安全责任边界虽有合同约定，但过程监督、风险联动管控机制不足，劳务作业单位自主管理失控时缺少上游有效约束手段。</w:t>
      </w:r>
    </w:p>
    <w:p w14:paraId="6C9B827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黑体" w:hAnsi="黑体" w:eastAsia="黑体" w:cs="黑体"/>
          <w:b w:val="0"/>
          <w:bCs w:val="0"/>
          <w:snapToGrid w:val="0"/>
          <w:color w:val="auto"/>
          <w:kern w:val="0"/>
          <w:sz w:val="32"/>
          <w:szCs w:val="32"/>
          <w:highlight w:val="none"/>
          <w:lang w:val="en-US" w:eastAsia="zh-CN"/>
        </w:rPr>
      </w:pPr>
      <w:bookmarkStart w:id="48" w:name="_Toc3852"/>
      <w:bookmarkStart w:id="49" w:name="_Toc21049"/>
      <w:r>
        <w:rPr>
          <w:rFonts w:hint="eastAsia" w:ascii="黑体" w:hAnsi="黑体" w:eastAsia="黑体" w:cs="黑体"/>
          <w:b w:val="0"/>
          <w:bCs w:val="0"/>
          <w:snapToGrid w:val="0"/>
          <w:color w:val="auto"/>
          <w:kern w:val="0"/>
          <w:sz w:val="32"/>
          <w:szCs w:val="32"/>
          <w:highlight w:val="none"/>
          <w:lang w:val="en-US" w:eastAsia="zh-CN"/>
        </w:rPr>
        <w:t>七、事故整改和防范措施</w:t>
      </w:r>
      <w:bookmarkEnd w:id="48"/>
      <w:bookmarkEnd w:id="49"/>
    </w:p>
    <w:p w14:paraId="1215D18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0" w:name="_Toc21712"/>
      <w:bookmarkStart w:id="51" w:name="_Toc2651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（一）施工单位防范措施</w:t>
      </w:r>
      <w:bookmarkEnd w:id="50"/>
      <w:bookmarkEnd w:id="51"/>
    </w:p>
    <w:p w14:paraId="4E3CBE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一是健全全员安全生产责任制，提升班组长及作业人员安全知识水平、风险辨识及防控能力，严格落实班组长及作业人员岗位安全责任制。</w:t>
      </w:r>
    </w:p>
    <w:p w14:paraId="1FF28F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二是强化高处吊篮、临时用电等高风险作业管控，建立故障设备专项管理制度，设备故障停用后立即落实断电、隔离、警示措施，建立停用设备台账，杜绝擅自启用现象发生。</w:t>
      </w:r>
    </w:p>
    <w:p w14:paraId="43D926D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三是规范安全技术交底与安全教育培训，针对吊篮作业、临时用电、交叉作业开展专项交底，强化触电风险警示教育，提升作业人员危险辨识能力。</w:t>
      </w:r>
    </w:p>
    <w:p w14:paraId="130C84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四是全面开展施工现场隐患自查，重点排查吊篮设备、电缆线路、临电系统，建立隐患台账，实现整改、复核、销号全流程闭环管理。</w:t>
      </w:r>
    </w:p>
    <w:p w14:paraId="12ECD8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五是完善班组派工风险告知制度，设备存在故障、现场存在重大风险时，派工环节必须同步告知风险点，留存书面告知记录。</w:t>
      </w:r>
    </w:p>
    <w:p w14:paraId="79A385A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2" w:name="_Toc11134"/>
      <w:bookmarkStart w:id="53" w:name="_Toc17705"/>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（二）监理单位防范措施</w:t>
      </w:r>
      <w:bookmarkEnd w:id="52"/>
      <w:bookmarkEnd w:id="53"/>
    </w:p>
    <w:p w14:paraId="2BD78A0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一是优化项目监理人员排班制度，覆盖早间、夜间等全部施工时段，高风险作业时段保证监理巡视、旁站力量，杜绝监管空档。</w:t>
      </w:r>
    </w:p>
    <w:p w14:paraId="0429867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二是规范隐患整改指令下达内容，明确整改措施、判定标准、完成时限、复查要求；严格落实隐患现场复核，未经实地核验不得销项。</w:t>
      </w:r>
    </w:p>
    <w:p w14:paraId="288321C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三是压实危大工程监理职责，对吊篮高处作业、施工现场临时用电开展常态化专项巡查，及时制止各类违章作业行为。</w:t>
      </w:r>
    </w:p>
    <w:p w14:paraId="0B696F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四是严格监理资料管理，巡查记录、旁站记录必须真实客观，杜绝编制虚假监理资料，完善内部资料审核追责机制。</w:t>
      </w:r>
    </w:p>
    <w:p w14:paraId="73ADE7F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4" w:name="_Toc23676"/>
      <w:bookmarkStart w:id="55" w:name="_Toc2302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（三）项目总包及专业分包单位管控措施</w:t>
      </w:r>
      <w:bookmarkEnd w:id="54"/>
      <w:bookmarkEnd w:id="55"/>
    </w:p>
    <w:p w14:paraId="0272922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一是强化分包单位准入与过程履约考核，定期核查分包安全管理体系运行情况，对安全管理持续失能的分包单位及时采取约束措施。</w:t>
      </w:r>
    </w:p>
    <w:p w14:paraId="66E2A47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二是完善工作面移交管理制度，明确移交前后安全管理责任边界，做好书面确认、风险交接告知。</w:t>
      </w:r>
    </w:p>
    <w:p w14:paraId="0BDEAC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三是建立项目设备信息共享机制，吊篮故障、停用信息及时同步所有相关施工班组，畅通设备风险信息传递渠道。</w:t>
      </w:r>
    </w:p>
    <w:p w14:paraId="251D87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6" w:name="_Toc25494"/>
      <w:bookmarkStart w:id="57" w:name="_Toc1625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（四）行业监管警示措施</w:t>
      </w:r>
      <w:bookmarkEnd w:id="56"/>
      <w:bookmarkEnd w:id="57"/>
    </w:p>
    <w:p w14:paraId="5BBBB9D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一是属地住建主管部门组织辖区在建项目开展高处作业吊篮、施工现场临时用电专项整治行动。</w:t>
      </w:r>
    </w:p>
    <w:p w14:paraId="21077AD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二是强化监理单位履职监督，重点核查危大工程旁站、隐患闭环、监理资料真实性，严肃查处监理履职缺位、资料造假行为。</w:t>
      </w:r>
    </w:p>
    <w:p w14:paraId="5579CD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三是加大建筑劳务分包安全执法力度，严厉打击无证特种作业、设备带病运行、危大作业无监护等违法违规行为。</w:t>
      </w:r>
    </w:p>
    <w:p w14:paraId="5EAF8A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p>
    <w:sectPr>
      <w:footerReference r:id="rId4"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长城小标宋体">
    <w:panose1 w:val="02010609010101010101"/>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C552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320B4">
                          <w:pPr>
                            <w:pStyle w:val="5"/>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2320B4">
                    <w:pPr>
                      <w:pStyle w:val="5"/>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6">
    <w:p>
      <w:r>
        <w:separator/>
      </w:r>
    </w:p>
  </w:footnote>
  <w:footnote w:type="continuationSeparator" w:id="37">
    <w:p>
      <w:r>
        <w:continuationSeparator/>
      </w:r>
    </w:p>
  </w:footnote>
  <w:footnote w:id="0">
    <w:p w14:paraId="3D3B3E00">
      <w:pPr>
        <w:pStyle w:val="8"/>
        <w:snapToGrid w:val="0"/>
        <w:rPr>
          <w:color w:val="0000FF"/>
        </w:rPr>
      </w:pPr>
      <w:r>
        <w:rPr>
          <w:rStyle w:val="14"/>
        </w:rPr>
        <w:t>[</w:t>
      </w:r>
      <w:r>
        <w:rPr>
          <w:rStyle w:val="14"/>
        </w:rPr>
        <w:footnoteRef/>
      </w:r>
      <w:r>
        <w:rPr>
          <w:rStyle w:val="14"/>
        </w:rPr>
        <w:t>]</w:t>
      </w:r>
      <w:r>
        <w:rPr>
          <w:color w:val="0000FF"/>
        </w:rPr>
        <w:t xml:space="preserve"> </w:t>
      </w:r>
      <w:r>
        <w:rPr>
          <w:rFonts w:hint="default"/>
          <w:color w:val="auto"/>
          <w:lang w:val="en-US" w:eastAsia="zh-CN"/>
        </w:rPr>
        <w:t>《住房和城乡建设部办公厅关于实施〈危险性较大的分部分项工程安全管理规定〉有关问题的通知》（建办质〔2018〕31 号）附件 2 规定：施工高度 50m 及以上的建筑幕墙安装工程，属于超危大工程，必须编制专项施工方案并组织专家论证，落实全过程专项安全管控、旁站监理</w:t>
      </w:r>
      <w:r>
        <w:rPr>
          <w:rFonts w:hint="eastAsia"/>
          <w:color w:val="auto"/>
          <w:lang w:val="en-US" w:eastAsia="zh-CN"/>
        </w:rPr>
        <w:t>。</w:t>
      </w:r>
    </w:p>
  </w:footnote>
  <w:footnote w:id="1">
    <w:p w14:paraId="24DD7DAC">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w:t>
      </w:r>
      <w:r>
        <w:t>第五十</w:t>
      </w:r>
      <w:r>
        <w:rPr>
          <w:rFonts w:hint="eastAsia"/>
          <w:lang w:val="en-US" w:eastAsia="zh-CN"/>
        </w:rPr>
        <w:t>七</w:t>
      </w:r>
      <w:r>
        <w:t>条</w:t>
      </w:r>
      <w:r>
        <w:rPr>
          <w:rFonts w:hint="eastAsia"/>
          <w:lang w:eastAsia="zh-CN"/>
        </w:rPr>
        <w:t>：从业人员在作业过程中，应当严格落实岗位安全责任，遵守本单位的安全生产规章制度和操作规程，服从管理，正确佩戴和使用劳动防护用品。</w:t>
      </w:r>
    </w:p>
  </w:footnote>
  <w:footnote w:id="2">
    <w:p w14:paraId="2905B7EF">
      <w:pPr>
        <w:pStyle w:val="8"/>
        <w:snapToGrid w:val="0"/>
        <w:jc w:val="left"/>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五十七条：从业人员在作业过程中，应当严格落实岗位安全责任，遵守本单位的安全生产规章制度和操作规程，服从管理，正确佩戴和使用劳动防护用品。</w:t>
      </w:r>
    </w:p>
  </w:footnote>
  <w:footnote w:id="3">
    <w:p w14:paraId="620125AC">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w:t>
      </w:r>
      <w:r>
        <w:t>第五十八条</w:t>
      </w:r>
      <w:r>
        <w:rPr>
          <w:rFonts w:hint="eastAsia"/>
          <w:lang w:eastAsia="zh-CN"/>
        </w:rPr>
        <w:t>：</w:t>
      </w:r>
      <w:r>
        <w:t>从业人员应当接受安全生产教育和培训，掌握本职工作所需的安全生产知识，提高安全生产技能，增强事故预防和应急处理能力。</w:t>
      </w:r>
    </w:p>
    <w:p w14:paraId="046E5863">
      <w:pPr>
        <w:pStyle w:val="8"/>
        <w:snapToGrid w:val="0"/>
        <w:ind w:firstLine="360" w:firstLineChars="200"/>
      </w:pPr>
      <w:r>
        <w:t>第五十九条</w:t>
      </w:r>
      <w:r>
        <w:rPr>
          <w:rFonts w:hint="eastAsia"/>
          <w:lang w:eastAsia="zh-CN"/>
        </w:rPr>
        <w:t>：</w:t>
      </w:r>
      <w:r>
        <w:t>从业人员发现事故隐患或者其他不安全因素，应当立即向现场安全生产管理人员或者本单位负责人报告；接到报告的人员应当及时予以处理。</w:t>
      </w:r>
    </w:p>
  </w:footnote>
  <w:footnote w:id="4">
    <w:p w14:paraId="4A300506">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 w:id="5">
    <w:p w14:paraId="5BA42E37">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《中华人民共和国安全生产法》《中华人民共和国主席令（第八十八号）》第二十五条：生产经营单位的安全生产管理机构以及安全生产管理人员履行下列职责：</w:t>
      </w:r>
    </w:p>
    <w:p w14:paraId="74A8551E">
      <w:pPr>
        <w:pStyle w:val="8"/>
        <w:snapToGrid w:val="0"/>
        <w:ind w:firstLine="360" w:firstLineChars="200"/>
        <w:rPr>
          <w:rFonts w:hint="eastAsia"/>
          <w:lang w:val="en-US" w:eastAsia="zh-CN"/>
        </w:rPr>
      </w:pPr>
      <w:r>
        <w:rPr>
          <w:rFonts w:hint="eastAsia"/>
          <w:lang w:val="en-US" w:eastAsia="zh-CN"/>
        </w:rPr>
        <w:t>（一）组织或者参与拟订本单位安全生产规章制度、操作规程和生产安全事故应急救援预案；</w:t>
      </w:r>
    </w:p>
    <w:p w14:paraId="27D34510">
      <w:pPr>
        <w:pStyle w:val="8"/>
        <w:snapToGrid w:val="0"/>
        <w:ind w:firstLine="360" w:firstLineChars="200"/>
        <w:rPr>
          <w:rFonts w:hint="eastAsia"/>
          <w:lang w:val="en-US" w:eastAsia="zh-CN"/>
        </w:rPr>
      </w:pPr>
      <w:r>
        <w:rPr>
          <w:rFonts w:hint="eastAsia"/>
          <w:lang w:val="en-US" w:eastAsia="zh-CN"/>
        </w:rPr>
        <w:t>（二）组织或者参与本单位安全生产教育和培训，如实记录安全生产教育和培训情况；</w:t>
      </w:r>
    </w:p>
    <w:p w14:paraId="6F5C8167">
      <w:pPr>
        <w:pStyle w:val="8"/>
        <w:snapToGrid w:val="0"/>
        <w:ind w:firstLine="360" w:firstLineChars="200"/>
        <w:rPr>
          <w:rFonts w:hint="eastAsia"/>
          <w:lang w:val="en-US" w:eastAsia="zh-CN"/>
        </w:rPr>
      </w:pPr>
      <w:r>
        <w:rPr>
          <w:rFonts w:hint="eastAsia"/>
          <w:lang w:val="en-US" w:eastAsia="zh-CN"/>
        </w:rPr>
        <w:t>（三）组织开展危险源辨识和评估，督促落实本单位重大危险源的安全管理措施；</w:t>
      </w:r>
    </w:p>
    <w:p w14:paraId="5F6C95EC">
      <w:pPr>
        <w:pStyle w:val="8"/>
        <w:snapToGrid w:val="0"/>
        <w:ind w:firstLine="360" w:firstLineChars="200"/>
        <w:rPr>
          <w:rFonts w:hint="eastAsia"/>
          <w:lang w:val="en-US" w:eastAsia="zh-CN"/>
        </w:rPr>
      </w:pPr>
      <w:r>
        <w:rPr>
          <w:rFonts w:hint="eastAsia"/>
          <w:lang w:val="en-US" w:eastAsia="zh-CN"/>
        </w:rPr>
        <w:t>（四）组织或者参与本单位应急救援演练；</w:t>
      </w:r>
    </w:p>
    <w:p w14:paraId="00FB2F10">
      <w:pPr>
        <w:pStyle w:val="8"/>
        <w:snapToGrid w:val="0"/>
        <w:ind w:firstLine="360" w:firstLineChars="200"/>
        <w:rPr>
          <w:rFonts w:hint="eastAsia"/>
          <w:lang w:val="en-US" w:eastAsia="zh-CN"/>
        </w:rPr>
      </w:pPr>
      <w:r>
        <w:rPr>
          <w:rFonts w:hint="eastAsia"/>
          <w:lang w:val="en-US" w:eastAsia="zh-CN"/>
        </w:rPr>
        <w:t>（五）检查本单位的安全生产状况，及时排查生产安全事故隐患，提出改进安全生产管理的建议；</w:t>
      </w:r>
    </w:p>
    <w:p w14:paraId="4E7224D3">
      <w:pPr>
        <w:pStyle w:val="8"/>
        <w:snapToGrid w:val="0"/>
        <w:ind w:firstLine="360" w:firstLineChars="200"/>
        <w:rPr>
          <w:rFonts w:hint="eastAsia"/>
          <w:lang w:val="en-US" w:eastAsia="zh-CN"/>
        </w:rPr>
      </w:pPr>
      <w:r>
        <w:rPr>
          <w:rFonts w:hint="eastAsia"/>
          <w:lang w:val="en-US" w:eastAsia="zh-CN"/>
        </w:rPr>
        <w:t>（六）制止和纠正违章指挥、强令冒险作业、违反操作规程的行为；</w:t>
      </w:r>
    </w:p>
    <w:p w14:paraId="15E2D5DF">
      <w:pPr>
        <w:pStyle w:val="8"/>
        <w:snapToGrid w:val="0"/>
        <w:ind w:firstLine="360" w:firstLineChars="200"/>
        <w:rPr>
          <w:rFonts w:hint="eastAsia"/>
          <w:lang w:val="en-US" w:eastAsia="zh-CN"/>
        </w:rPr>
      </w:pPr>
      <w:r>
        <w:rPr>
          <w:rFonts w:hint="eastAsia"/>
          <w:lang w:val="en-US" w:eastAsia="zh-CN"/>
        </w:rPr>
        <w:t>（七）督促落实本单位安全生产整改措施。</w:t>
      </w:r>
    </w:p>
    <w:p w14:paraId="12D18A03">
      <w:pPr>
        <w:pStyle w:val="8"/>
        <w:snapToGrid w:val="0"/>
        <w:ind w:firstLine="360" w:firstLineChars="200"/>
      </w:pPr>
      <w:r>
        <w:rPr>
          <w:rFonts w:hint="eastAsia"/>
          <w:lang w:val="en-US" w:eastAsia="zh-CN"/>
        </w:rPr>
        <w:t>生产经营单位可以设置专职安全生产分管负责人，协助本单位主要负责人履行安全生产管理职责。</w:t>
      </w:r>
    </w:p>
  </w:footnote>
  <w:footnote w:id="6">
    <w:p w14:paraId="0FC56D3D">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14:paraId="0AA6747A">
      <w:pPr>
        <w:pStyle w:val="8"/>
        <w:snapToGrid w:val="0"/>
        <w:ind w:firstLine="360" w:firstLineChars="200"/>
        <w:rPr>
          <w:rFonts w:hint="eastAsia"/>
          <w:lang w:val="en-US" w:eastAsia="zh-CN"/>
        </w:rPr>
      </w:pPr>
      <w:r>
        <w:rPr>
          <w:rFonts w:hint="eastAsia"/>
          <w:lang w:val="en-US" w:eastAsia="zh-CN"/>
        </w:rPr>
        <w:t>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footnote>
  <w:footnote w:id="7">
    <w:p w14:paraId="0641C822">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8">
    <w:p w14:paraId="174DDAFD">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w:t>
      </w:r>
      <w:r>
        <w:t>第五条</w:t>
      </w:r>
      <w:r>
        <w:rPr>
          <w:rFonts w:hint="eastAsia"/>
          <w:lang w:eastAsia="zh-CN"/>
        </w:rPr>
        <w:t>：</w:t>
      </w:r>
      <w:r>
        <w:t>生产经营单位的主要负责人是本单位安全生产第一责任人，对本单位的安全生产工作全面负责。其他负责人对职责范围内的安全生产工作负责。</w:t>
      </w:r>
    </w:p>
  </w:footnote>
  <w:footnote w:id="9">
    <w:p w14:paraId="5D2A44C4">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第十四条</w:t>
      </w:r>
      <w:r>
        <w:rPr>
          <w:rFonts w:hint="eastAsia"/>
          <w:lang w:val="en-US" w:eastAsia="zh-CN"/>
        </w:rPr>
        <w:t>：</w:t>
      </w:r>
      <w:r>
        <w:rPr>
          <w:rFonts w:hint="default"/>
          <w:lang w:val="en-US" w:eastAsia="zh-CN"/>
        </w:rPr>
        <w:t>工程监理单位应当审查施工组织设计中的安全技术措施或者专项施工方案是否符合工程建设强制性标准。</w:t>
      </w:r>
    </w:p>
    <w:p w14:paraId="21575B00">
      <w:pPr>
        <w:pStyle w:val="8"/>
        <w:snapToGrid w:val="0"/>
        <w:ind w:firstLine="360" w:firstLineChars="200"/>
        <w:rPr>
          <w:rFonts w:hint="default"/>
        </w:rPr>
      </w:pPr>
      <w:r>
        <w:rPr>
          <w:rFonts w:hint="default"/>
          <w:lang w:val="en-US" w:eastAsia="zh-CN"/>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5AC65062">
      <w:pPr>
        <w:pStyle w:val="8"/>
        <w:snapToGrid w:val="0"/>
        <w:ind w:firstLine="360" w:firstLineChars="200"/>
      </w:pPr>
      <w:r>
        <w:rPr>
          <w:rFonts w:hint="default"/>
          <w:lang w:val="en-US" w:eastAsia="zh-CN"/>
        </w:rPr>
        <w:t>工程监理单位和监理工程师应当按照法律、法规和工程建设强制性标准实施监理，并对建设工程安全生产承担监理责任。</w:t>
      </w:r>
    </w:p>
  </w:footnote>
  <w:footnote w:id="10">
    <w:p w14:paraId="7699B707">
      <w:pPr>
        <w:pStyle w:val="8"/>
        <w:snapToGrid w:val="0"/>
      </w:pPr>
      <w:r>
        <w:rPr>
          <w:rStyle w:val="14"/>
        </w:rPr>
        <w:t>[</w:t>
      </w:r>
      <w:r>
        <w:rPr>
          <w:rStyle w:val="14"/>
        </w:rPr>
        <w:footnoteRef/>
      </w:r>
      <w:r>
        <w:rPr>
          <w:rStyle w:val="14"/>
        </w:rPr>
        <w:t>]</w:t>
      </w:r>
      <w:r>
        <w:t xml:space="preserve"> </w:t>
      </w:r>
      <w:r>
        <w:rPr>
          <w:rFonts w:hint="eastAsia"/>
          <w:lang w:val="en-US" w:eastAsia="zh-CN"/>
        </w:rPr>
        <w:t>《危险性较大的分部分项工程安全管理规定》《中华人民共和国住房和城乡建设部令（第37号）》</w:t>
      </w:r>
      <w:r>
        <w:rPr>
          <w:rFonts w:hint="eastAsia"/>
        </w:rPr>
        <w:t>第十八条</w:t>
      </w:r>
      <w:r>
        <w:rPr>
          <w:rFonts w:hint="eastAsia"/>
          <w:lang w:eastAsia="zh-CN"/>
        </w:rPr>
        <w:t>：</w:t>
      </w:r>
      <w:r>
        <w:rPr>
          <w:rFonts w:hint="eastAsia"/>
        </w:rPr>
        <w:t>监理单位应当结合危大工程专项施工方案编制监理实施细则，并对危大工程施工实施专项巡视检查。</w:t>
      </w:r>
    </w:p>
  </w:footnote>
  <w:footnote w:id="11">
    <w:p w14:paraId="25678085">
      <w:pPr>
        <w:pStyle w:val="8"/>
        <w:snapToGrid w:val="0"/>
        <w:rPr>
          <w:rFonts w:hint="eastAsia"/>
        </w:rPr>
      </w:pPr>
      <w:r>
        <w:rPr>
          <w:rStyle w:val="14"/>
        </w:rPr>
        <w:t>[</w:t>
      </w:r>
      <w:r>
        <w:rPr>
          <w:rStyle w:val="14"/>
        </w:rPr>
        <w:footnoteRef/>
      </w:r>
      <w:r>
        <w:rPr>
          <w:rStyle w:val="14"/>
        </w:rPr>
        <w:t>]</w:t>
      </w:r>
      <w:r>
        <w:t xml:space="preserve"> </w:t>
      </w:r>
      <w:r>
        <w:rPr>
          <w:rFonts w:hint="eastAsia"/>
          <w:lang w:val="en-US" w:eastAsia="zh-CN"/>
        </w:rPr>
        <w:t>《危险性较大的分部分项工程安全管理规定》《中华人民共和国住房和城乡建设部令（第37号）》</w:t>
      </w:r>
      <w:r>
        <w:rPr>
          <w:rFonts w:hint="eastAsia"/>
        </w:rPr>
        <w:t>第三十七条</w:t>
      </w:r>
      <w:r>
        <w:rPr>
          <w:rFonts w:hint="eastAsia"/>
          <w:lang w:eastAsia="zh-CN"/>
        </w:rPr>
        <w:t>：</w:t>
      </w:r>
      <w:r>
        <w:rPr>
          <w:rFonts w:hint="eastAsia"/>
        </w:rPr>
        <w:t>监理单位有下列行为之一的，责令限期改正，并处1万元以上3万元以下的罚款；对直接负责的主管人员和其他直接责任人员处1000元以上5000元以下的罚款：</w:t>
      </w:r>
    </w:p>
    <w:p w14:paraId="09CA7D19">
      <w:pPr>
        <w:pStyle w:val="8"/>
        <w:snapToGrid w:val="0"/>
        <w:ind w:firstLine="360" w:firstLineChars="200"/>
        <w:rPr>
          <w:rFonts w:hint="eastAsia"/>
        </w:rPr>
      </w:pPr>
      <w:r>
        <w:rPr>
          <w:rFonts w:hint="eastAsia"/>
        </w:rPr>
        <w:t>（一）未按照本规定编制监理实施细则的；</w:t>
      </w:r>
    </w:p>
    <w:p w14:paraId="6CEFCC8C">
      <w:pPr>
        <w:pStyle w:val="8"/>
        <w:snapToGrid w:val="0"/>
        <w:ind w:firstLine="360" w:firstLineChars="200"/>
        <w:rPr>
          <w:rFonts w:hint="eastAsia"/>
        </w:rPr>
      </w:pPr>
      <w:r>
        <w:rPr>
          <w:rFonts w:hint="eastAsia"/>
        </w:rPr>
        <w:t>（二）未对危大工程施工实施专项巡视检查的；</w:t>
      </w:r>
    </w:p>
    <w:p w14:paraId="08BC61D3">
      <w:pPr>
        <w:pStyle w:val="8"/>
        <w:snapToGrid w:val="0"/>
        <w:ind w:firstLine="360" w:firstLineChars="200"/>
        <w:rPr>
          <w:rFonts w:hint="eastAsia"/>
        </w:rPr>
      </w:pPr>
      <w:r>
        <w:rPr>
          <w:rFonts w:hint="eastAsia"/>
        </w:rPr>
        <w:t>（三）未按照本规定参与组织危大工程验收的；</w:t>
      </w:r>
    </w:p>
    <w:p w14:paraId="276A3EB6">
      <w:pPr>
        <w:pStyle w:val="8"/>
        <w:snapToGrid w:val="0"/>
        <w:ind w:firstLine="360" w:firstLineChars="200"/>
      </w:pPr>
      <w:r>
        <w:rPr>
          <w:rFonts w:hint="eastAsia"/>
        </w:rPr>
        <w:t>（四）未按照本规定建立危大工程安全管理档案的。</w:t>
      </w:r>
    </w:p>
  </w:footnote>
  <w:footnote w:id="12">
    <w:p w14:paraId="34935C56">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《中华人民共和国安全生产法》《中华人民共和国主席令（第八十八号）》第二十一条：生产经营单位的主要负责人对本单位安全生产工作负有下列职责：</w:t>
      </w:r>
    </w:p>
    <w:p w14:paraId="7BAEAA24">
      <w:pPr>
        <w:pStyle w:val="8"/>
        <w:snapToGrid w:val="0"/>
        <w:ind w:firstLine="360" w:firstLineChars="200"/>
        <w:rPr>
          <w:rFonts w:hint="eastAsia"/>
          <w:lang w:val="en-US" w:eastAsia="zh-CN"/>
        </w:rPr>
      </w:pPr>
      <w:r>
        <w:rPr>
          <w:rFonts w:hint="eastAsia"/>
          <w:lang w:val="en-US" w:eastAsia="zh-CN"/>
        </w:rPr>
        <w:t>（一）建立健全并落实本单位全员安全生产责任制，加强安全生产标准化建设；</w:t>
      </w:r>
    </w:p>
    <w:p w14:paraId="518621F9">
      <w:pPr>
        <w:pStyle w:val="8"/>
        <w:snapToGrid w:val="0"/>
        <w:ind w:firstLine="360" w:firstLineChars="200"/>
        <w:rPr>
          <w:rFonts w:hint="eastAsia"/>
          <w:lang w:val="en-US" w:eastAsia="zh-CN"/>
        </w:rPr>
      </w:pPr>
      <w:r>
        <w:rPr>
          <w:rFonts w:hint="eastAsia"/>
          <w:lang w:val="en-US" w:eastAsia="zh-CN"/>
        </w:rPr>
        <w:t>（二）组织制定并实施本单位安全生产规章制度和操作规程；</w:t>
      </w:r>
    </w:p>
    <w:p w14:paraId="4D06F740">
      <w:pPr>
        <w:pStyle w:val="8"/>
        <w:snapToGrid w:val="0"/>
        <w:ind w:firstLine="360" w:firstLineChars="200"/>
        <w:rPr>
          <w:rFonts w:hint="eastAsia"/>
          <w:lang w:val="en-US" w:eastAsia="zh-CN"/>
        </w:rPr>
      </w:pPr>
      <w:r>
        <w:rPr>
          <w:rFonts w:hint="eastAsia"/>
          <w:lang w:val="en-US" w:eastAsia="zh-CN"/>
        </w:rPr>
        <w:t>（三）组织制定并实施本单位安全生产教育和培训计划；</w:t>
      </w:r>
    </w:p>
    <w:p w14:paraId="400AE3B3">
      <w:pPr>
        <w:pStyle w:val="8"/>
        <w:snapToGrid w:val="0"/>
        <w:ind w:firstLine="360" w:firstLineChars="200"/>
        <w:rPr>
          <w:rFonts w:hint="eastAsia"/>
          <w:lang w:val="en-US" w:eastAsia="zh-CN"/>
        </w:rPr>
      </w:pPr>
      <w:r>
        <w:rPr>
          <w:rFonts w:hint="eastAsia"/>
          <w:lang w:val="en-US" w:eastAsia="zh-CN"/>
        </w:rPr>
        <w:t>（四）保证本单位安全生产投入的有效实施；</w:t>
      </w:r>
    </w:p>
    <w:p w14:paraId="31A63575">
      <w:pPr>
        <w:pStyle w:val="8"/>
        <w:snapToGrid w:val="0"/>
        <w:ind w:firstLine="360" w:firstLineChars="200"/>
        <w:rPr>
          <w:rFonts w:hint="eastAsia"/>
          <w:lang w:val="en-US" w:eastAsia="zh-CN"/>
        </w:rPr>
      </w:pPr>
      <w:r>
        <w:rPr>
          <w:rFonts w:hint="eastAsia"/>
          <w:lang w:val="en-US" w:eastAsia="zh-CN"/>
        </w:rPr>
        <w:t>（五）组织建立并落实安全风险分级管控和隐患排查治理双重预防工作机制，督促、检查本单位的安全生产工作，及时消除生产安全事故隐患；</w:t>
      </w:r>
    </w:p>
    <w:p w14:paraId="5C516EFB">
      <w:pPr>
        <w:pStyle w:val="8"/>
        <w:snapToGrid w:val="0"/>
        <w:ind w:firstLine="360" w:firstLineChars="200"/>
        <w:rPr>
          <w:rFonts w:hint="eastAsia"/>
          <w:lang w:val="en-US" w:eastAsia="zh-CN"/>
        </w:rPr>
      </w:pPr>
      <w:r>
        <w:rPr>
          <w:rFonts w:hint="eastAsia"/>
          <w:lang w:val="en-US" w:eastAsia="zh-CN"/>
        </w:rPr>
        <w:t>（六）组织制定并实施本单位的生产安全事故应急救援预案；</w:t>
      </w:r>
    </w:p>
    <w:p w14:paraId="197F098D">
      <w:pPr>
        <w:pStyle w:val="8"/>
        <w:snapToGrid w:val="0"/>
        <w:ind w:firstLine="360" w:firstLineChars="200"/>
        <w:rPr>
          <w:rFonts w:hint="eastAsia"/>
          <w:lang w:val="en-US" w:eastAsia="zh-CN"/>
        </w:rPr>
      </w:pPr>
      <w:r>
        <w:rPr>
          <w:rFonts w:hint="eastAsia"/>
          <w:lang w:val="en-US" w:eastAsia="zh-CN"/>
        </w:rPr>
        <w:t>（七）及时、如实报告生产安全事故。</w:t>
      </w:r>
    </w:p>
  </w:footnote>
  <w:footnote w:id="13">
    <w:p w14:paraId="713B017F">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九十五条：生产经营单位的主要负责人未履行本法规定的安全生产管理职责，导致发生生产安全事故的，由应急管理部门依照下列规定处以罚款：</w:t>
      </w:r>
    </w:p>
    <w:p w14:paraId="6931FD7A">
      <w:pPr>
        <w:pStyle w:val="8"/>
        <w:snapToGrid w:val="0"/>
        <w:ind w:firstLine="360" w:firstLineChars="200"/>
        <w:rPr>
          <w:rFonts w:hint="eastAsia"/>
          <w:lang w:val="en-US" w:eastAsia="zh-CN"/>
        </w:rPr>
      </w:pPr>
      <w:r>
        <w:rPr>
          <w:rFonts w:hint="eastAsia"/>
          <w:lang w:val="en-US" w:eastAsia="zh-CN"/>
        </w:rPr>
        <w:t>（一）发生一般事故的，处上一年年收入百分之四十的罚款；</w:t>
      </w:r>
    </w:p>
    <w:p w14:paraId="0150F38E">
      <w:pPr>
        <w:pStyle w:val="8"/>
        <w:snapToGrid w:val="0"/>
        <w:ind w:firstLine="360" w:firstLineChars="200"/>
        <w:rPr>
          <w:rFonts w:hint="eastAsia"/>
          <w:lang w:val="en-US" w:eastAsia="zh-CN"/>
        </w:rPr>
      </w:pPr>
      <w:r>
        <w:rPr>
          <w:rFonts w:hint="eastAsia"/>
          <w:lang w:val="en-US" w:eastAsia="zh-CN"/>
        </w:rPr>
        <w:t>（二）发生较大事故的，处上一年年收入百分之六十的罚款；</w:t>
      </w:r>
    </w:p>
    <w:p w14:paraId="525144F9">
      <w:pPr>
        <w:pStyle w:val="8"/>
        <w:snapToGrid w:val="0"/>
        <w:ind w:firstLine="360" w:firstLineChars="200"/>
        <w:rPr>
          <w:rFonts w:hint="eastAsia"/>
          <w:lang w:val="en-US" w:eastAsia="zh-CN"/>
        </w:rPr>
      </w:pPr>
      <w:r>
        <w:rPr>
          <w:rFonts w:hint="eastAsia"/>
          <w:lang w:val="en-US" w:eastAsia="zh-CN"/>
        </w:rPr>
        <w:t>（三）发生重大事故的，处上一年年收入百分之八十的罚款；</w:t>
      </w:r>
    </w:p>
    <w:p w14:paraId="1CEBFD49">
      <w:pPr>
        <w:pStyle w:val="8"/>
        <w:snapToGrid w:val="0"/>
        <w:ind w:firstLine="360" w:firstLineChars="200"/>
      </w:pPr>
      <w:r>
        <w:rPr>
          <w:rFonts w:hint="eastAsia"/>
          <w:lang w:val="en-US" w:eastAsia="zh-CN"/>
        </w:rPr>
        <w:t>（四）发生特别重大事故的，处上一年年收入百分之一百的罚款。</w:t>
      </w:r>
    </w:p>
  </w:footnote>
  <w:footnote w:id="14">
    <w:p w14:paraId="190088CF">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w:t>
      </w:r>
      <w:r>
        <w:t>第四条</w:t>
      </w:r>
      <w:r>
        <w:rPr>
          <w:rFonts w:hint="eastAsia"/>
          <w:lang w:eastAsia="zh-CN"/>
        </w:rPr>
        <w:t>：</w:t>
      </w:r>
      <w: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0AE01E9E">
      <w:pPr>
        <w:pStyle w:val="8"/>
        <w:snapToGrid w:val="0"/>
        <w:ind w:firstLine="360" w:firstLineChars="200"/>
      </w:pPr>
      <w:r>
        <w:t>平台经济等新兴行业、领域的生产经营单位应当根据本行业、领域的特点，建立健全并落实全员安全生产责任制，加强从业人员安全生产教育和培训，履行本法和其他法律、法规规定的有关安全生产义务。</w:t>
      </w:r>
    </w:p>
    <w:p w14:paraId="1FC678AD">
      <w:pPr>
        <w:pStyle w:val="8"/>
        <w:snapToGrid w:val="0"/>
        <w:ind w:firstLine="360" w:firstLineChars="200"/>
      </w:pPr>
      <w:r>
        <w:t>第二十八条</w:t>
      </w:r>
      <w:r>
        <w:rPr>
          <w:rFonts w:hint="eastAsia"/>
          <w:lang w:eastAsia="zh-CN"/>
        </w:rPr>
        <w:t>：</w:t>
      </w:r>
      <w: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6F1EF351">
      <w:pPr>
        <w:pStyle w:val="8"/>
        <w:snapToGrid w:val="0"/>
        <w:ind w:firstLine="360" w:firstLineChars="200"/>
      </w:pPr>
      <w: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411C9481">
      <w:pPr>
        <w:pStyle w:val="8"/>
        <w:snapToGrid w:val="0"/>
        <w:ind w:firstLine="360" w:firstLineChars="200"/>
      </w:pPr>
      <w:r>
        <w:t>生产经营单位接收中等职业学校、高等学校学生实习的，应当对实习学生进行相应的安全生产教育和培训，提供必要的劳动防护用品。学校应当协助生产经营单位对实习学生进行安全生产教育和培训。</w:t>
      </w:r>
    </w:p>
    <w:p w14:paraId="5357427F">
      <w:pPr>
        <w:pStyle w:val="8"/>
        <w:snapToGrid w:val="0"/>
        <w:ind w:firstLine="360" w:firstLineChars="200"/>
      </w:pPr>
      <w:r>
        <w:t>生产经营单位应当建立安全生产教育和培训档案，如实记录安全生产教育和培训的时间、内容、参加人员以及考核结果等情况。</w:t>
      </w:r>
    </w:p>
    <w:p w14:paraId="755D7B44">
      <w:pPr>
        <w:pStyle w:val="8"/>
        <w:snapToGrid w:val="0"/>
        <w:ind w:firstLine="360" w:firstLineChars="200"/>
      </w:pPr>
      <w:r>
        <w:t>第四十一条</w:t>
      </w:r>
      <w:r>
        <w:rPr>
          <w:rFonts w:hint="eastAsia"/>
          <w:lang w:eastAsia="zh-CN"/>
        </w:rPr>
        <w:t>：</w:t>
      </w:r>
      <w:r>
        <w:t>生产经营单位应当建立安全风险分级管控制度，按照安全风险分级采取相应的管控措施。</w:t>
      </w:r>
    </w:p>
    <w:p w14:paraId="1FA2560B">
      <w:pPr>
        <w:pStyle w:val="8"/>
        <w:snapToGrid w:val="0"/>
        <w:ind w:firstLine="360" w:firstLineChars="200"/>
      </w:pPr>
      <w: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698A34E7">
      <w:pPr>
        <w:pStyle w:val="8"/>
        <w:snapToGrid w:val="0"/>
        <w:ind w:firstLine="360" w:firstLineChars="200"/>
      </w:pPr>
      <w:r>
        <w:t>县级以上地方各级人民政府负有安全生产监督管理职责的部门应当将重大事故隐患纳入相关信息系统，建立健全重大事故隐患治理督办制度，督促生产经营单位消除重大事故隐患。</w:t>
      </w:r>
    </w:p>
  </w:footnote>
  <w:footnote w:id="15">
    <w:p w14:paraId="70FC245B">
      <w:pPr>
        <w:pStyle w:val="8"/>
        <w:snapToGrid w:val="0"/>
        <w:rPr>
          <w:rFonts w:hint="eastAsia"/>
          <w:lang w:eastAsia="zh-CN"/>
        </w:rPr>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w:t>
      </w:r>
      <w:r>
        <w:t>第一百一十四条</w:t>
      </w:r>
      <w:r>
        <w:rPr>
          <w:rFonts w:hint="eastAsia"/>
          <w:lang w:eastAsia="zh-CN"/>
        </w:rPr>
        <w:t>：</w:t>
      </w:r>
      <w:r>
        <w:t>发生生产安全事故，对负有责任的生产经营单位除要求其依法承担相应的赔偿等责任外，由应急管理部门依照下列规定处以罚款</w:t>
      </w:r>
      <w:r>
        <w:rPr>
          <w:rFonts w:hint="eastAsia"/>
          <w:lang w:eastAsia="zh-CN"/>
        </w:rPr>
        <w:t>：</w:t>
      </w:r>
    </w:p>
    <w:p w14:paraId="4A3E2201">
      <w:pPr>
        <w:pStyle w:val="8"/>
        <w:snapToGrid w:val="0"/>
        <w:ind w:firstLine="360" w:firstLineChars="200"/>
      </w:pPr>
      <w:r>
        <w:t>（一）发生一般事故的，处三十万元以上一百万元以下的罚款；</w:t>
      </w:r>
    </w:p>
    <w:p w14:paraId="4C8474A2">
      <w:pPr>
        <w:pStyle w:val="8"/>
        <w:snapToGrid w:val="0"/>
        <w:ind w:firstLine="360" w:firstLineChars="200"/>
      </w:pPr>
      <w:r>
        <w:t>（二）发生较大事故的，处一百万元以上二百万元以下的罚款；</w:t>
      </w:r>
    </w:p>
    <w:p w14:paraId="7B8552B0">
      <w:pPr>
        <w:pStyle w:val="8"/>
        <w:snapToGrid w:val="0"/>
        <w:ind w:firstLine="360" w:firstLineChars="200"/>
      </w:pPr>
      <w:r>
        <w:t>（三）发生重大事故的，处二百万元以上一千万元以下的罚款；</w:t>
      </w:r>
    </w:p>
    <w:p w14:paraId="48639A32">
      <w:pPr>
        <w:pStyle w:val="8"/>
        <w:snapToGrid w:val="0"/>
        <w:ind w:firstLine="360" w:firstLineChars="200"/>
      </w:pPr>
      <w:r>
        <w:t>（四）发生特别重大事故的，处一千万元以上二千万元以下的罚款。</w:t>
      </w:r>
    </w:p>
    <w:p w14:paraId="02B98D30">
      <w:pPr>
        <w:pStyle w:val="8"/>
        <w:snapToGrid w:val="0"/>
        <w:ind w:firstLine="360" w:firstLineChars="200"/>
      </w:pPr>
      <w:r>
        <w:t>发生生产安全事故，情节特别严重、影响特别恶劣的，应急管理部门可以按照前款罚款数额的二倍以上五倍以下对负有责任的生产经营单位处以罚款。</w:t>
      </w:r>
    </w:p>
  </w:footnote>
  <w:footnote w:id="16">
    <w:p w14:paraId="620903C7">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第十四条</w:t>
      </w:r>
      <w:r>
        <w:rPr>
          <w:rFonts w:hint="eastAsia"/>
          <w:lang w:val="en-US" w:eastAsia="zh-CN"/>
        </w:rPr>
        <w:t>：</w:t>
      </w:r>
      <w:r>
        <w:rPr>
          <w:rFonts w:hint="default"/>
          <w:lang w:val="en-US" w:eastAsia="zh-CN"/>
        </w:rPr>
        <w:t>工程监理单位应当审查施工组织设计中的安全技术措施或者专项施工方案是否符合工程建设强制性标准。</w:t>
      </w:r>
    </w:p>
    <w:p w14:paraId="6DD16E74">
      <w:pPr>
        <w:pStyle w:val="8"/>
        <w:snapToGrid w:val="0"/>
        <w:ind w:firstLine="360" w:firstLineChars="200"/>
        <w:rPr>
          <w:rFonts w:hint="default"/>
        </w:rPr>
      </w:pPr>
      <w:r>
        <w:rPr>
          <w:rFonts w:hint="default"/>
          <w:lang w:val="en-US" w:eastAsia="zh-CN"/>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2B249A5B">
      <w:pPr>
        <w:pStyle w:val="8"/>
        <w:snapToGrid w:val="0"/>
        <w:ind w:firstLine="360" w:firstLineChars="200"/>
      </w:pPr>
      <w:r>
        <w:rPr>
          <w:rFonts w:hint="default"/>
          <w:lang w:val="en-US" w:eastAsia="zh-CN"/>
        </w:rPr>
        <w:t>工程监理单位和监理工程师应当按照法律、法规和工程建设强制性标准实施监理，并对建设工程安全生产承担监理责任。</w:t>
      </w:r>
    </w:p>
  </w:footnote>
  <w:footnote w:id="17">
    <w:p w14:paraId="0243A366">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第五十七条</w:t>
      </w:r>
      <w:r>
        <w:rPr>
          <w:rFonts w:hint="eastAsia"/>
          <w:lang w:val="en-US" w:eastAsia="zh-CN"/>
        </w:rPr>
        <w:t>：</w:t>
      </w:r>
      <w:r>
        <w:rPr>
          <w:rFonts w:hint="default"/>
          <w:lang w:val="en-US" w:eastAsia="zh-CN"/>
        </w:rPr>
        <w:t>违反本条例的规定，工程监理单位有下列行为之一的，责令限期改正；逾期未改正的，责令停业整顿，并处10万元以上30万元以下的罚款；情节严重的，降</w:t>
      </w:r>
      <w:r>
        <w:rPr>
          <w:rFonts w:hint="eastAsia"/>
          <w:lang w:val="en-US" w:eastAsia="zh-CN"/>
        </w:rPr>
        <w:t>低</w:t>
      </w:r>
      <w:r>
        <w:rPr>
          <w:rFonts w:hint="default"/>
          <w:lang w:val="en-US" w:eastAsia="zh-CN"/>
        </w:rPr>
        <w:t>资质等级，直至吊销资质证书；造成重大安全事故，构成犯罪的，对直接责任人员，依照刑法有关规定追究刑事责任；造成损失的，依法承担赔偿责任：</w:t>
      </w:r>
    </w:p>
    <w:p w14:paraId="5E854F33">
      <w:pPr>
        <w:pStyle w:val="8"/>
        <w:snapToGrid w:val="0"/>
        <w:ind w:firstLine="360" w:firstLineChars="200"/>
        <w:rPr>
          <w:rFonts w:hint="default"/>
        </w:rPr>
      </w:pPr>
      <w:r>
        <w:rPr>
          <w:rFonts w:hint="eastAsia"/>
          <w:lang w:val="en-US" w:eastAsia="zh-CN"/>
        </w:rPr>
        <w:t>（</w:t>
      </w:r>
      <w:r>
        <w:rPr>
          <w:rFonts w:hint="default"/>
          <w:lang w:val="en-US" w:eastAsia="zh-CN"/>
        </w:rPr>
        <w:t>一</w:t>
      </w:r>
      <w:r>
        <w:rPr>
          <w:rFonts w:hint="eastAsia"/>
          <w:lang w:val="en-US" w:eastAsia="zh-CN"/>
        </w:rPr>
        <w:t>）</w:t>
      </w:r>
      <w:r>
        <w:rPr>
          <w:rFonts w:hint="default"/>
          <w:lang w:val="en-US" w:eastAsia="zh-CN"/>
        </w:rPr>
        <w:t>未对施工组织设计中的安全技术措施或者专项施工方案进行审查的；</w:t>
      </w:r>
    </w:p>
    <w:p w14:paraId="04960A6C">
      <w:pPr>
        <w:pStyle w:val="8"/>
        <w:snapToGrid w:val="0"/>
        <w:ind w:firstLine="360" w:firstLineChars="200"/>
        <w:rPr>
          <w:rFonts w:hint="default"/>
        </w:rPr>
      </w:pPr>
      <w:r>
        <w:rPr>
          <w:rFonts w:hint="eastAsia"/>
          <w:lang w:val="en-US" w:eastAsia="zh-CN"/>
        </w:rPr>
        <w:t>（</w:t>
      </w:r>
      <w:r>
        <w:rPr>
          <w:rFonts w:hint="default"/>
          <w:lang w:val="en-US" w:eastAsia="zh-CN"/>
        </w:rPr>
        <w:t>二</w:t>
      </w:r>
      <w:r>
        <w:rPr>
          <w:rFonts w:hint="eastAsia"/>
          <w:lang w:val="en-US" w:eastAsia="zh-CN"/>
        </w:rPr>
        <w:t>）</w:t>
      </w:r>
      <w:r>
        <w:rPr>
          <w:rFonts w:hint="default"/>
          <w:lang w:val="en-US" w:eastAsia="zh-CN"/>
        </w:rPr>
        <w:t>发现安全事故隐患未及时要求施工单位整改或者暂时停止施工的；</w:t>
      </w:r>
    </w:p>
    <w:p w14:paraId="6B6E26BA">
      <w:pPr>
        <w:pStyle w:val="8"/>
        <w:snapToGrid w:val="0"/>
        <w:ind w:firstLine="360" w:firstLineChars="200"/>
        <w:rPr>
          <w:rFonts w:hint="default"/>
        </w:rPr>
      </w:pPr>
      <w:r>
        <w:rPr>
          <w:rFonts w:hint="eastAsia"/>
          <w:lang w:val="en-US" w:eastAsia="zh-CN"/>
        </w:rPr>
        <w:t>（</w:t>
      </w:r>
      <w:r>
        <w:rPr>
          <w:rFonts w:hint="default"/>
          <w:lang w:val="en-US" w:eastAsia="zh-CN"/>
        </w:rPr>
        <w:t>三</w:t>
      </w:r>
      <w:r>
        <w:rPr>
          <w:rFonts w:hint="eastAsia"/>
          <w:lang w:val="en-US" w:eastAsia="zh-CN"/>
        </w:rPr>
        <w:t>）</w:t>
      </w:r>
      <w:r>
        <w:rPr>
          <w:rFonts w:hint="default"/>
          <w:lang w:val="en-US" w:eastAsia="zh-CN"/>
        </w:rPr>
        <w:t>施工单位拒不整改或者不停止施工，未及时向有关主管部门报告的；</w:t>
      </w:r>
    </w:p>
    <w:p w14:paraId="71148552">
      <w:pPr>
        <w:pStyle w:val="8"/>
        <w:snapToGrid w:val="0"/>
        <w:ind w:firstLine="360" w:firstLineChars="200"/>
      </w:pPr>
      <w:r>
        <w:rPr>
          <w:rFonts w:hint="eastAsia"/>
          <w:lang w:val="en-US" w:eastAsia="zh-CN"/>
        </w:rPr>
        <w:t>（</w:t>
      </w:r>
      <w:r>
        <w:rPr>
          <w:rFonts w:hint="default"/>
          <w:lang w:val="en-US" w:eastAsia="zh-CN"/>
        </w:rPr>
        <w:t>四</w:t>
      </w:r>
      <w:r>
        <w:rPr>
          <w:rFonts w:hint="eastAsia"/>
          <w:lang w:val="en-US" w:eastAsia="zh-CN"/>
        </w:rPr>
        <w:t>）</w:t>
      </w:r>
      <w:r>
        <w:rPr>
          <w:rFonts w:hint="default"/>
          <w:lang w:val="en-US" w:eastAsia="zh-CN"/>
        </w:rPr>
        <w:t>未依照法律、法规和工程建设强制性标准实施监理的。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36"/>
    <w:footnote w:id="3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E18"/>
    <w:rsid w:val="000F5645"/>
    <w:rsid w:val="0013730E"/>
    <w:rsid w:val="002F5345"/>
    <w:rsid w:val="00593E6F"/>
    <w:rsid w:val="006733C2"/>
    <w:rsid w:val="00891D5E"/>
    <w:rsid w:val="009C0167"/>
    <w:rsid w:val="00BD2A29"/>
    <w:rsid w:val="00FC3E1B"/>
    <w:rsid w:val="010A29DC"/>
    <w:rsid w:val="01233096"/>
    <w:rsid w:val="013171D3"/>
    <w:rsid w:val="01796751"/>
    <w:rsid w:val="019860E9"/>
    <w:rsid w:val="019E4ED3"/>
    <w:rsid w:val="01DB2C49"/>
    <w:rsid w:val="023F66B6"/>
    <w:rsid w:val="02594EFF"/>
    <w:rsid w:val="0295339B"/>
    <w:rsid w:val="029702A0"/>
    <w:rsid w:val="029A094C"/>
    <w:rsid w:val="030E4A8B"/>
    <w:rsid w:val="033D3C4A"/>
    <w:rsid w:val="038D51FF"/>
    <w:rsid w:val="03BA027C"/>
    <w:rsid w:val="03E414FE"/>
    <w:rsid w:val="03EC6F99"/>
    <w:rsid w:val="048A165D"/>
    <w:rsid w:val="04B96508"/>
    <w:rsid w:val="04C42EA2"/>
    <w:rsid w:val="04E15802"/>
    <w:rsid w:val="04FF1830"/>
    <w:rsid w:val="05055969"/>
    <w:rsid w:val="052C2F85"/>
    <w:rsid w:val="05C25634"/>
    <w:rsid w:val="05F9301F"/>
    <w:rsid w:val="061A6353"/>
    <w:rsid w:val="062260D2"/>
    <w:rsid w:val="0640109F"/>
    <w:rsid w:val="064C75F3"/>
    <w:rsid w:val="064E3298"/>
    <w:rsid w:val="06E05782"/>
    <w:rsid w:val="07043A2A"/>
    <w:rsid w:val="07844F83"/>
    <w:rsid w:val="07A64AE1"/>
    <w:rsid w:val="07F57C61"/>
    <w:rsid w:val="07FE07EC"/>
    <w:rsid w:val="08801E7F"/>
    <w:rsid w:val="089A5D8F"/>
    <w:rsid w:val="08A90D2D"/>
    <w:rsid w:val="08AC4379"/>
    <w:rsid w:val="091066B6"/>
    <w:rsid w:val="09260AFA"/>
    <w:rsid w:val="0926412B"/>
    <w:rsid w:val="092959CA"/>
    <w:rsid w:val="09305432"/>
    <w:rsid w:val="094445B2"/>
    <w:rsid w:val="09562954"/>
    <w:rsid w:val="098620DD"/>
    <w:rsid w:val="09C556F2"/>
    <w:rsid w:val="09CE3585"/>
    <w:rsid w:val="09CE449D"/>
    <w:rsid w:val="09E0601E"/>
    <w:rsid w:val="0A140428"/>
    <w:rsid w:val="0A1C108A"/>
    <w:rsid w:val="0A522784"/>
    <w:rsid w:val="0A6D3260"/>
    <w:rsid w:val="0A7D1345"/>
    <w:rsid w:val="0A99282A"/>
    <w:rsid w:val="0A9D041D"/>
    <w:rsid w:val="0AA417AC"/>
    <w:rsid w:val="0AD11E75"/>
    <w:rsid w:val="0AD54F78"/>
    <w:rsid w:val="0B163D2C"/>
    <w:rsid w:val="0B3C7C36"/>
    <w:rsid w:val="0B403661"/>
    <w:rsid w:val="0B770C6E"/>
    <w:rsid w:val="0BB7042D"/>
    <w:rsid w:val="0BF4406D"/>
    <w:rsid w:val="0C3F0282"/>
    <w:rsid w:val="0C707C14"/>
    <w:rsid w:val="0CC31C91"/>
    <w:rsid w:val="0CD04079"/>
    <w:rsid w:val="0D183D8B"/>
    <w:rsid w:val="0D951880"/>
    <w:rsid w:val="0DA0296C"/>
    <w:rsid w:val="0DA12EF0"/>
    <w:rsid w:val="0DA27AF9"/>
    <w:rsid w:val="0DA90E87"/>
    <w:rsid w:val="0E034675"/>
    <w:rsid w:val="0E1529C0"/>
    <w:rsid w:val="0E5E6115"/>
    <w:rsid w:val="0E6A4ABA"/>
    <w:rsid w:val="0E803373"/>
    <w:rsid w:val="0EEB4673"/>
    <w:rsid w:val="0EED1247"/>
    <w:rsid w:val="0EFF6616"/>
    <w:rsid w:val="0F1715AC"/>
    <w:rsid w:val="0F205C72"/>
    <w:rsid w:val="0F2904D1"/>
    <w:rsid w:val="0F2C2258"/>
    <w:rsid w:val="0F2F360E"/>
    <w:rsid w:val="0F7F929D"/>
    <w:rsid w:val="0F8B4CE8"/>
    <w:rsid w:val="0FDC6129"/>
    <w:rsid w:val="0FE3034B"/>
    <w:rsid w:val="1003424E"/>
    <w:rsid w:val="1043306C"/>
    <w:rsid w:val="104D4694"/>
    <w:rsid w:val="105570A4"/>
    <w:rsid w:val="106043C7"/>
    <w:rsid w:val="10A13334"/>
    <w:rsid w:val="10A87B1C"/>
    <w:rsid w:val="11302747"/>
    <w:rsid w:val="115C401D"/>
    <w:rsid w:val="115E2610"/>
    <w:rsid w:val="117439BB"/>
    <w:rsid w:val="117F6ACF"/>
    <w:rsid w:val="11C624BE"/>
    <w:rsid w:val="11D72983"/>
    <w:rsid w:val="12045226"/>
    <w:rsid w:val="121466E6"/>
    <w:rsid w:val="12235B83"/>
    <w:rsid w:val="12DA2B3E"/>
    <w:rsid w:val="12DF0227"/>
    <w:rsid w:val="12EB3CF0"/>
    <w:rsid w:val="12FB2185"/>
    <w:rsid w:val="13201BEB"/>
    <w:rsid w:val="13260758"/>
    <w:rsid w:val="13BE5F5E"/>
    <w:rsid w:val="13C056FE"/>
    <w:rsid w:val="13CB5FFB"/>
    <w:rsid w:val="13CF716E"/>
    <w:rsid w:val="13DC5D90"/>
    <w:rsid w:val="13DD15D1"/>
    <w:rsid w:val="14083304"/>
    <w:rsid w:val="146961E6"/>
    <w:rsid w:val="14BB1D84"/>
    <w:rsid w:val="14CD18FF"/>
    <w:rsid w:val="14D750D5"/>
    <w:rsid w:val="14E40E91"/>
    <w:rsid w:val="14FC7645"/>
    <w:rsid w:val="14FD00E7"/>
    <w:rsid w:val="1517701E"/>
    <w:rsid w:val="15204125"/>
    <w:rsid w:val="152E2457"/>
    <w:rsid w:val="1544009F"/>
    <w:rsid w:val="155070B7"/>
    <w:rsid w:val="155142DE"/>
    <w:rsid w:val="155D0ED5"/>
    <w:rsid w:val="1584296E"/>
    <w:rsid w:val="159254CD"/>
    <w:rsid w:val="1593009E"/>
    <w:rsid w:val="159F0AB9"/>
    <w:rsid w:val="15A06B24"/>
    <w:rsid w:val="15F27012"/>
    <w:rsid w:val="15FB70AD"/>
    <w:rsid w:val="163D20FF"/>
    <w:rsid w:val="165F2A2B"/>
    <w:rsid w:val="1675224E"/>
    <w:rsid w:val="167D1103"/>
    <w:rsid w:val="169E083D"/>
    <w:rsid w:val="16A23677"/>
    <w:rsid w:val="16CC48B4"/>
    <w:rsid w:val="16EF3DAF"/>
    <w:rsid w:val="17424753"/>
    <w:rsid w:val="174C1201"/>
    <w:rsid w:val="17793FC0"/>
    <w:rsid w:val="17BB0AD0"/>
    <w:rsid w:val="180E64B6"/>
    <w:rsid w:val="1835515B"/>
    <w:rsid w:val="184B0543"/>
    <w:rsid w:val="18B74DA0"/>
    <w:rsid w:val="19061883"/>
    <w:rsid w:val="19341F4D"/>
    <w:rsid w:val="194303E2"/>
    <w:rsid w:val="198509FA"/>
    <w:rsid w:val="19B117EF"/>
    <w:rsid w:val="19C02579"/>
    <w:rsid w:val="19FE633C"/>
    <w:rsid w:val="1A805D4E"/>
    <w:rsid w:val="1AF04599"/>
    <w:rsid w:val="1B360EA2"/>
    <w:rsid w:val="1B3C158C"/>
    <w:rsid w:val="1BBF5ABB"/>
    <w:rsid w:val="1BF03765"/>
    <w:rsid w:val="1C4E5A1B"/>
    <w:rsid w:val="1C550284"/>
    <w:rsid w:val="1C71170A"/>
    <w:rsid w:val="1C963239"/>
    <w:rsid w:val="1CE123EB"/>
    <w:rsid w:val="1CFE4675"/>
    <w:rsid w:val="1D0B525D"/>
    <w:rsid w:val="1D1D5176"/>
    <w:rsid w:val="1D757205"/>
    <w:rsid w:val="1D7C0366"/>
    <w:rsid w:val="1D7C2635"/>
    <w:rsid w:val="1D7E1232"/>
    <w:rsid w:val="1D807380"/>
    <w:rsid w:val="1D8254C7"/>
    <w:rsid w:val="1DA63635"/>
    <w:rsid w:val="1DC424A8"/>
    <w:rsid w:val="1DC941B4"/>
    <w:rsid w:val="1DE75D86"/>
    <w:rsid w:val="1E022F67"/>
    <w:rsid w:val="1E2F5465"/>
    <w:rsid w:val="1E481832"/>
    <w:rsid w:val="1E511B3A"/>
    <w:rsid w:val="1E6B7438"/>
    <w:rsid w:val="1E89232D"/>
    <w:rsid w:val="1ED02718"/>
    <w:rsid w:val="1EE325A8"/>
    <w:rsid w:val="1EEE0DF0"/>
    <w:rsid w:val="1F0F46CF"/>
    <w:rsid w:val="1F130856"/>
    <w:rsid w:val="1F1C2711"/>
    <w:rsid w:val="1F623498"/>
    <w:rsid w:val="1FA15E62"/>
    <w:rsid w:val="1FB61771"/>
    <w:rsid w:val="208A5D6D"/>
    <w:rsid w:val="20987A7B"/>
    <w:rsid w:val="20E51DCF"/>
    <w:rsid w:val="20EC135F"/>
    <w:rsid w:val="211D3C0E"/>
    <w:rsid w:val="212A600B"/>
    <w:rsid w:val="217A2E0F"/>
    <w:rsid w:val="219536BB"/>
    <w:rsid w:val="21D84004"/>
    <w:rsid w:val="225A39EF"/>
    <w:rsid w:val="2265358A"/>
    <w:rsid w:val="228A7CE8"/>
    <w:rsid w:val="228B0582"/>
    <w:rsid w:val="22C759AB"/>
    <w:rsid w:val="22D64075"/>
    <w:rsid w:val="2322593E"/>
    <w:rsid w:val="23627FFE"/>
    <w:rsid w:val="236B2A0F"/>
    <w:rsid w:val="23A40CFC"/>
    <w:rsid w:val="23A457AD"/>
    <w:rsid w:val="24082954"/>
    <w:rsid w:val="24154F22"/>
    <w:rsid w:val="24332189"/>
    <w:rsid w:val="243613A8"/>
    <w:rsid w:val="24661428"/>
    <w:rsid w:val="2491323A"/>
    <w:rsid w:val="24AE34FB"/>
    <w:rsid w:val="24CC1BD3"/>
    <w:rsid w:val="24E24F53"/>
    <w:rsid w:val="253D61BE"/>
    <w:rsid w:val="25C52D32"/>
    <w:rsid w:val="25D24FC7"/>
    <w:rsid w:val="25D35A02"/>
    <w:rsid w:val="25FA1F98"/>
    <w:rsid w:val="26712CE6"/>
    <w:rsid w:val="2674607E"/>
    <w:rsid w:val="26760048"/>
    <w:rsid w:val="268F15A4"/>
    <w:rsid w:val="269E5BF6"/>
    <w:rsid w:val="26B15A9F"/>
    <w:rsid w:val="26DF07A7"/>
    <w:rsid w:val="272975C1"/>
    <w:rsid w:val="27430817"/>
    <w:rsid w:val="280B0A8F"/>
    <w:rsid w:val="281573ED"/>
    <w:rsid w:val="281B4440"/>
    <w:rsid w:val="284D4DD9"/>
    <w:rsid w:val="28517B0A"/>
    <w:rsid w:val="28941D46"/>
    <w:rsid w:val="28996B80"/>
    <w:rsid w:val="28AF1D7A"/>
    <w:rsid w:val="28DD27C1"/>
    <w:rsid w:val="29034682"/>
    <w:rsid w:val="290E2EC2"/>
    <w:rsid w:val="29106E69"/>
    <w:rsid w:val="29153EDA"/>
    <w:rsid w:val="291A315C"/>
    <w:rsid w:val="296C6D10"/>
    <w:rsid w:val="29D137E8"/>
    <w:rsid w:val="2A463335"/>
    <w:rsid w:val="2ABB7112"/>
    <w:rsid w:val="2ABE034B"/>
    <w:rsid w:val="2AC179D0"/>
    <w:rsid w:val="2ACF7D27"/>
    <w:rsid w:val="2AD0584D"/>
    <w:rsid w:val="2AD73080"/>
    <w:rsid w:val="2B2775AA"/>
    <w:rsid w:val="2B2F2E4F"/>
    <w:rsid w:val="2B453A1B"/>
    <w:rsid w:val="2BDF75EF"/>
    <w:rsid w:val="2C0622E9"/>
    <w:rsid w:val="2C4209CD"/>
    <w:rsid w:val="2C7C3EDF"/>
    <w:rsid w:val="2CD73969"/>
    <w:rsid w:val="2D3D1A0A"/>
    <w:rsid w:val="2D4927FA"/>
    <w:rsid w:val="2D6A5059"/>
    <w:rsid w:val="2D796490"/>
    <w:rsid w:val="2D992836"/>
    <w:rsid w:val="2DAA6942"/>
    <w:rsid w:val="2DDBB301"/>
    <w:rsid w:val="2E3B6286"/>
    <w:rsid w:val="2E5C4A13"/>
    <w:rsid w:val="2E7E49CF"/>
    <w:rsid w:val="2E8513D6"/>
    <w:rsid w:val="2EE575D9"/>
    <w:rsid w:val="2F1B31BF"/>
    <w:rsid w:val="2F2214C8"/>
    <w:rsid w:val="2FAC4ADB"/>
    <w:rsid w:val="2FAF45CB"/>
    <w:rsid w:val="2FED3DE1"/>
    <w:rsid w:val="30081E4E"/>
    <w:rsid w:val="3015041B"/>
    <w:rsid w:val="303B1FA2"/>
    <w:rsid w:val="30596773"/>
    <w:rsid w:val="305B3E0B"/>
    <w:rsid w:val="308A10EC"/>
    <w:rsid w:val="310C0203"/>
    <w:rsid w:val="311F752F"/>
    <w:rsid w:val="3131421F"/>
    <w:rsid w:val="31545645"/>
    <w:rsid w:val="317038E6"/>
    <w:rsid w:val="31745184"/>
    <w:rsid w:val="319B646B"/>
    <w:rsid w:val="31A6487A"/>
    <w:rsid w:val="31DB0698"/>
    <w:rsid w:val="31DF17DC"/>
    <w:rsid w:val="31F940AB"/>
    <w:rsid w:val="31FA4E26"/>
    <w:rsid w:val="32193F7E"/>
    <w:rsid w:val="323C02EE"/>
    <w:rsid w:val="326C2300"/>
    <w:rsid w:val="32877139"/>
    <w:rsid w:val="32935E77"/>
    <w:rsid w:val="329B4993"/>
    <w:rsid w:val="32A72D83"/>
    <w:rsid w:val="32AE4FCE"/>
    <w:rsid w:val="32C0264B"/>
    <w:rsid w:val="32C83002"/>
    <w:rsid w:val="32D419CF"/>
    <w:rsid w:val="32EC3440"/>
    <w:rsid w:val="32F347CF"/>
    <w:rsid w:val="33192F4E"/>
    <w:rsid w:val="33216732"/>
    <w:rsid w:val="33265EB1"/>
    <w:rsid w:val="335356E2"/>
    <w:rsid w:val="335C76C1"/>
    <w:rsid w:val="33A1247D"/>
    <w:rsid w:val="33A53D1B"/>
    <w:rsid w:val="3409704A"/>
    <w:rsid w:val="34164165"/>
    <w:rsid w:val="34284367"/>
    <w:rsid w:val="342E38B2"/>
    <w:rsid w:val="345C0152"/>
    <w:rsid w:val="34CE091C"/>
    <w:rsid w:val="34DD5737"/>
    <w:rsid w:val="3503452D"/>
    <w:rsid w:val="35167112"/>
    <w:rsid w:val="35246EC1"/>
    <w:rsid w:val="353A66E5"/>
    <w:rsid w:val="355E7074"/>
    <w:rsid w:val="357D4824"/>
    <w:rsid w:val="357E4195"/>
    <w:rsid w:val="358A766C"/>
    <w:rsid w:val="358E1D0D"/>
    <w:rsid w:val="35AB7BFD"/>
    <w:rsid w:val="35B429B2"/>
    <w:rsid w:val="365A6A30"/>
    <w:rsid w:val="37010B47"/>
    <w:rsid w:val="375872F6"/>
    <w:rsid w:val="376443BB"/>
    <w:rsid w:val="376E7D7C"/>
    <w:rsid w:val="378B7CA4"/>
    <w:rsid w:val="379E7A8F"/>
    <w:rsid w:val="37A0313B"/>
    <w:rsid w:val="37CE1DAE"/>
    <w:rsid w:val="37E1553E"/>
    <w:rsid w:val="37FD76FE"/>
    <w:rsid w:val="38054847"/>
    <w:rsid w:val="38095862"/>
    <w:rsid w:val="383218F5"/>
    <w:rsid w:val="3839770B"/>
    <w:rsid w:val="38551E53"/>
    <w:rsid w:val="387463B2"/>
    <w:rsid w:val="387A675B"/>
    <w:rsid w:val="38B90269"/>
    <w:rsid w:val="38DCE55C"/>
    <w:rsid w:val="392E2B2A"/>
    <w:rsid w:val="3988038C"/>
    <w:rsid w:val="39F9503D"/>
    <w:rsid w:val="3A2D05C6"/>
    <w:rsid w:val="3A4C2E2C"/>
    <w:rsid w:val="3AA27206"/>
    <w:rsid w:val="3ADB5B41"/>
    <w:rsid w:val="3B0532F1"/>
    <w:rsid w:val="3B59761E"/>
    <w:rsid w:val="3BAE1BDB"/>
    <w:rsid w:val="3BDB4052"/>
    <w:rsid w:val="3C0B0B36"/>
    <w:rsid w:val="3C172DA2"/>
    <w:rsid w:val="3C3003FC"/>
    <w:rsid w:val="3C624ED4"/>
    <w:rsid w:val="3CB21484"/>
    <w:rsid w:val="3CB61E3C"/>
    <w:rsid w:val="3CBC0846"/>
    <w:rsid w:val="3D314D64"/>
    <w:rsid w:val="3D421A9A"/>
    <w:rsid w:val="3D6C4847"/>
    <w:rsid w:val="3D962926"/>
    <w:rsid w:val="3E0E38C3"/>
    <w:rsid w:val="3E3D0FF4"/>
    <w:rsid w:val="3E3E7246"/>
    <w:rsid w:val="3E4509F4"/>
    <w:rsid w:val="3E910235"/>
    <w:rsid w:val="3F055FB6"/>
    <w:rsid w:val="3F2475F2"/>
    <w:rsid w:val="3F312907"/>
    <w:rsid w:val="3F8F3AD1"/>
    <w:rsid w:val="3FA23468"/>
    <w:rsid w:val="3FCC33C2"/>
    <w:rsid w:val="3FCE45FA"/>
    <w:rsid w:val="3FCF3C34"/>
    <w:rsid w:val="3FDB7A11"/>
    <w:rsid w:val="3FEC2AF0"/>
    <w:rsid w:val="40573FD4"/>
    <w:rsid w:val="405966D5"/>
    <w:rsid w:val="408D323F"/>
    <w:rsid w:val="409316FF"/>
    <w:rsid w:val="40B977E5"/>
    <w:rsid w:val="40E37C31"/>
    <w:rsid w:val="410D2F00"/>
    <w:rsid w:val="414D26DE"/>
    <w:rsid w:val="41780CC1"/>
    <w:rsid w:val="41790DF8"/>
    <w:rsid w:val="41960106"/>
    <w:rsid w:val="41E43F89"/>
    <w:rsid w:val="42051E29"/>
    <w:rsid w:val="4297506C"/>
    <w:rsid w:val="42AE618F"/>
    <w:rsid w:val="4321493A"/>
    <w:rsid w:val="43252782"/>
    <w:rsid w:val="435968D0"/>
    <w:rsid w:val="43765413"/>
    <w:rsid w:val="43A41F82"/>
    <w:rsid w:val="43B03E7E"/>
    <w:rsid w:val="43BC2C7F"/>
    <w:rsid w:val="43C024AB"/>
    <w:rsid w:val="43C26194"/>
    <w:rsid w:val="43CD4BC8"/>
    <w:rsid w:val="43D8262B"/>
    <w:rsid w:val="44325B66"/>
    <w:rsid w:val="4492209A"/>
    <w:rsid w:val="449D2578"/>
    <w:rsid w:val="44A040E0"/>
    <w:rsid w:val="44EE3048"/>
    <w:rsid w:val="454F7F8B"/>
    <w:rsid w:val="4552724E"/>
    <w:rsid w:val="45587E13"/>
    <w:rsid w:val="459D0BA1"/>
    <w:rsid w:val="45D81DE2"/>
    <w:rsid w:val="46396545"/>
    <w:rsid w:val="46FB74FD"/>
    <w:rsid w:val="4703102D"/>
    <w:rsid w:val="470E1780"/>
    <w:rsid w:val="47484C91"/>
    <w:rsid w:val="479E0D55"/>
    <w:rsid w:val="47AF4D11"/>
    <w:rsid w:val="47DC187E"/>
    <w:rsid w:val="47E341E2"/>
    <w:rsid w:val="47EB502E"/>
    <w:rsid w:val="47F32559"/>
    <w:rsid w:val="47F6293F"/>
    <w:rsid w:val="47FD6DE6"/>
    <w:rsid w:val="483F42E6"/>
    <w:rsid w:val="48651873"/>
    <w:rsid w:val="486A79A9"/>
    <w:rsid w:val="48A0105D"/>
    <w:rsid w:val="48C702D6"/>
    <w:rsid w:val="48F13107"/>
    <w:rsid w:val="49241801"/>
    <w:rsid w:val="4928477D"/>
    <w:rsid w:val="4970795B"/>
    <w:rsid w:val="497D499A"/>
    <w:rsid w:val="49A86F75"/>
    <w:rsid w:val="49AB4441"/>
    <w:rsid w:val="49D942C7"/>
    <w:rsid w:val="4A205A52"/>
    <w:rsid w:val="4A3C51B1"/>
    <w:rsid w:val="4A58343D"/>
    <w:rsid w:val="4ABD1AD2"/>
    <w:rsid w:val="4AC22FAD"/>
    <w:rsid w:val="4B35377F"/>
    <w:rsid w:val="4B386DCB"/>
    <w:rsid w:val="4B684422"/>
    <w:rsid w:val="4B806DF8"/>
    <w:rsid w:val="4B8A64C8"/>
    <w:rsid w:val="4B952D7E"/>
    <w:rsid w:val="4B9C57F5"/>
    <w:rsid w:val="4BCD6084"/>
    <w:rsid w:val="4C1B2975"/>
    <w:rsid w:val="4C2F5DA0"/>
    <w:rsid w:val="4C463CC8"/>
    <w:rsid w:val="4C501913"/>
    <w:rsid w:val="4C8D179C"/>
    <w:rsid w:val="4C9C3E50"/>
    <w:rsid w:val="4CA02E7A"/>
    <w:rsid w:val="4CC31472"/>
    <w:rsid w:val="4CE2665F"/>
    <w:rsid w:val="4CE91A44"/>
    <w:rsid w:val="4D0039E7"/>
    <w:rsid w:val="4D007DBC"/>
    <w:rsid w:val="4D302E27"/>
    <w:rsid w:val="4D317F76"/>
    <w:rsid w:val="4D7F0CE1"/>
    <w:rsid w:val="4D812CAB"/>
    <w:rsid w:val="4EA523BC"/>
    <w:rsid w:val="4ED30F8C"/>
    <w:rsid w:val="4EE8375F"/>
    <w:rsid w:val="4EE96D5A"/>
    <w:rsid w:val="4F0F2539"/>
    <w:rsid w:val="4F147549"/>
    <w:rsid w:val="4F293FC3"/>
    <w:rsid w:val="4F3B332E"/>
    <w:rsid w:val="50033115"/>
    <w:rsid w:val="502276A2"/>
    <w:rsid w:val="50406E4E"/>
    <w:rsid w:val="505521CD"/>
    <w:rsid w:val="50775082"/>
    <w:rsid w:val="509908C6"/>
    <w:rsid w:val="50D47596"/>
    <w:rsid w:val="50F639B0"/>
    <w:rsid w:val="5104077A"/>
    <w:rsid w:val="51330760"/>
    <w:rsid w:val="51D841E7"/>
    <w:rsid w:val="525D6F40"/>
    <w:rsid w:val="52EF8A8F"/>
    <w:rsid w:val="53084200"/>
    <w:rsid w:val="5359222A"/>
    <w:rsid w:val="53690469"/>
    <w:rsid w:val="537A6849"/>
    <w:rsid w:val="537C375A"/>
    <w:rsid w:val="539574B0"/>
    <w:rsid w:val="53CE7B91"/>
    <w:rsid w:val="53EC1340"/>
    <w:rsid w:val="541C512A"/>
    <w:rsid w:val="544016A4"/>
    <w:rsid w:val="546767BB"/>
    <w:rsid w:val="548D4512"/>
    <w:rsid w:val="549B7CA5"/>
    <w:rsid w:val="54B8027F"/>
    <w:rsid w:val="55216B22"/>
    <w:rsid w:val="553D40E7"/>
    <w:rsid w:val="55911EF9"/>
    <w:rsid w:val="55B36931"/>
    <w:rsid w:val="55BB0D24"/>
    <w:rsid w:val="55E40DAC"/>
    <w:rsid w:val="56196483"/>
    <w:rsid w:val="566C2869"/>
    <w:rsid w:val="56B440F1"/>
    <w:rsid w:val="56F463E3"/>
    <w:rsid w:val="57012BCC"/>
    <w:rsid w:val="573827E4"/>
    <w:rsid w:val="57454D4A"/>
    <w:rsid w:val="57721191"/>
    <w:rsid w:val="578A4E52"/>
    <w:rsid w:val="57913BB1"/>
    <w:rsid w:val="57C641F3"/>
    <w:rsid w:val="57D83E10"/>
    <w:rsid w:val="58A75590"/>
    <w:rsid w:val="58C61EBA"/>
    <w:rsid w:val="58FE503E"/>
    <w:rsid w:val="59123351"/>
    <w:rsid w:val="59A04973"/>
    <w:rsid w:val="59DA62AE"/>
    <w:rsid w:val="59DF345D"/>
    <w:rsid w:val="59E7307A"/>
    <w:rsid w:val="59F673FD"/>
    <w:rsid w:val="5A3B0686"/>
    <w:rsid w:val="5A6776CD"/>
    <w:rsid w:val="5A7B51D3"/>
    <w:rsid w:val="5A973EF7"/>
    <w:rsid w:val="5ABF6EB9"/>
    <w:rsid w:val="5ACF1D70"/>
    <w:rsid w:val="5B24736C"/>
    <w:rsid w:val="5B3A093D"/>
    <w:rsid w:val="5B3C6133"/>
    <w:rsid w:val="5B516E1D"/>
    <w:rsid w:val="5B6D579F"/>
    <w:rsid w:val="5BD364E5"/>
    <w:rsid w:val="5BFE3780"/>
    <w:rsid w:val="5C2A09B2"/>
    <w:rsid w:val="5C8F2446"/>
    <w:rsid w:val="5CBA1D36"/>
    <w:rsid w:val="5CCD510D"/>
    <w:rsid w:val="5CEED739"/>
    <w:rsid w:val="5CFD5561"/>
    <w:rsid w:val="5D05119C"/>
    <w:rsid w:val="5D280E34"/>
    <w:rsid w:val="5D41665C"/>
    <w:rsid w:val="5D681E78"/>
    <w:rsid w:val="5DB3F144"/>
    <w:rsid w:val="5DDA3913"/>
    <w:rsid w:val="5DFC0AE8"/>
    <w:rsid w:val="5E11656F"/>
    <w:rsid w:val="5E167440"/>
    <w:rsid w:val="5E391380"/>
    <w:rsid w:val="5E7E4DA5"/>
    <w:rsid w:val="5E880FA4"/>
    <w:rsid w:val="5E9DCE57"/>
    <w:rsid w:val="5EBF3EA5"/>
    <w:rsid w:val="5ED35331"/>
    <w:rsid w:val="5EFD5F0A"/>
    <w:rsid w:val="5F011E9E"/>
    <w:rsid w:val="5F3C0936"/>
    <w:rsid w:val="5F4678B1"/>
    <w:rsid w:val="5F630848"/>
    <w:rsid w:val="5F7704F1"/>
    <w:rsid w:val="5F870252"/>
    <w:rsid w:val="5FA10F8B"/>
    <w:rsid w:val="5FB172A3"/>
    <w:rsid w:val="5FB43FE5"/>
    <w:rsid w:val="5FE326FD"/>
    <w:rsid w:val="60077078"/>
    <w:rsid w:val="601975C1"/>
    <w:rsid w:val="60335542"/>
    <w:rsid w:val="60A24FBB"/>
    <w:rsid w:val="60B93098"/>
    <w:rsid w:val="60BA44D4"/>
    <w:rsid w:val="60C96203"/>
    <w:rsid w:val="611264F8"/>
    <w:rsid w:val="611539DF"/>
    <w:rsid w:val="61AD7142"/>
    <w:rsid w:val="61EB0897"/>
    <w:rsid w:val="6258182C"/>
    <w:rsid w:val="629D3C5C"/>
    <w:rsid w:val="630D181D"/>
    <w:rsid w:val="63860BC4"/>
    <w:rsid w:val="639C18F4"/>
    <w:rsid w:val="63AC6266"/>
    <w:rsid w:val="648F3AA8"/>
    <w:rsid w:val="64B90B25"/>
    <w:rsid w:val="64D01601"/>
    <w:rsid w:val="64EFB7A7"/>
    <w:rsid w:val="653F3F71"/>
    <w:rsid w:val="654D1197"/>
    <w:rsid w:val="657D6D2D"/>
    <w:rsid w:val="65E87914"/>
    <w:rsid w:val="65FA23AE"/>
    <w:rsid w:val="662C66AE"/>
    <w:rsid w:val="66325962"/>
    <w:rsid w:val="66592A75"/>
    <w:rsid w:val="66716C77"/>
    <w:rsid w:val="66B141AA"/>
    <w:rsid w:val="66C220ED"/>
    <w:rsid w:val="66CC2D91"/>
    <w:rsid w:val="66DB1226"/>
    <w:rsid w:val="66E37976"/>
    <w:rsid w:val="67024A05"/>
    <w:rsid w:val="670D4B76"/>
    <w:rsid w:val="672C1A82"/>
    <w:rsid w:val="6736645D"/>
    <w:rsid w:val="67811331"/>
    <w:rsid w:val="67872DBE"/>
    <w:rsid w:val="67AA4CC9"/>
    <w:rsid w:val="67CB34E6"/>
    <w:rsid w:val="68A94281"/>
    <w:rsid w:val="68B8069D"/>
    <w:rsid w:val="69046E4F"/>
    <w:rsid w:val="69224EEB"/>
    <w:rsid w:val="693A39DA"/>
    <w:rsid w:val="693E08F7"/>
    <w:rsid w:val="698A536A"/>
    <w:rsid w:val="69BD5CAE"/>
    <w:rsid w:val="69D35536"/>
    <w:rsid w:val="69EC374B"/>
    <w:rsid w:val="6A2B4273"/>
    <w:rsid w:val="6A8F4802"/>
    <w:rsid w:val="6AA45574"/>
    <w:rsid w:val="6ABE3B1C"/>
    <w:rsid w:val="6AC5264F"/>
    <w:rsid w:val="6ADD0169"/>
    <w:rsid w:val="6AE306AA"/>
    <w:rsid w:val="6AFB0793"/>
    <w:rsid w:val="6B3C600C"/>
    <w:rsid w:val="6B6C1481"/>
    <w:rsid w:val="6BCA7826"/>
    <w:rsid w:val="6BD73E22"/>
    <w:rsid w:val="6BF16C8A"/>
    <w:rsid w:val="6C0C59DE"/>
    <w:rsid w:val="6C644542"/>
    <w:rsid w:val="6C8E3869"/>
    <w:rsid w:val="6CA72DDC"/>
    <w:rsid w:val="6CAB169B"/>
    <w:rsid w:val="6CBD33A5"/>
    <w:rsid w:val="6CD40BF2"/>
    <w:rsid w:val="6CFA637E"/>
    <w:rsid w:val="6D544AB7"/>
    <w:rsid w:val="6DA91ED9"/>
    <w:rsid w:val="6DAC3E03"/>
    <w:rsid w:val="6DDE7E85"/>
    <w:rsid w:val="6EB85889"/>
    <w:rsid w:val="6EBE775E"/>
    <w:rsid w:val="6F082DD5"/>
    <w:rsid w:val="6F190B3E"/>
    <w:rsid w:val="6F1C062E"/>
    <w:rsid w:val="6F264090"/>
    <w:rsid w:val="6F2E0A8A"/>
    <w:rsid w:val="6F7A6736"/>
    <w:rsid w:val="6FBE3493"/>
    <w:rsid w:val="6FC467FA"/>
    <w:rsid w:val="7036260E"/>
    <w:rsid w:val="70605E21"/>
    <w:rsid w:val="70A34665"/>
    <w:rsid w:val="70FF4240"/>
    <w:rsid w:val="71156879"/>
    <w:rsid w:val="71374018"/>
    <w:rsid w:val="71385DE0"/>
    <w:rsid w:val="71442403"/>
    <w:rsid w:val="7148570A"/>
    <w:rsid w:val="714B0200"/>
    <w:rsid w:val="715F4802"/>
    <w:rsid w:val="71681909"/>
    <w:rsid w:val="716F0361"/>
    <w:rsid w:val="71771B4C"/>
    <w:rsid w:val="71813AE6"/>
    <w:rsid w:val="71956476"/>
    <w:rsid w:val="71E44E55"/>
    <w:rsid w:val="721F290F"/>
    <w:rsid w:val="724D041D"/>
    <w:rsid w:val="726B4173"/>
    <w:rsid w:val="727951AB"/>
    <w:rsid w:val="72941106"/>
    <w:rsid w:val="72BD1480"/>
    <w:rsid w:val="72F4733C"/>
    <w:rsid w:val="73042B43"/>
    <w:rsid w:val="73092C77"/>
    <w:rsid w:val="73151EB8"/>
    <w:rsid w:val="73335F46"/>
    <w:rsid w:val="73B331AE"/>
    <w:rsid w:val="73C31078"/>
    <w:rsid w:val="73C372CA"/>
    <w:rsid w:val="73D84D52"/>
    <w:rsid w:val="743D29F5"/>
    <w:rsid w:val="745B39A7"/>
    <w:rsid w:val="745D41D9"/>
    <w:rsid w:val="746217A5"/>
    <w:rsid w:val="748527D2"/>
    <w:rsid w:val="74A731A8"/>
    <w:rsid w:val="750C4CA1"/>
    <w:rsid w:val="751B6E71"/>
    <w:rsid w:val="75295853"/>
    <w:rsid w:val="75322959"/>
    <w:rsid w:val="7589009F"/>
    <w:rsid w:val="75A31161"/>
    <w:rsid w:val="75E874BC"/>
    <w:rsid w:val="76057F79"/>
    <w:rsid w:val="763C0907"/>
    <w:rsid w:val="76DF45C6"/>
    <w:rsid w:val="77163BB5"/>
    <w:rsid w:val="771A3517"/>
    <w:rsid w:val="77543022"/>
    <w:rsid w:val="77732DB5"/>
    <w:rsid w:val="77A422D7"/>
    <w:rsid w:val="77AF64E3"/>
    <w:rsid w:val="77BC77E7"/>
    <w:rsid w:val="77D26005"/>
    <w:rsid w:val="78485F24"/>
    <w:rsid w:val="789607FB"/>
    <w:rsid w:val="789F0530"/>
    <w:rsid w:val="79180BB4"/>
    <w:rsid w:val="79206F6D"/>
    <w:rsid w:val="794B2E20"/>
    <w:rsid w:val="799C0739"/>
    <w:rsid w:val="79BF17C4"/>
    <w:rsid w:val="79C45B4A"/>
    <w:rsid w:val="7A21473D"/>
    <w:rsid w:val="7A2F4586"/>
    <w:rsid w:val="7A5404F2"/>
    <w:rsid w:val="7A9B68AB"/>
    <w:rsid w:val="7AA04AB0"/>
    <w:rsid w:val="7AB710B8"/>
    <w:rsid w:val="7ADE05CD"/>
    <w:rsid w:val="7AFAAEB7"/>
    <w:rsid w:val="7AFF4689"/>
    <w:rsid w:val="7B560A24"/>
    <w:rsid w:val="7B69ED50"/>
    <w:rsid w:val="7B6C1133"/>
    <w:rsid w:val="7B841A35"/>
    <w:rsid w:val="7BA378A4"/>
    <w:rsid w:val="7BAD6B85"/>
    <w:rsid w:val="7BCA02FE"/>
    <w:rsid w:val="7BF53A3A"/>
    <w:rsid w:val="7BF926BA"/>
    <w:rsid w:val="7BFC5A6F"/>
    <w:rsid w:val="7C041078"/>
    <w:rsid w:val="7C0F7158"/>
    <w:rsid w:val="7C975798"/>
    <w:rsid w:val="7CAF4890"/>
    <w:rsid w:val="7D2D1C58"/>
    <w:rsid w:val="7D5316BF"/>
    <w:rsid w:val="7D7358BD"/>
    <w:rsid w:val="7D960C66"/>
    <w:rsid w:val="7D9F62B9"/>
    <w:rsid w:val="7DA82F1F"/>
    <w:rsid w:val="7DE2231B"/>
    <w:rsid w:val="7E1352F2"/>
    <w:rsid w:val="7E22287F"/>
    <w:rsid w:val="7E6911E4"/>
    <w:rsid w:val="7E9F0934"/>
    <w:rsid w:val="7EA30E4D"/>
    <w:rsid w:val="7EA94884"/>
    <w:rsid w:val="7EB41794"/>
    <w:rsid w:val="7EC9775F"/>
    <w:rsid w:val="7EEE7FFF"/>
    <w:rsid w:val="7EF67C0C"/>
    <w:rsid w:val="7F213B20"/>
    <w:rsid w:val="7F74591C"/>
    <w:rsid w:val="7F792E5F"/>
    <w:rsid w:val="7F7F3E3E"/>
    <w:rsid w:val="7FB2482F"/>
    <w:rsid w:val="7FB977D3"/>
    <w:rsid w:val="7FEF1124"/>
    <w:rsid w:val="7FF44931"/>
    <w:rsid w:val="7FF68E5D"/>
    <w:rsid w:val="7FFF7AFF"/>
    <w:rsid w:val="8E788955"/>
    <w:rsid w:val="9EBDA84D"/>
    <w:rsid w:val="A79E6461"/>
    <w:rsid w:val="A9B73622"/>
    <w:rsid w:val="AE1D98BA"/>
    <w:rsid w:val="AF2D9283"/>
    <w:rsid w:val="AFFC3EC1"/>
    <w:rsid w:val="B5FFD168"/>
    <w:rsid w:val="B7DAD0EE"/>
    <w:rsid w:val="B9F78897"/>
    <w:rsid w:val="BFFF9995"/>
    <w:rsid w:val="C7FE0287"/>
    <w:rsid w:val="D7FFA306"/>
    <w:rsid w:val="DEF91BE0"/>
    <w:rsid w:val="ED3F4E67"/>
    <w:rsid w:val="EEEF6DFE"/>
    <w:rsid w:val="F3F6995B"/>
    <w:rsid w:val="F657950D"/>
    <w:rsid w:val="F7DF2CB9"/>
    <w:rsid w:val="FAFEB20A"/>
    <w:rsid w:val="FBFE8BA0"/>
    <w:rsid w:val="FFEE8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5"/>
    <w:unhideWhenUsed/>
    <w:qFormat/>
    <w:uiPriority w:val="0"/>
    <w:pPr>
      <w:keepNext/>
      <w:keepLines/>
      <w:spacing w:before="260" w:after="260" w:line="413" w:lineRule="auto"/>
      <w:outlineLvl w:val="1"/>
    </w:pPr>
    <w:rPr>
      <w:rFonts w:eastAsia="黑体"/>
      <w:b/>
      <w:sz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footnote reference"/>
    <w:basedOn w:val="12"/>
    <w:qFormat/>
    <w:uiPriority w:val="0"/>
    <w:rPr>
      <w:vertAlign w:val="superscript"/>
    </w:rPr>
  </w:style>
  <w:style w:type="character" w:customStyle="1" w:styleId="15">
    <w:name w:val="标题 2 字符"/>
    <w:link w:val="2"/>
    <w:qFormat/>
    <w:uiPriority w:val="0"/>
    <w:rPr>
      <w:rFonts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15905</Words>
  <Characters>16933</Characters>
  <Lines>0</Lines>
  <Paragraphs>0</Paragraphs>
  <TotalTime>0</TotalTime>
  <ScaleCrop>false</ScaleCrop>
  <LinksUpToDate>false</LinksUpToDate>
  <CharactersWithSpaces>17238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2026-07-09T17:58:00Z</dcterms:created>
  <dc:creator>zb</dc:creator>
  <cp:lastModifiedBy>Lenovo</cp:lastModifiedBy>
  <cp:lastPrinted>2026-07-09T18:16:00Z</cp:lastPrinted>
  <dcterms:modified xsi:type="dcterms:W3CDTF">2026-09-28T16:18:20Z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eyJoZGlkIjoiNDgzYjE1MzNmZDAyNGJmZjdmOGIxZjViNzMxYzIxMzciLCJ1c2VySWQiOiI0Mzk4NjkzMjkifQ==</vt:lpwstr>
  </property>
  <property fmtid="{D5CDD505-2E9C-101B-9397-08002B2CF9AE}" pid="4" name="ICV">
    <vt:lpwstr>631BCAB5FBB1C3BE05FFAC6A06FF10F4_43</vt:lpwstr>
  </property>
</Properties>
</file>