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19EB3E">
      <w:pPr>
        <w:keepNext w:val="0"/>
        <w:keepLines w:val="0"/>
        <w:pageBreakBefore w:val="0"/>
        <w:widowControl w:val="0"/>
        <w:kinsoku/>
        <w:wordWrap/>
        <w:overflowPunct/>
        <w:autoSpaceDE/>
        <w:autoSpaceDN/>
        <w:bidi w:val="0"/>
        <w:adjustRightInd/>
        <w:snapToGrid/>
        <w:spacing w:line="560" w:lineRule="exact"/>
        <w:ind w:left="0" w:right="0" w:firstLine="420" w:firstLineChars="200"/>
        <w:jc w:val="both"/>
        <w:textAlignment w:val="auto"/>
        <w:rPr>
          <w:rFonts w:ascii="Arial"/>
          <w:color w:val="auto"/>
          <w:sz w:val="21"/>
          <w:highlight w:val="none"/>
        </w:rPr>
      </w:pPr>
      <w:bookmarkStart w:id="58" w:name="_GoBack"/>
      <w:bookmarkEnd w:id="58"/>
    </w:p>
    <w:p w14:paraId="4442AB58">
      <w:pPr>
        <w:keepNext w:val="0"/>
        <w:keepLines w:val="0"/>
        <w:pageBreakBefore w:val="0"/>
        <w:widowControl w:val="0"/>
        <w:kinsoku/>
        <w:wordWrap/>
        <w:overflowPunct/>
        <w:topLinePunct/>
        <w:autoSpaceDE/>
        <w:autoSpaceDN/>
        <w:bidi w:val="0"/>
        <w:adjustRightInd/>
        <w:snapToGrid/>
        <w:spacing w:line="560" w:lineRule="exact"/>
        <w:ind w:left="0" w:leftChars="0" w:right="0" w:firstLine="880" w:firstLineChars="200"/>
        <w:jc w:val="both"/>
        <w:textAlignment w:val="auto"/>
        <w:rPr>
          <w:rFonts w:hint="eastAsia" w:ascii="方正小标宋简体" w:hAnsi="方正小标宋简体" w:eastAsia="方正小标宋简体" w:cs="方正小标宋简体"/>
          <w:snapToGrid w:val="0"/>
          <w:color w:val="auto"/>
          <w:kern w:val="0"/>
          <w:sz w:val="44"/>
          <w:szCs w:val="21"/>
          <w:highlight w:val="none"/>
          <w:lang w:val="en-US" w:eastAsia="zh-CN"/>
        </w:rPr>
      </w:pPr>
    </w:p>
    <w:p w14:paraId="5E81A891">
      <w:pPr>
        <w:keepNext w:val="0"/>
        <w:keepLines w:val="0"/>
        <w:pageBreakBefore w:val="0"/>
        <w:widowControl w:val="0"/>
        <w:kinsoku/>
        <w:wordWrap/>
        <w:overflowPunct/>
        <w:topLinePunct/>
        <w:autoSpaceDE/>
        <w:autoSpaceDN/>
        <w:bidi w:val="0"/>
        <w:adjustRightInd/>
        <w:snapToGrid/>
        <w:spacing w:line="560" w:lineRule="exact"/>
        <w:ind w:left="0" w:leftChars="0" w:right="0" w:firstLine="880" w:firstLineChars="200"/>
        <w:jc w:val="both"/>
        <w:textAlignment w:val="auto"/>
        <w:rPr>
          <w:rFonts w:hint="eastAsia" w:ascii="方正小标宋简体" w:hAnsi="方正小标宋简体" w:eastAsia="方正小标宋简体" w:cs="方正小标宋简体"/>
          <w:snapToGrid w:val="0"/>
          <w:color w:val="auto"/>
          <w:kern w:val="0"/>
          <w:sz w:val="44"/>
          <w:szCs w:val="21"/>
          <w:highlight w:val="none"/>
          <w:lang w:val="en-US" w:eastAsia="zh-CN"/>
        </w:rPr>
      </w:pPr>
    </w:p>
    <w:p w14:paraId="05260E68">
      <w:pPr>
        <w:keepNext w:val="0"/>
        <w:keepLines w:val="0"/>
        <w:pageBreakBefore w:val="0"/>
        <w:widowControl w:val="0"/>
        <w:kinsoku/>
        <w:wordWrap/>
        <w:overflowPunct/>
        <w:topLinePunct/>
        <w:autoSpaceDE/>
        <w:autoSpaceDN/>
        <w:bidi w:val="0"/>
        <w:adjustRightInd/>
        <w:snapToGrid/>
        <w:spacing w:line="560" w:lineRule="exact"/>
        <w:ind w:right="0"/>
        <w:jc w:val="center"/>
        <w:textAlignment w:val="auto"/>
        <w:rPr>
          <w:rFonts w:hint="eastAsia" w:ascii="方正小标宋简体" w:hAnsi="方正小标宋简体" w:eastAsia="方正小标宋简体" w:cs="方正小标宋简体"/>
          <w:snapToGrid w:val="0"/>
          <w:color w:val="auto"/>
          <w:kern w:val="0"/>
          <w:sz w:val="44"/>
          <w:szCs w:val="21"/>
          <w:highlight w:val="none"/>
          <w:lang w:val="en-US" w:eastAsia="zh-CN"/>
        </w:rPr>
      </w:pPr>
      <w:r>
        <w:rPr>
          <w:rFonts w:hint="eastAsia" w:ascii="方正小标宋简体" w:hAnsi="方正小标宋简体" w:eastAsia="方正小标宋简体" w:cs="方正小标宋简体"/>
          <w:snapToGrid w:val="0"/>
          <w:color w:val="auto"/>
          <w:kern w:val="0"/>
          <w:sz w:val="44"/>
          <w:szCs w:val="21"/>
          <w:highlight w:val="none"/>
          <w:lang w:val="en-US" w:eastAsia="zh-CN"/>
        </w:rPr>
        <w:t>吉阳东岸三亚迎宾路中央商务区DA02-19-02地块项目外立面门窗工程（一标段）</w:t>
      </w:r>
    </w:p>
    <w:p w14:paraId="42D59D12">
      <w:pPr>
        <w:keepNext w:val="0"/>
        <w:keepLines w:val="0"/>
        <w:pageBreakBefore w:val="0"/>
        <w:widowControl w:val="0"/>
        <w:kinsoku/>
        <w:wordWrap/>
        <w:overflowPunct/>
        <w:topLinePunct/>
        <w:autoSpaceDE/>
        <w:autoSpaceDN/>
        <w:bidi w:val="0"/>
        <w:adjustRightInd/>
        <w:snapToGrid/>
        <w:spacing w:line="560" w:lineRule="exact"/>
        <w:ind w:right="0"/>
        <w:jc w:val="center"/>
        <w:textAlignment w:val="auto"/>
        <w:rPr>
          <w:rFonts w:hint="eastAsia" w:ascii="方正小标宋简体" w:hAnsi="方正小标宋简体" w:eastAsia="方正小标宋简体" w:cs="方正小标宋简体"/>
          <w:snapToGrid w:val="0"/>
          <w:color w:val="auto"/>
          <w:kern w:val="0"/>
          <w:sz w:val="44"/>
          <w:szCs w:val="21"/>
          <w:highlight w:val="none"/>
          <w:lang w:val="en-US" w:eastAsia="zh-CN"/>
        </w:rPr>
      </w:pPr>
      <w:r>
        <w:rPr>
          <w:rFonts w:hint="eastAsia" w:ascii="方正小标宋简体" w:hAnsi="方正小标宋简体" w:eastAsia="方正小标宋简体" w:cs="方正小标宋简体"/>
          <w:snapToGrid w:val="0"/>
          <w:color w:val="auto"/>
          <w:kern w:val="0"/>
          <w:sz w:val="44"/>
          <w:szCs w:val="21"/>
          <w:highlight w:val="none"/>
          <w:lang w:val="en-US" w:eastAsia="zh-CN"/>
        </w:rPr>
        <w:t>“6·23”一般触电事故调查报告</w:t>
      </w:r>
      <w:bookmarkStart w:id="0" w:name="heading_0"/>
    </w:p>
    <w:p w14:paraId="16DEEE8A">
      <w:pPr>
        <w:keepNext w:val="0"/>
        <w:keepLines w:val="0"/>
        <w:pageBreakBefore w:val="0"/>
        <w:widowControl w:val="0"/>
        <w:kinsoku/>
        <w:wordWrap/>
        <w:overflowPunct/>
        <w:topLinePunct/>
        <w:autoSpaceDE/>
        <w:autoSpaceDN/>
        <w:bidi w:val="0"/>
        <w:adjustRightInd/>
        <w:snapToGrid/>
        <w:spacing w:line="560" w:lineRule="exact"/>
        <w:ind w:left="0" w:leftChars="0" w:right="0" w:firstLine="880" w:firstLineChars="200"/>
        <w:jc w:val="both"/>
        <w:textAlignment w:val="auto"/>
        <w:rPr>
          <w:rFonts w:hint="eastAsia" w:ascii="方正小标宋简体" w:hAnsi="方正小标宋简体" w:eastAsia="方正小标宋简体" w:cs="方正小标宋简体"/>
          <w:snapToGrid w:val="0"/>
          <w:color w:val="auto"/>
          <w:kern w:val="0"/>
          <w:sz w:val="44"/>
          <w:szCs w:val="21"/>
          <w:highlight w:val="none"/>
          <w:lang w:val="en-US" w:eastAsia="zh-CN"/>
        </w:rPr>
      </w:pPr>
    </w:p>
    <w:p w14:paraId="40269DD8">
      <w:pPr>
        <w:keepNext w:val="0"/>
        <w:keepLines w:val="0"/>
        <w:pageBreakBefore w:val="0"/>
        <w:widowControl w:val="0"/>
        <w:kinsoku/>
        <w:wordWrap/>
        <w:overflowPunct/>
        <w:topLinePunct/>
        <w:autoSpaceDE/>
        <w:autoSpaceDN/>
        <w:bidi w:val="0"/>
        <w:adjustRightInd/>
        <w:snapToGrid/>
        <w:spacing w:line="560" w:lineRule="exact"/>
        <w:ind w:left="0" w:leftChars="0" w:right="0" w:firstLine="880" w:firstLineChars="200"/>
        <w:jc w:val="both"/>
        <w:textAlignment w:val="auto"/>
        <w:rPr>
          <w:rFonts w:hint="eastAsia" w:ascii="方正小标宋简体" w:hAnsi="方正小标宋简体" w:eastAsia="方正小标宋简体" w:cs="方正小标宋简体"/>
          <w:snapToGrid w:val="0"/>
          <w:color w:val="auto"/>
          <w:kern w:val="0"/>
          <w:sz w:val="44"/>
          <w:szCs w:val="21"/>
          <w:highlight w:val="none"/>
          <w:lang w:val="en-US" w:eastAsia="zh-CN"/>
        </w:rPr>
      </w:pPr>
    </w:p>
    <w:p w14:paraId="4BBB4075">
      <w:pPr>
        <w:keepNext w:val="0"/>
        <w:keepLines w:val="0"/>
        <w:pageBreakBefore w:val="0"/>
        <w:widowControl w:val="0"/>
        <w:kinsoku/>
        <w:wordWrap/>
        <w:overflowPunct/>
        <w:topLinePunct/>
        <w:autoSpaceDE/>
        <w:autoSpaceDN/>
        <w:bidi w:val="0"/>
        <w:adjustRightInd/>
        <w:snapToGrid/>
        <w:spacing w:line="560" w:lineRule="exact"/>
        <w:ind w:left="0" w:leftChars="0" w:right="0" w:firstLine="880" w:firstLineChars="200"/>
        <w:jc w:val="both"/>
        <w:textAlignment w:val="auto"/>
        <w:rPr>
          <w:rFonts w:hint="eastAsia" w:ascii="方正小标宋简体" w:hAnsi="方正小标宋简体" w:eastAsia="方正小标宋简体" w:cs="方正小标宋简体"/>
          <w:snapToGrid w:val="0"/>
          <w:color w:val="auto"/>
          <w:kern w:val="0"/>
          <w:sz w:val="44"/>
          <w:szCs w:val="21"/>
          <w:highlight w:val="none"/>
          <w:lang w:val="en-US" w:eastAsia="zh-CN"/>
        </w:rPr>
      </w:pPr>
    </w:p>
    <w:p w14:paraId="2CE939D2">
      <w:pPr>
        <w:keepNext w:val="0"/>
        <w:keepLines w:val="0"/>
        <w:pageBreakBefore w:val="0"/>
        <w:widowControl w:val="0"/>
        <w:kinsoku/>
        <w:wordWrap/>
        <w:overflowPunct/>
        <w:topLinePunct/>
        <w:autoSpaceDE/>
        <w:autoSpaceDN/>
        <w:bidi w:val="0"/>
        <w:adjustRightInd/>
        <w:snapToGrid/>
        <w:spacing w:line="560" w:lineRule="exact"/>
        <w:ind w:left="0" w:leftChars="0" w:right="0" w:firstLine="880" w:firstLineChars="200"/>
        <w:jc w:val="both"/>
        <w:textAlignment w:val="auto"/>
        <w:rPr>
          <w:rFonts w:hint="eastAsia" w:ascii="方正小标宋简体" w:hAnsi="方正小标宋简体" w:eastAsia="方正小标宋简体" w:cs="方正小标宋简体"/>
          <w:snapToGrid w:val="0"/>
          <w:color w:val="auto"/>
          <w:kern w:val="0"/>
          <w:sz w:val="44"/>
          <w:szCs w:val="21"/>
          <w:highlight w:val="none"/>
          <w:lang w:val="en-US" w:eastAsia="zh-CN"/>
        </w:rPr>
      </w:pPr>
    </w:p>
    <w:p w14:paraId="6D576A71">
      <w:pPr>
        <w:keepNext w:val="0"/>
        <w:keepLines w:val="0"/>
        <w:pageBreakBefore w:val="0"/>
        <w:widowControl w:val="0"/>
        <w:kinsoku/>
        <w:wordWrap/>
        <w:overflowPunct/>
        <w:topLinePunct/>
        <w:autoSpaceDE/>
        <w:autoSpaceDN/>
        <w:bidi w:val="0"/>
        <w:adjustRightInd/>
        <w:snapToGrid/>
        <w:spacing w:line="560" w:lineRule="exact"/>
        <w:ind w:left="0" w:leftChars="0" w:right="0" w:firstLine="880" w:firstLineChars="200"/>
        <w:jc w:val="both"/>
        <w:textAlignment w:val="auto"/>
        <w:rPr>
          <w:rFonts w:hint="eastAsia" w:ascii="方正小标宋简体" w:hAnsi="方正小标宋简体" w:eastAsia="方正小标宋简体" w:cs="方正小标宋简体"/>
          <w:snapToGrid w:val="0"/>
          <w:color w:val="auto"/>
          <w:kern w:val="0"/>
          <w:sz w:val="44"/>
          <w:szCs w:val="21"/>
          <w:highlight w:val="none"/>
          <w:lang w:val="en-US" w:eastAsia="zh-CN"/>
        </w:rPr>
      </w:pPr>
    </w:p>
    <w:p w14:paraId="61F5608C">
      <w:pPr>
        <w:keepNext w:val="0"/>
        <w:keepLines w:val="0"/>
        <w:pageBreakBefore w:val="0"/>
        <w:widowControl w:val="0"/>
        <w:kinsoku/>
        <w:wordWrap/>
        <w:overflowPunct/>
        <w:topLinePunct/>
        <w:autoSpaceDE/>
        <w:autoSpaceDN/>
        <w:bidi w:val="0"/>
        <w:adjustRightInd/>
        <w:snapToGrid/>
        <w:spacing w:line="560" w:lineRule="exact"/>
        <w:ind w:left="0" w:leftChars="0" w:right="0" w:firstLine="880" w:firstLineChars="200"/>
        <w:jc w:val="both"/>
        <w:textAlignment w:val="auto"/>
        <w:rPr>
          <w:rFonts w:hint="eastAsia" w:ascii="方正小标宋简体" w:hAnsi="方正小标宋简体" w:eastAsia="方正小标宋简体" w:cs="方正小标宋简体"/>
          <w:snapToGrid w:val="0"/>
          <w:color w:val="auto"/>
          <w:kern w:val="0"/>
          <w:sz w:val="44"/>
          <w:szCs w:val="21"/>
          <w:highlight w:val="none"/>
          <w:lang w:val="en-US" w:eastAsia="zh-CN"/>
        </w:rPr>
      </w:pPr>
    </w:p>
    <w:p w14:paraId="3956D63F">
      <w:pPr>
        <w:keepNext w:val="0"/>
        <w:keepLines w:val="0"/>
        <w:pageBreakBefore w:val="0"/>
        <w:widowControl w:val="0"/>
        <w:kinsoku/>
        <w:wordWrap/>
        <w:overflowPunct/>
        <w:topLinePunct/>
        <w:autoSpaceDE/>
        <w:autoSpaceDN/>
        <w:bidi w:val="0"/>
        <w:adjustRightInd/>
        <w:snapToGrid/>
        <w:spacing w:line="560" w:lineRule="exact"/>
        <w:ind w:left="0" w:leftChars="0" w:right="0" w:firstLine="880" w:firstLineChars="200"/>
        <w:jc w:val="both"/>
        <w:textAlignment w:val="auto"/>
        <w:rPr>
          <w:rFonts w:hint="eastAsia" w:ascii="方正小标宋简体" w:hAnsi="方正小标宋简体" w:eastAsia="方正小标宋简体" w:cs="方正小标宋简体"/>
          <w:snapToGrid w:val="0"/>
          <w:color w:val="auto"/>
          <w:kern w:val="0"/>
          <w:sz w:val="44"/>
          <w:szCs w:val="21"/>
          <w:highlight w:val="none"/>
          <w:lang w:val="en-US" w:eastAsia="zh-CN"/>
        </w:rPr>
      </w:pPr>
    </w:p>
    <w:p w14:paraId="2B342B32">
      <w:pPr>
        <w:keepNext w:val="0"/>
        <w:keepLines w:val="0"/>
        <w:pageBreakBefore w:val="0"/>
        <w:widowControl w:val="0"/>
        <w:kinsoku/>
        <w:wordWrap/>
        <w:overflowPunct/>
        <w:topLinePunct/>
        <w:autoSpaceDE/>
        <w:autoSpaceDN/>
        <w:bidi w:val="0"/>
        <w:adjustRightInd/>
        <w:snapToGrid/>
        <w:spacing w:line="560" w:lineRule="exact"/>
        <w:ind w:left="0" w:leftChars="0" w:right="0" w:firstLine="880" w:firstLineChars="200"/>
        <w:jc w:val="both"/>
        <w:textAlignment w:val="auto"/>
        <w:rPr>
          <w:rFonts w:hint="eastAsia" w:ascii="方正小标宋简体" w:hAnsi="方正小标宋简体" w:eastAsia="方正小标宋简体" w:cs="方正小标宋简体"/>
          <w:snapToGrid w:val="0"/>
          <w:color w:val="auto"/>
          <w:kern w:val="0"/>
          <w:sz w:val="44"/>
          <w:szCs w:val="21"/>
          <w:highlight w:val="none"/>
          <w:lang w:val="en-US" w:eastAsia="zh-CN"/>
        </w:rPr>
      </w:pPr>
    </w:p>
    <w:p w14:paraId="1E793F18">
      <w:pPr>
        <w:keepNext w:val="0"/>
        <w:keepLines w:val="0"/>
        <w:pageBreakBefore w:val="0"/>
        <w:widowControl w:val="0"/>
        <w:kinsoku/>
        <w:wordWrap/>
        <w:overflowPunct/>
        <w:topLinePunct/>
        <w:autoSpaceDE/>
        <w:autoSpaceDN/>
        <w:bidi w:val="0"/>
        <w:adjustRightInd/>
        <w:snapToGrid/>
        <w:spacing w:line="560" w:lineRule="exact"/>
        <w:ind w:left="0" w:leftChars="0" w:right="0" w:firstLine="880" w:firstLineChars="200"/>
        <w:jc w:val="both"/>
        <w:textAlignment w:val="auto"/>
        <w:rPr>
          <w:rFonts w:hint="eastAsia" w:ascii="方正小标宋简体" w:hAnsi="方正小标宋简体" w:eastAsia="方正小标宋简体" w:cs="方正小标宋简体"/>
          <w:snapToGrid w:val="0"/>
          <w:color w:val="auto"/>
          <w:kern w:val="0"/>
          <w:sz w:val="44"/>
          <w:szCs w:val="21"/>
          <w:highlight w:val="none"/>
          <w:lang w:val="en-US" w:eastAsia="zh-CN"/>
        </w:rPr>
      </w:pPr>
    </w:p>
    <w:p w14:paraId="710EED0B">
      <w:pPr>
        <w:keepNext w:val="0"/>
        <w:keepLines w:val="0"/>
        <w:pageBreakBefore w:val="0"/>
        <w:widowControl w:val="0"/>
        <w:tabs>
          <w:tab w:val="left" w:pos="2505"/>
        </w:tabs>
        <w:kinsoku/>
        <w:wordWrap/>
        <w:overflowPunct/>
        <w:topLinePunct/>
        <w:autoSpaceDE/>
        <w:autoSpaceDN/>
        <w:bidi w:val="0"/>
        <w:adjustRightInd/>
        <w:snapToGrid/>
        <w:spacing w:line="560" w:lineRule="exact"/>
        <w:ind w:left="0" w:leftChars="0" w:right="0" w:firstLine="880" w:firstLineChars="200"/>
        <w:jc w:val="both"/>
        <w:textAlignment w:val="auto"/>
        <w:rPr>
          <w:rFonts w:hint="eastAsia" w:ascii="方正小标宋简体" w:hAnsi="方正小标宋简体" w:eastAsia="方正小标宋简体" w:cs="方正小标宋简体"/>
          <w:snapToGrid w:val="0"/>
          <w:color w:val="auto"/>
          <w:kern w:val="0"/>
          <w:sz w:val="44"/>
          <w:szCs w:val="21"/>
          <w:highlight w:val="none"/>
          <w:lang w:val="en-US" w:eastAsia="zh-CN"/>
        </w:rPr>
      </w:pPr>
      <w:r>
        <w:rPr>
          <w:rFonts w:hint="eastAsia" w:ascii="方正小标宋简体" w:hAnsi="方正小标宋简体" w:eastAsia="方正小标宋简体" w:cs="方正小标宋简体"/>
          <w:snapToGrid w:val="0"/>
          <w:color w:val="auto"/>
          <w:kern w:val="0"/>
          <w:sz w:val="44"/>
          <w:szCs w:val="21"/>
          <w:highlight w:val="none"/>
          <w:lang w:val="en-US" w:eastAsia="zh-CN"/>
        </w:rPr>
        <w:tab/>
      </w:r>
    </w:p>
    <w:p w14:paraId="54767556">
      <w:pPr>
        <w:keepNext w:val="0"/>
        <w:keepLines w:val="0"/>
        <w:pageBreakBefore w:val="0"/>
        <w:widowControl w:val="0"/>
        <w:kinsoku/>
        <w:wordWrap/>
        <w:overflowPunct/>
        <w:topLinePunct/>
        <w:autoSpaceDE/>
        <w:autoSpaceDN/>
        <w:bidi w:val="0"/>
        <w:adjustRightInd/>
        <w:snapToGrid/>
        <w:spacing w:line="560" w:lineRule="exact"/>
        <w:ind w:left="0" w:leftChars="0" w:right="0" w:firstLine="880" w:firstLineChars="200"/>
        <w:jc w:val="both"/>
        <w:textAlignment w:val="auto"/>
        <w:rPr>
          <w:rFonts w:hint="eastAsia" w:ascii="方正小标宋简体" w:hAnsi="方正小标宋简体" w:eastAsia="方正小标宋简体" w:cs="方正小标宋简体"/>
          <w:snapToGrid w:val="0"/>
          <w:color w:val="auto"/>
          <w:kern w:val="0"/>
          <w:sz w:val="44"/>
          <w:szCs w:val="21"/>
          <w:highlight w:val="none"/>
          <w:lang w:val="en-US" w:eastAsia="zh-CN"/>
        </w:rPr>
      </w:pPr>
    </w:p>
    <w:p w14:paraId="4FD5DAA6">
      <w:pPr>
        <w:keepNext w:val="0"/>
        <w:keepLines w:val="0"/>
        <w:pageBreakBefore w:val="0"/>
        <w:widowControl w:val="0"/>
        <w:kinsoku/>
        <w:wordWrap/>
        <w:overflowPunct/>
        <w:topLinePunct/>
        <w:autoSpaceDE/>
        <w:autoSpaceDN/>
        <w:bidi w:val="0"/>
        <w:adjustRightInd/>
        <w:snapToGrid/>
        <w:spacing w:line="560" w:lineRule="exact"/>
        <w:ind w:left="0" w:leftChars="0" w:right="0" w:firstLine="880" w:firstLineChars="200"/>
        <w:jc w:val="both"/>
        <w:textAlignment w:val="auto"/>
        <w:rPr>
          <w:rFonts w:hint="eastAsia" w:ascii="方正小标宋简体" w:hAnsi="方正小标宋简体" w:eastAsia="方正小标宋简体" w:cs="方正小标宋简体"/>
          <w:snapToGrid w:val="0"/>
          <w:color w:val="auto"/>
          <w:kern w:val="0"/>
          <w:sz w:val="44"/>
          <w:szCs w:val="21"/>
          <w:highlight w:val="none"/>
          <w:lang w:val="en-US" w:eastAsia="zh-CN"/>
        </w:rPr>
      </w:pPr>
    </w:p>
    <w:p w14:paraId="54ECFCB2">
      <w:pPr>
        <w:keepNext w:val="0"/>
        <w:keepLines w:val="0"/>
        <w:pageBreakBefore w:val="0"/>
        <w:widowControl w:val="0"/>
        <w:kinsoku/>
        <w:wordWrap/>
        <w:overflowPunct/>
        <w:topLinePunct/>
        <w:autoSpaceDE/>
        <w:autoSpaceDN/>
        <w:bidi w:val="0"/>
        <w:adjustRightInd/>
        <w:snapToGrid/>
        <w:spacing w:line="560" w:lineRule="exact"/>
        <w:ind w:left="0" w:leftChars="0" w:right="0" w:firstLine="880" w:firstLineChars="200"/>
        <w:jc w:val="both"/>
        <w:textAlignment w:val="auto"/>
        <w:rPr>
          <w:rFonts w:hint="eastAsia" w:ascii="方正小标宋简体" w:hAnsi="方正小标宋简体" w:eastAsia="方正小标宋简体" w:cs="方正小标宋简体"/>
          <w:snapToGrid w:val="0"/>
          <w:color w:val="auto"/>
          <w:kern w:val="0"/>
          <w:sz w:val="44"/>
          <w:szCs w:val="21"/>
          <w:highlight w:val="none"/>
          <w:lang w:val="en-US" w:eastAsia="zh-CN"/>
        </w:rPr>
      </w:pPr>
    </w:p>
    <w:p w14:paraId="400FA0D6">
      <w:pPr>
        <w:keepNext w:val="0"/>
        <w:keepLines w:val="0"/>
        <w:pageBreakBefore w:val="0"/>
        <w:widowControl w:val="0"/>
        <w:kinsoku/>
        <w:wordWrap/>
        <w:overflowPunct/>
        <w:topLinePunct/>
        <w:autoSpaceDE/>
        <w:autoSpaceDN/>
        <w:bidi w:val="0"/>
        <w:adjustRightInd/>
        <w:snapToGrid/>
        <w:spacing w:line="560" w:lineRule="exact"/>
        <w:ind w:left="0" w:leftChars="0" w:right="0" w:firstLine="880" w:firstLineChars="200"/>
        <w:jc w:val="both"/>
        <w:textAlignment w:val="auto"/>
        <w:rPr>
          <w:rFonts w:hint="eastAsia" w:ascii="方正小标宋简体" w:hAnsi="方正小标宋简体" w:eastAsia="方正小标宋简体" w:cs="方正小标宋简体"/>
          <w:snapToGrid w:val="0"/>
          <w:color w:val="auto"/>
          <w:kern w:val="0"/>
          <w:sz w:val="44"/>
          <w:szCs w:val="21"/>
          <w:highlight w:val="none"/>
          <w:lang w:val="en-US" w:eastAsia="zh-CN"/>
        </w:rPr>
      </w:pPr>
    </w:p>
    <w:p w14:paraId="015D5B48">
      <w:pPr>
        <w:keepNext w:val="0"/>
        <w:keepLines w:val="0"/>
        <w:pageBreakBefore w:val="0"/>
        <w:widowControl w:val="0"/>
        <w:kinsoku/>
        <w:wordWrap/>
        <w:overflowPunct/>
        <w:topLinePunct/>
        <w:autoSpaceDE/>
        <w:autoSpaceDN/>
        <w:bidi w:val="0"/>
        <w:adjustRightInd/>
        <w:snapToGrid/>
        <w:spacing w:line="560" w:lineRule="exact"/>
        <w:ind w:right="0"/>
        <w:jc w:val="center"/>
        <w:textAlignment w:val="auto"/>
        <w:rPr>
          <w:rFonts w:hint="eastAsia" w:ascii="方正小标宋简体" w:hAnsi="方正小标宋简体" w:eastAsia="方正小标宋简体" w:cs="方正小标宋简体"/>
          <w:color w:val="auto"/>
          <w:sz w:val="44"/>
          <w:highlight w:val="none"/>
          <w:lang w:val="en-US" w:eastAsia="zh-CN"/>
        </w:rPr>
      </w:pPr>
      <w:r>
        <w:rPr>
          <w:rFonts w:hint="eastAsia" w:ascii="方正小标宋简体" w:hAnsi="方正小标宋简体" w:eastAsia="方正小标宋简体" w:cs="方正小标宋简体"/>
          <w:color w:val="auto"/>
          <w:sz w:val="44"/>
          <w:highlight w:val="none"/>
          <w:lang w:val="en-US" w:eastAsia="zh-CN"/>
        </w:rPr>
        <w:t>吉阳区政府事故调查组</w:t>
      </w:r>
    </w:p>
    <w:p w14:paraId="7FA4F2D9">
      <w:pPr>
        <w:keepNext w:val="0"/>
        <w:keepLines w:val="0"/>
        <w:pageBreakBefore w:val="0"/>
        <w:widowControl w:val="0"/>
        <w:kinsoku/>
        <w:wordWrap/>
        <w:overflowPunct/>
        <w:autoSpaceDE/>
        <w:autoSpaceDN/>
        <w:bidi w:val="0"/>
        <w:adjustRightInd/>
        <w:snapToGrid/>
        <w:spacing w:line="560" w:lineRule="exact"/>
        <w:ind w:right="0"/>
        <w:jc w:val="center"/>
        <w:textAlignment w:val="auto"/>
        <w:rPr>
          <w:rFonts w:hint="eastAsia" w:ascii="方正小标宋简体" w:hAnsi="方正小标宋简体" w:eastAsia="方正小标宋简体" w:cs="方正小标宋简体"/>
          <w:color w:val="auto"/>
          <w:sz w:val="44"/>
          <w:highlight w:val="none"/>
          <w:lang w:val="en-US" w:eastAsia="zh-CN"/>
        </w:rPr>
      </w:pPr>
      <w:r>
        <w:rPr>
          <w:rFonts w:hint="eastAsia" w:ascii="方正小标宋简体" w:hAnsi="方正小标宋简体" w:eastAsia="方正小标宋简体" w:cs="方正小标宋简体"/>
          <w:color w:val="auto"/>
          <w:sz w:val="44"/>
          <w:highlight w:val="none"/>
          <w:lang w:val="en-US" w:eastAsia="zh-CN"/>
        </w:rPr>
        <w:t>2026年9月22日</w:t>
      </w:r>
    </w:p>
    <w:bookmarkEnd w:id="0"/>
    <w:p w14:paraId="54BD282D">
      <w:pPr>
        <w:spacing w:before="0" w:beforeLines="0" w:after="0" w:afterLines="0" w:line="240" w:lineRule="auto"/>
        <w:ind w:left="0" w:leftChars="0" w:right="0" w:rightChars="0" w:firstLine="0" w:firstLineChars="0"/>
        <w:jc w:val="center"/>
        <w:rPr>
          <w:rFonts w:ascii="宋体" w:hAnsi="宋体" w:eastAsia="宋体" w:cstheme="minorBidi"/>
          <w:color w:val="auto"/>
          <w:kern w:val="2"/>
          <w:sz w:val="21"/>
          <w:szCs w:val="24"/>
          <w:highlight w:val="none"/>
          <w:lang w:val="en-US" w:eastAsia="zh-CN" w:bidi="ar-SA"/>
        </w:rPr>
      </w:pPr>
    </w:p>
    <w:sdt>
      <w:sdtPr>
        <w:rPr>
          <w:rFonts w:ascii="宋体" w:hAnsi="宋体" w:eastAsia="宋体" w:cstheme="minorBidi"/>
          <w:color w:val="auto"/>
          <w:kern w:val="2"/>
          <w:sz w:val="21"/>
          <w:szCs w:val="24"/>
          <w:highlight w:val="none"/>
          <w:lang w:val="en-US" w:eastAsia="zh-CN" w:bidi="ar-SA"/>
        </w:rPr>
        <w:id w:val="147459466"/>
        <w15:color w:val="DBDBDB"/>
        <w:docPartObj>
          <w:docPartGallery w:val="Table of Contents"/>
          <w:docPartUnique/>
        </w:docPartObj>
      </w:sdtPr>
      <w:sdtEndPr>
        <w:rPr>
          <w:rFonts w:ascii="宋体" w:hAnsi="宋体" w:eastAsia="宋体" w:cstheme="minorBidi"/>
          <w:color w:val="auto"/>
          <w:kern w:val="2"/>
          <w:sz w:val="21"/>
          <w:szCs w:val="24"/>
          <w:highlight w:val="none"/>
          <w:lang w:val="en-US" w:eastAsia="zh-CN" w:bidi="ar-SA"/>
        </w:rPr>
      </w:sdtEndPr>
      <w:sdtContent>
        <w:p w14:paraId="31390445">
          <w:pPr>
            <w:spacing w:before="0" w:beforeLines="0" w:after="0" w:afterLines="0" w:line="240" w:lineRule="auto"/>
            <w:ind w:left="0" w:leftChars="0" w:right="0" w:rightChars="0" w:firstLine="0" w:firstLineChars="0"/>
            <w:jc w:val="center"/>
            <w:rPr>
              <w:b/>
              <w:bCs/>
              <w:color w:val="auto"/>
              <w:sz w:val="32"/>
              <w:szCs w:val="32"/>
              <w:highlight w:val="none"/>
            </w:rPr>
          </w:pPr>
          <w:r>
            <w:rPr>
              <w:rFonts w:ascii="宋体" w:hAnsi="宋体" w:eastAsia="宋体"/>
              <w:b/>
              <w:bCs/>
              <w:color w:val="auto"/>
              <w:sz w:val="32"/>
              <w:szCs w:val="32"/>
              <w:highlight w:val="none"/>
            </w:rPr>
            <w:t>目录</w:t>
          </w:r>
        </w:p>
        <w:p w14:paraId="25771C46">
          <w:pPr>
            <w:pStyle w:val="7"/>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color w:val="auto"/>
              <w:highlight w:val="none"/>
            </w:rPr>
            <w:instrText xml:space="preserve">TOC \o "1-2" \h \u </w:instrText>
          </w:r>
          <w:r>
            <w:rPr>
              <w:color w:val="auto"/>
              <w:highlight w:val="none"/>
            </w:rPr>
            <w:fldChar w:fldCharType="separate"/>
          </w:r>
          <w:r>
            <w:rPr>
              <w:color w:val="auto"/>
              <w:highlight w:val="none"/>
            </w:rPr>
            <w:fldChar w:fldCharType="begin"/>
          </w:r>
          <w:r>
            <w:rPr>
              <w:highlight w:val="none"/>
            </w:rPr>
            <w:instrText xml:space="preserve"> HYPERLINK \l _Toc1411 </w:instrText>
          </w:r>
          <w:r>
            <w:rPr>
              <w:highlight w:val="none"/>
            </w:rPr>
            <w:fldChar w:fldCharType="separate"/>
          </w:r>
          <w:r>
            <w:rPr>
              <w:rFonts w:hint="eastAsia" w:ascii="黑体" w:hAnsi="黑体" w:eastAsia="黑体" w:cs="黑体"/>
              <w:bCs w:val="0"/>
              <w:snapToGrid w:val="0"/>
              <w:kern w:val="0"/>
              <w:szCs w:val="32"/>
              <w:highlight w:val="none"/>
              <w:lang w:val="en-US" w:eastAsia="zh-CN"/>
            </w:rPr>
            <w:t>一、事故基本情况</w:t>
          </w:r>
          <w:r>
            <w:tab/>
          </w:r>
          <w:r>
            <w:fldChar w:fldCharType="begin"/>
          </w:r>
          <w:r>
            <w:instrText xml:space="preserve"> PAGEREF _Toc1411 \h </w:instrText>
          </w:r>
          <w:r>
            <w:fldChar w:fldCharType="separate"/>
          </w:r>
          <w:r>
            <w:t>4</w:t>
          </w:r>
          <w:r>
            <w:fldChar w:fldCharType="end"/>
          </w:r>
          <w:r>
            <w:rPr>
              <w:color w:val="auto"/>
              <w:highlight w:val="none"/>
            </w:rPr>
            <w:fldChar w:fldCharType="end"/>
          </w:r>
        </w:p>
        <w:p w14:paraId="79673307">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_Toc28549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（一）事故工程项目基本概况</w:t>
          </w:r>
          <w:r>
            <w:tab/>
          </w:r>
          <w:r>
            <w:fldChar w:fldCharType="begin"/>
          </w:r>
          <w:r>
            <w:instrText xml:space="preserve"> PAGEREF _Toc28549 \h </w:instrText>
          </w:r>
          <w:r>
            <w:fldChar w:fldCharType="separate"/>
          </w:r>
          <w:r>
            <w:t>4</w:t>
          </w:r>
          <w:r>
            <w:fldChar w:fldCharType="end"/>
          </w:r>
          <w:r>
            <w:rPr>
              <w:color w:val="auto"/>
              <w:highlight w:val="none"/>
            </w:rPr>
            <w:fldChar w:fldCharType="end"/>
          </w:r>
        </w:p>
        <w:p w14:paraId="49B9CBFE">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_Toc24740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（二）事故发生单位及相关单位概况</w:t>
          </w:r>
          <w:r>
            <w:tab/>
          </w:r>
          <w:r>
            <w:fldChar w:fldCharType="begin"/>
          </w:r>
          <w:r>
            <w:instrText xml:space="preserve"> PAGEREF _Toc24740 \h </w:instrText>
          </w:r>
          <w:r>
            <w:fldChar w:fldCharType="separate"/>
          </w:r>
          <w:r>
            <w:t>4</w:t>
          </w:r>
          <w:r>
            <w:fldChar w:fldCharType="end"/>
          </w:r>
          <w:r>
            <w:rPr>
              <w:color w:val="auto"/>
              <w:highlight w:val="none"/>
            </w:rPr>
            <w:fldChar w:fldCharType="end"/>
          </w:r>
        </w:p>
        <w:p w14:paraId="0068C862">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_Toc26823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（三）相关单位合同关系</w:t>
          </w:r>
          <w:r>
            <w:tab/>
          </w:r>
          <w:r>
            <w:fldChar w:fldCharType="begin"/>
          </w:r>
          <w:r>
            <w:instrText xml:space="preserve"> PAGEREF _Toc26823 \h </w:instrText>
          </w:r>
          <w:r>
            <w:fldChar w:fldCharType="separate"/>
          </w:r>
          <w:r>
            <w:t>9</w:t>
          </w:r>
          <w:r>
            <w:fldChar w:fldCharType="end"/>
          </w:r>
          <w:r>
            <w:rPr>
              <w:color w:val="auto"/>
              <w:highlight w:val="none"/>
            </w:rPr>
            <w:fldChar w:fldCharType="end"/>
          </w:r>
        </w:p>
        <w:p w14:paraId="73271D76">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_Toc17167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（四）事故发生单位安全管理情况</w:t>
          </w:r>
          <w:r>
            <w:tab/>
          </w:r>
          <w:r>
            <w:fldChar w:fldCharType="begin"/>
          </w:r>
          <w:r>
            <w:instrText xml:space="preserve"> PAGEREF _Toc17167 \h </w:instrText>
          </w:r>
          <w:r>
            <w:fldChar w:fldCharType="separate"/>
          </w:r>
          <w:r>
            <w:t>9</w:t>
          </w:r>
          <w:r>
            <w:fldChar w:fldCharType="end"/>
          </w:r>
          <w:r>
            <w:rPr>
              <w:color w:val="auto"/>
              <w:highlight w:val="none"/>
            </w:rPr>
            <w:fldChar w:fldCharType="end"/>
          </w:r>
        </w:p>
        <w:p w14:paraId="7AD30112">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_Toc3217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（五）事故发生经过</w:t>
          </w:r>
          <w:r>
            <w:tab/>
          </w:r>
          <w:r>
            <w:fldChar w:fldCharType="begin"/>
          </w:r>
          <w:r>
            <w:instrText xml:space="preserve"> PAGEREF _Toc3217 \h </w:instrText>
          </w:r>
          <w:r>
            <w:fldChar w:fldCharType="separate"/>
          </w:r>
          <w:r>
            <w:t>10</w:t>
          </w:r>
          <w:r>
            <w:fldChar w:fldCharType="end"/>
          </w:r>
          <w:r>
            <w:rPr>
              <w:color w:val="auto"/>
              <w:highlight w:val="none"/>
            </w:rPr>
            <w:fldChar w:fldCharType="end"/>
          </w:r>
        </w:p>
        <w:p w14:paraId="5DB7E4E1">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_Toc21928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（六）事故现场情况</w:t>
          </w:r>
          <w:r>
            <w:tab/>
          </w:r>
          <w:r>
            <w:fldChar w:fldCharType="begin"/>
          </w:r>
          <w:r>
            <w:instrText xml:space="preserve"> PAGEREF _Toc21928 \h </w:instrText>
          </w:r>
          <w:r>
            <w:fldChar w:fldCharType="separate"/>
          </w:r>
          <w:r>
            <w:t>13</w:t>
          </w:r>
          <w:r>
            <w:fldChar w:fldCharType="end"/>
          </w:r>
          <w:r>
            <w:rPr>
              <w:color w:val="auto"/>
              <w:highlight w:val="none"/>
            </w:rPr>
            <w:fldChar w:fldCharType="end"/>
          </w:r>
        </w:p>
        <w:p w14:paraId="54E18A8D">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_Toc15743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（七）人员伤亡和直接经济损失情况</w:t>
          </w:r>
          <w:r>
            <w:tab/>
          </w:r>
          <w:r>
            <w:fldChar w:fldCharType="begin"/>
          </w:r>
          <w:r>
            <w:instrText xml:space="preserve"> PAGEREF _Toc15743 \h </w:instrText>
          </w:r>
          <w:r>
            <w:fldChar w:fldCharType="separate"/>
          </w:r>
          <w:r>
            <w:t>13</w:t>
          </w:r>
          <w:r>
            <w:fldChar w:fldCharType="end"/>
          </w:r>
          <w:r>
            <w:rPr>
              <w:color w:val="auto"/>
              <w:highlight w:val="none"/>
            </w:rPr>
            <w:fldChar w:fldCharType="end"/>
          </w:r>
        </w:p>
        <w:p w14:paraId="3D3568ED">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_Toc24791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（八）其他情况</w:t>
          </w:r>
          <w:r>
            <w:tab/>
          </w:r>
          <w:r>
            <w:fldChar w:fldCharType="begin"/>
          </w:r>
          <w:r>
            <w:instrText xml:space="preserve"> PAGEREF _Toc24791 \h </w:instrText>
          </w:r>
          <w:r>
            <w:fldChar w:fldCharType="separate"/>
          </w:r>
          <w:r>
            <w:t>14</w:t>
          </w:r>
          <w:r>
            <w:fldChar w:fldCharType="end"/>
          </w:r>
          <w:r>
            <w:rPr>
              <w:color w:val="auto"/>
              <w:highlight w:val="none"/>
            </w:rPr>
            <w:fldChar w:fldCharType="end"/>
          </w:r>
        </w:p>
        <w:p w14:paraId="7559ED00">
          <w:pPr>
            <w:pStyle w:val="7"/>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_Toc14758 </w:instrText>
          </w:r>
          <w:r>
            <w:rPr>
              <w:highlight w:val="none"/>
            </w:rPr>
            <w:fldChar w:fldCharType="separate"/>
          </w:r>
          <w:r>
            <w:rPr>
              <w:rFonts w:hint="eastAsia" w:ascii="黑体" w:hAnsi="黑体" w:eastAsia="黑体" w:cs="黑体"/>
              <w:bCs w:val="0"/>
              <w:snapToGrid w:val="0"/>
              <w:kern w:val="0"/>
              <w:szCs w:val="32"/>
              <w:highlight w:val="none"/>
              <w:lang w:val="en-US" w:eastAsia="zh-CN"/>
            </w:rPr>
            <w:t>二、事故应急处置及评估情况</w:t>
          </w:r>
          <w:r>
            <w:tab/>
          </w:r>
          <w:r>
            <w:fldChar w:fldCharType="begin"/>
          </w:r>
          <w:r>
            <w:instrText xml:space="preserve"> PAGEREF _Toc14758 \h </w:instrText>
          </w:r>
          <w:r>
            <w:fldChar w:fldCharType="separate"/>
          </w:r>
          <w:r>
            <w:t>15</w:t>
          </w:r>
          <w:r>
            <w:fldChar w:fldCharType="end"/>
          </w:r>
          <w:r>
            <w:rPr>
              <w:color w:val="auto"/>
              <w:highlight w:val="none"/>
            </w:rPr>
            <w:fldChar w:fldCharType="end"/>
          </w:r>
        </w:p>
        <w:p w14:paraId="4BE46164">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_Toc11367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（一）事故信息接报及响应情况</w:t>
          </w:r>
          <w:r>
            <w:tab/>
          </w:r>
          <w:r>
            <w:fldChar w:fldCharType="begin"/>
          </w:r>
          <w:r>
            <w:instrText xml:space="preserve"> PAGEREF _Toc11367 \h </w:instrText>
          </w:r>
          <w:r>
            <w:fldChar w:fldCharType="separate"/>
          </w:r>
          <w:r>
            <w:t>15</w:t>
          </w:r>
          <w:r>
            <w:fldChar w:fldCharType="end"/>
          </w:r>
          <w:r>
            <w:rPr>
              <w:color w:val="auto"/>
              <w:highlight w:val="none"/>
            </w:rPr>
            <w:fldChar w:fldCharType="end"/>
          </w:r>
        </w:p>
        <w:p w14:paraId="6A69697F">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_Toc19334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（二）事故现场应急处置情况</w:t>
          </w:r>
          <w:r>
            <w:tab/>
          </w:r>
          <w:r>
            <w:fldChar w:fldCharType="begin"/>
          </w:r>
          <w:r>
            <w:instrText xml:space="preserve"> PAGEREF _Toc19334 \h </w:instrText>
          </w:r>
          <w:r>
            <w:fldChar w:fldCharType="separate"/>
          </w:r>
          <w:r>
            <w:t>16</w:t>
          </w:r>
          <w:r>
            <w:fldChar w:fldCharType="end"/>
          </w:r>
          <w:r>
            <w:rPr>
              <w:color w:val="auto"/>
              <w:highlight w:val="none"/>
            </w:rPr>
            <w:fldChar w:fldCharType="end"/>
          </w:r>
        </w:p>
        <w:p w14:paraId="1817D703">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_Toc31537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（三）医疗救治和善后情况</w:t>
          </w:r>
          <w:r>
            <w:tab/>
          </w:r>
          <w:r>
            <w:fldChar w:fldCharType="begin"/>
          </w:r>
          <w:r>
            <w:instrText xml:space="preserve"> PAGEREF _Toc31537 \h </w:instrText>
          </w:r>
          <w:r>
            <w:fldChar w:fldCharType="separate"/>
          </w:r>
          <w:r>
            <w:t>16</w:t>
          </w:r>
          <w:r>
            <w:fldChar w:fldCharType="end"/>
          </w:r>
          <w:r>
            <w:rPr>
              <w:color w:val="auto"/>
              <w:highlight w:val="none"/>
            </w:rPr>
            <w:fldChar w:fldCharType="end"/>
          </w:r>
        </w:p>
        <w:p w14:paraId="68D78B01">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_Toc11146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（四）事故应急处置评估</w:t>
          </w:r>
          <w:r>
            <w:tab/>
          </w:r>
          <w:r>
            <w:fldChar w:fldCharType="begin"/>
          </w:r>
          <w:r>
            <w:instrText xml:space="preserve"> PAGEREF _Toc11146 \h </w:instrText>
          </w:r>
          <w:r>
            <w:fldChar w:fldCharType="separate"/>
          </w:r>
          <w:r>
            <w:t>17</w:t>
          </w:r>
          <w:r>
            <w:fldChar w:fldCharType="end"/>
          </w:r>
          <w:r>
            <w:rPr>
              <w:color w:val="auto"/>
              <w:highlight w:val="none"/>
            </w:rPr>
            <w:fldChar w:fldCharType="end"/>
          </w:r>
        </w:p>
        <w:p w14:paraId="47FEC578">
          <w:pPr>
            <w:pStyle w:val="7"/>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_Toc26909 </w:instrText>
          </w:r>
          <w:r>
            <w:rPr>
              <w:highlight w:val="none"/>
            </w:rPr>
            <w:fldChar w:fldCharType="separate"/>
          </w:r>
          <w:r>
            <w:rPr>
              <w:rFonts w:hint="eastAsia" w:ascii="黑体" w:hAnsi="黑体" w:eastAsia="黑体" w:cs="黑体"/>
              <w:bCs w:val="0"/>
              <w:snapToGrid w:val="0"/>
              <w:kern w:val="0"/>
              <w:szCs w:val="32"/>
              <w:highlight w:val="none"/>
              <w:lang w:val="en-US" w:eastAsia="zh-CN"/>
            </w:rPr>
            <w:t>三、事故原因分析</w:t>
          </w:r>
          <w:r>
            <w:tab/>
          </w:r>
          <w:r>
            <w:fldChar w:fldCharType="begin"/>
          </w:r>
          <w:r>
            <w:instrText xml:space="preserve"> PAGEREF _Toc26909 \h </w:instrText>
          </w:r>
          <w:r>
            <w:fldChar w:fldCharType="separate"/>
          </w:r>
          <w:r>
            <w:t>17</w:t>
          </w:r>
          <w:r>
            <w:fldChar w:fldCharType="end"/>
          </w:r>
          <w:r>
            <w:rPr>
              <w:color w:val="auto"/>
              <w:highlight w:val="none"/>
            </w:rPr>
            <w:fldChar w:fldCharType="end"/>
          </w:r>
        </w:p>
        <w:p w14:paraId="28A426B0">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_Toc24189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（一）直接原因分析</w:t>
          </w:r>
          <w:r>
            <w:tab/>
          </w:r>
          <w:r>
            <w:fldChar w:fldCharType="begin"/>
          </w:r>
          <w:r>
            <w:instrText xml:space="preserve"> PAGEREF _Toc24189 \h </w:instrText>
          </w:r>
          <w:r>
            <w:fldChar w:fldCharType="separate"/>
          </w:r>
          <w:r>
            <w:t>17</w:t>
          </w:r>
          <w:r>
            <w:fldChar w:fldCharType="end"/>
          </w:r>
          <w:r>
            <w:rPr>
              <w:color w:val="auto"/>
              <w:highlight w:val="none"/>
            </w:rPr>
            <w:fldChar w:fldCharType="end"/>
          </w:r>
        </w:p>
        <w:p w14:paraId="2A395514">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_Toc26183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（二）事故相关检验检测和鉴定情况</w:t>
          </w:r>
          <w:r>
            <w:tab/>
          </w:r>
          <w:r>
            <w:fldChar w:fldCharType="begin"/>
          </w:r>
          <w:r>
            <w:instrText xml:space="preserve"> PAGEREF _Toc26183 \h </w:instrText>
          </w:r>
          <w:r>
            <w:fldChar w:fldCharType="separate"/>
          </w:r>
          <w:r>
            <w:t>18</w:t>
          </w:r>
          <w:r>
            <w:fldChar w:fldCharType="end"/>
          </w:r>
          <w:r>
            <w:rPr>
              <w:color w:val="auto"/>
              <w:highlight w:val="none"/>
            </w:rPr>
            <w:fldChar w:fldCharType="end"/>
          </w:r>
        </w:p>
        <w:p w14:paraId="5EE3B4A4">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_Toc150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（三）其他可能因素排除</w:t>
          </w:r>
          <w:r>
            <w:tab/>
          </w:r>
          <w:r>
            <w:fldChar w:fldCharType="begin"/>
          </w:r>
          <w:r>
            <w:instrText xml:space="preserve"> PAGEREF _Toc150 \h </w:instrText>
          </w:r>
          <w:r>
            <w:fldChar w:fldCharType="separate"/>
          </w:r>
          <w:r>
            <w:t>19</w:t>
          </w:r>
          <w:r>
            <w:fldChar w:fldCharType="end"/>
          </w:r>
          <w:r>
            <w:rPr>
              <w:color w:val="auto"/>
              <w:highlight w:val="none"/>
            </w:rPr>
            <w:fldChar w:fldCharType="end"/>
          </w:r>
        </w:p>
        <w:p w14:paraId="7010447D">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_Toc8275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（四）间接原因分析</w:t>
          </w:r>
          <w:r>
            <w:tab/>
          </w:r>
          <w:r>
            <w:fldChar w:fldCharType="begin"/>
          </w:r>
          <w:r>
            <w:instrText xml:space="preserve"> PAGEREF _Toc8275 \h </w:instrText>
          </w:r>
          <w:r>
            <w:fldChar w:fldCharType="separate"/>
          </w:r>
          <w:r>
            <w:t>20</w:t>
          </w:r>
          <w:r>
            <w:fldChar w:fldCharType="end"/>
          </w:r>
          <w:r>
            <w:rPr>
              <w:color w:val="auto"/>
              <w:highlight w:val="none"/>
            </w:rPr>
            <w:fldChar w:fldCharType="end"/>
          </w:r>
        </w:p>
        <w:p w14:paraId="0FF74C35">
          <w:pPr>
            <w:pStyle w:val="7"/>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_Toc10768 </w:instrText>
          </w:r>
          <w:r>
            <w:rPr>
              <w:highlight w:val="none"/>
            </w:rPr>
            <w:fldChar w:fldCharType="separate"/>
          </w:r>
          <w:r>
            <w:rPr>
              <w:rFonts w:hint="eastAsia" w:ascii="黑体" w:hAnsi="黑体" w:eastAsia="黑体" w:cs="黑体"/>
              <w:bCs w:val="0"/>
              <w:snapToGrid w:val="0"/>
              <w:kern w:val="0"/>
              <w:szCs w:val="32"/>
              <w:highlight w:val="none"/>
              <w:lang w:val="en-US" w:eastAsia="zh-CN"/>
            </w:rPr>
            <w:t>四、有关责任单位存在的主要问题</w:t>
          </w:r>
          <w:r>
            <w:tab/>
          </w:r>
          <w:r>
            <w:fldChar w:fldCharType="begin"/>
          </w:r>
          <w:r>
            <w:instrText xml:space="preserve"> PAGEREF _Toc10768 \h </w:instrText>
          </w:r>
          <w:r>
            <w:fldChar w:fldCharType="separate"/>
          </w:r>
          <w:r>
            <w:t>22</w:t>
          </w:r>
          <w:r>
            <w:fldChar w:fldCharType="end"/>
          </w:r>
          <w:r>
            <w:rPr>
              <w:color w:val="auto"/>
              <w:highlight w:val="none"/>
            </w:rPr>
            <w:fldChar w:fldCharType="end"/>
          </w:r>
        </w:p>
        <w:p w14:paraId="750029B7">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_Toc29478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（一）中诺（海南）建设工程有限公司：主要责任单位</w:t>
          </w:r>
          <w:r>
            <w:tab/>
          </w:r>
          <w:r>
            <w:fldChar w:fldCharType="begin"/>
          </w:r>
          <w:r>
            <w:instrText xml:space="preserve"> PAGEREF _Toc29478 \h </w:instrText>
          </w:r>
          <w:r>
            <w:fldChar w:fldCharType="separate"/>
          </w:r>
          <w:r>
            <w:t>22</w:t>
          </w:r>
          <w:r>
            <w:fldChar w:fldCharType="end"/>
          </w:r>
          <w:r>
            <w:rPr>
              <w:color w:val="auto"/>
              <w:highlight w:val="none"/>
            </w:rPr>
            <w:fldChar w:fldCharType="end"/>
          </w:r>
        </w:p>
        <w:p w14:paraId="3CFDB1CC">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_Toc16753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（二）</w:t>
          </w:r>
          <w:r>
            <w:rPr>
              <w:rFonts w:hint="eastAsia" w:ascii="方正楷体_GB2312" w:hAnsi="方正楷体_GB2312" w:eastAsia="方正楷体_GB2312" w:cs="方正楷体_GB2312"/>
              <w:bCs/>
              <w:highlight w:val="none"/>
            </w:rPr>
            <w:t>海南实创建筑劳务有限公司</w:t>
          </w:r>
          <w:r>
            <w:rPr>
              <w:rFonts w:hint="eastAsia" w:ascii="方正楷体_GB2312" w:hAnsi="方正楷体_GB2312" w:eastAsia="方正楷体_GB2312" w:cs="方正楷体_GB2312"/>
              <w:bCs/>
              <w:snapToGrid/>
              <w:kern w:val="2"/>
              <w:szCs w:val="24"/>
              <w:highlight w:val="none"/>
              <w:lang w:val="en-US" w:eastAsia="zh-CN" w:bidi="ar-SA"/>
            </w:rPr>
            <w:t>：次要责任单位</w:t>
          </w:r>
          <w:r>
            <w:tab/>
          </w:r>
          <w:r>
            <w:fldChar w:fldCharType="begin"/>
          </w:r>
          <w:r>
            <w:instrText xml:space="preserve"> PAGEREF _Toc16753 \h </w:instrText>
          </w:r>
          <w:r>
            <w:fldChar w:fldCharType="separate"/>
          </w:r>
          <w:r>
            <w:t>22</w:t>
          </w:r>
          <w:r>
            <w:fldChar w:fldCharType="end"/>
          </w:r>
          <w:r>
            <w:rPr>
              <w:color w:val="auto"/>
              <w:highlight w:val="none"/>
            </w:rPr>
            <w:fldChar w:fldCharType="end"/>
          </w:r>
        </w:p>
        <w:p w14:paraId="49FFA7C4">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_Toc1182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（三）浙江天成项目管理有限公司：次要责任单位</w:t>
          </w:r>
          <w:r>
            <w:tab/>
          </w:r>
          <w:r>
            <w:fldChar w:fldCharType="begin"/>
          </w:r>
          <w:r>
            <w:instrText xml:space="preserve"> PAGEREF _Toc1182 \h </w:instrText>
          </w:r>
          <w:r>
            <w:fldChar w:fldCharType="separate"/>
          </w:r>
          <w:r>
            <w:t>23</w:t>
          </w:r>
          <w:r>
            <w:fldChar w:fldCharType="end"/>
          </w:r>
          <w:r>
            <w:rPr>
              <w:color w:val="auto"/>
              <w:highlight w:val="none"/>
            </w:rPr>
            <w:fldChar w:fldCharType="end"/>
          </w:r>
        </w:p>
        <w:p w14:paraId="4F542666">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_Toc28889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（四）相关单位无责说明</w:t>
          </w:r>
          <w:r>
            <w:tab/>
          </w:r>
          <w:r>
            <w:fldChar w:fldCharType="begin"/>
          </w:r>
          <w:r>
            <w:instrText xml:space="preserve"> PAGEREF _Toc28889 \h </w:instrText>
          </w:r>
          <w:r>
            <w:fldChar w:fldCharType="separate"/>
          </w:r>
          <w:r>
            <w:t>23</w:t>
          </w:r>
          <w:r>
            <w:fldChar w:fldCharType="end"/>
          </w:r>
          <w:r>
            <w:rPr>
              <w:color w:val="auto"/>
              <w:highlight w:val="none"/>
            </w:rPr>
            <w:fldChar w:fldCharType="end"/>
          </w:r>
        </w:p>
        <w:p w14:paraId="4C16A622">
          <w:pPr>
            <w:pStyle w:val="7"/>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_Toc2833 </w:instrText>
          </w:r>
          <w:r>
            <w:rPr>
              <w:highlight w:val="none"/>
            </w:rPr>
            <w:fldChar w:fldCharType="separate"/>
          </w:r>
          <w:r>
            <w:rPr>
              <w:rFonts w:hint="eastAsia" w:ascii="黑体" w:hAnsi="黑体" w:eastAsia="黑体" w:cs="黑体"/>
              <w:bCs w:val="0"/>
              <w:snapToGrid w:val="0"/>
              <w:kern w:val="0"/>
              <w:szCs w:val="32"/>
              <w:highlight w:val="none"/>
              <w:lang w:val="en-US" w:eastAsia="zh-CN"/>
            </w:rPr>
            <w:t>五、对有关责任人员和责任单位的处理建议</w:t>
          </w:r>
          <w:r>
            <w:tab/>
          </w:r>
          <w:r>
            <w:fldChar w:fldCharType="begin"/>
          </w:r>
          <w:r>
            <w:instrText xml:space="preserve"> PAGEREF _Toc2833 \h </w:instrText>
          </w:r>
          <w:r>
            <w:fldChar w:fldCharType="separate"/>
          </w:r>
          <w:r>
            <w:t>24</w:t>
          </w:r>
          <w:r>
            <w:fldChar w:fldCharType="end"/>
          </w:r>
          <w:r>
            <w:rPr>
              <w:color w:val="auto"/>
              <w:highlight w:val="none"/>
            </w:rPr>
            <w:fldChar w:fldCharType="end"/>
          </w:r>
        </w:p>
        <w:p w14:paraId="40115E9B">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_Toc24350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（一）因在事故中死亡免予追究责任人员</w:t>
          </w:r>
          <w:r>
            <w:tab/>
          </w:r>
          <w:r>
            <w:fldChar w:fldCharType="begin"/>
          </w:r>
          <w:r>
            <w:instrText xml:space="preserve"> PAGEREF _Toc24350 \h </w:instrText>
          </w:r>
          <w:r>
            <w:fldChar w:fldCharType="separate"/>
          </w:r>
          <w:r>
            <w:t>24</w:t>
          </w:r>
          <w:r>
            <w:fldChar w:fldCharType="end"/>
          </w:r>
          <w:r>
            <w:rPr>
              <w:color w:val="auto"/>
              <w:highlight w:val="none"/>
            </w:rPr>
            <w:fldChar w:fldCharType="end"/>
          </w:r>
        </w:p>
        <w:p w14:paraId="3707C49F">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_Toc31881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（二）对相关责任人员的行政处罚建议</w:t>
          </w:r>
          <w:r>
            <w:tab/>
          </w:r>
          <w:r>
            <w:fldChar w:fldCharType="begin"/>
          </w:r>
          <w:r>
            <w:instrText xml:space="preserve"> PAGEREF _Toc31881 \h </w:instrText>
          </w:r>
          <w:r>
            <w:fldChar w:fldCharType="separate"/>
          </w:r>
          <w:r>
            <w:t>25</w:t>
          </w:r>
          <w:r>
            <w:fldChar w:fldCharType="end"/>
          </w:r>
          <w:r>
            <w:rPr>
              <w:color w:val="auto"/>
              <w:highlight w:val="none"/>
            </w:rPr>
            <w:fldChar w:fldCharType="end"/>
          </w:r>
        </w:p>
        <w:p w14:paraId="7DD3FE41">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_Toc4737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（三）对相关责任单位的行政处罚建议</w:t>
          </w:r>
          <w:r>
            <w:tab/>
          </w:r>
          <w:r>
            <w:fldChar w:fldCharType="begin"/>
          </w:r>
          <w:r>
            <w:instrText xml:space="preserve"> PAGEREF _Toc4737 \h </w:instrText>
          </w:r>
          <w:r>
            <w:fldChar w:fldCharType="separate"/>
          </w:r>
          <w:r>
            <w:t>30</w:t>
          </w:r>
          <w:r>
            <w:fldChar w:fldCharType="end"/>
          </w:r>
          <w:r>
            <w:rPr>
              <w:color w:val="auto"/>
              <w:highlight w:val="none"/>
            </w:rPr>
            <w:fldChar w:fldCharType="end"/>
          </w:r>
        </w:p>
        <w:p w14:paraId="5A50191E">
          <w:pPr>
            <w:pStyle w:val="7"/>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_Toc5403 </w:instrText>
          </w:r>
          <w:r>
            <w:rPr>
              <w:highlight w:val="none"/>
            </w:rPr>
            <w:fldChar w:fldCharType="separate"/>
          </w:r>
          <w:r>
            <w:rPr>
              <w:rFonts w:hint="eastAsia" w:ascii="黑体" w:hAnsi="黑体" w:eastAsia="黑体" w:cs="黑体"/>
              <w:bCs w:val="0"/>
              <w:snapToGrid w:val="0"/>
              <w:kern w:val="0"/>
              <w:szCs w:val="32"/>
              <w:highlight w:val="none"/>
              <w:lang w:val="en-US" w:eastAsia="zh-CN"/>
            </w:rPr>
            <w:t>六、事故主要教训</w:t>
          </w:r>
          <w:r>
            <w:tab/>
          </w:r>
          <w:r>
            <w:fldChar w:fldCharType="begin"/>
          </w:r>
          <w:r>
            <w:instrText xml:space="preserve"> PAGEREF _Toc5403 \h </w:instrText>
          </w:r>
          <w:r>
            <w:fldChar w:fldCharType="separate"/>
          </w:r>
          <w:r>
            <w:t>32</w:t>
          </w:r>
          <w:r>
            <w:fldChar w:fldCharType="end"/>
          </w:r>
          <w:r>
            <w:rPr>
              <w:color w:val="auto"/>
              <w:highlight w:val="none"/>
            </w:rPr>
            <w:fldChar w:fldCharType="end"/>
          </w:r>
        </w:p>
        <w:p w14:paraId="6FEB10CE">
          <w:pPr>
            <w:pStyle w:val="7"/>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_Toc21049 </w:instrText>
          </w:r>
          <w:r>
            <w:rPr>
              <w:highlight w:val="none"/>
            </w:rPr>
            <w:fldChar w:fldCharType="separate"/>
          </w:r>
          <w:r>
            <w:rPr>
              <w:rFonts w:hint="eastAsia" w:ascii="黑体" w:hAnsi="黑体" w:eastAsia="黑体" w:cs="黑体"/>
              <w:bCs w:val="0"/>
              <w:snapToGrid w:val="0"/>
              <w:kern w:val="0"/>
              <w:szCs w:val="32"/>
              <w:highlight w:val="none"/>
              <w:lang w:val="en-US" w:eastAsia="zh-CN"/>
            </w:rPr>
            <w:t>七、事故整改和防范措施</w:t>
          </w:r>
          <w:r>
            <w:tab/>
          </w:r>
          <w:r>
            <w:fldChar w:fldCharType="begin"/>
          </w:r>
          <w:r>
            <w:instrText xml:space="preserve"> PAGEREF _Toc21049 \h </w:instrText>
          </w:r>
          <w:r>
            <w:fldChar w:fldCharType="separate"/>
          </w:r>
          <w:r>
            <w:t>33</w:t>
          </w:r>
          <w:r>
            <w:fldChar w:fldCharType="end"/>
          </w:r>
          <w:r>
            <w:rPr>
              <w:color w:val="auto"/>
              <w:highlight w:val="none"/>
            </w:rPr>
            <w:fldChar w:fldCharType="end"/>
          </w:r>
        </w:p>
        <w:p w14:paraId="6E7E5F4B">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_Toc21712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（一）施工单位防范措施</w:t>
          </w:r>
          <w:r>
            <w:tab/>
          </w:r>
          <w:r>
            <w:fldChar w:fldCharType="begin"/>
          </w:r>
          <w:r>
            <w:instrText xml:space="preserve"> PAGEREF _Toc21712 \h </w:instrText>
          </w:r>
          <w:r>
            <w:fldChar w:fldCharType="separate"/>
          </w:r>
          <w:r>
            <w:t>33</w:t>
          </w:r>
          <w:r>
            <w:fldChar w:fldCharType="end"/>
          </w:r>
          <w:r>
            <w:rPr>
              <w:color w:val="auto"/>
              <w:highlight w:val="none"/>
            </w:rPr>
            <w:fldChar w:fldCharType="end"/>
          </w:r>
        </w:p>
        <w:p w14:paraId="768F3B31">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_Toc17705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（二）监理单位防范措施</w:t>
          </w:r>
          <w:r>
            <w:tab/>
          </w:r>
          <w:r>
            <w:fldChar w:fldCharType="begin"/>
          </w:r>
          <w:r>
            <w:instrText xml:space="preserve"> PAGEREF _Toc17705 \h </w:instrText>
          </w:r>
          <w:r>
            <w:fldChar w:fldCharType="separate"/>
          </w:r>
          <w:r>
            <w:t>34</w:t>
          </w:r>
          <w:r>
            <w:fldChar w:fldCharType="end"/>
          </w:r>
          <w:r>
            <w:rPr>
              <w:color w:val="auto"/>
              <w:highlight w:val="none"/>
            </w:rPr>
            <w:fldChar w:fldCharType="end"/>
          </w:r>
        </w:p>
        <w:p w14:paraId="4775933C">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_Toc23029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（三）项目总包及专业分包单位管控措施</w:t>
          </w:r>
          <w:r>
            <w:tab/>
          </w:r>
          <w:r>
            <w:fldChar w:fldCharType="begin"/>
          </w:r>
          <w:r>
            <w:instrText xml:space="preserve"> PAGEREF _Toc23029 \h </w:instrText>
          </w:r>
          <w:r>
            <w:fldChar w:fldCharType="separate"/>
          </w:r>
          <w:r>
            <w:t>34</w:t>
          </w:r>
          <w:r>
            <w:fldChar w:fldCharType="end"/>
          </w:r>
          <w:r>
            <w:rPr>
              <w:color w:val="auto"/>
              <w:highlight w:val="none"/>
            </w:rPr>
            <w:fldChar w:fldCharType="end"/>
          </w:r>
        </w:p>
        <w:p w14:paraId="20219748">
          <w:pPr>
            <w:pStyle w:val="9"/>
            <w:keepNext w:val="0"/>
            <w:keepLines w:val="0"/>
            <w:pageBreakBefore w:val="0"/>
            <w:widowControl w:val="0"/>
            <w:tabs>
              <w:tab w:val="right" w:leader="dot" w:pos="8845"/>
            </w:tabs>
            <w:kinsoku/>
            <w:wordWrap/>
            <w:overflowPunct/>
            <w:topLinePunct w:val="0"/>
            <w:autoSpaceDE/>
            <w:autoSpaceDN/>
            <w:bidi w:val="0"/>
            <w:adjustRightInd/>
            <w:snapToGrid/>
            <w:spacing w:line="264" w:lineRule="auto"/>
            <w:textAlignment w:val="auto"/>
          </w:pPr>
          <w:r>
            <w:rPr>
              <w:color w:val="auto"/>
              <w:highlight w:val="none"/>
            </w:rPr>
            <w:fldChar w:fldCharType="begin"/>
          </w:r>
          <w:r>
            <w:rPr>
              <w:highlight w:val="none"/>
            </w:rPr>
            <w:instrText xml:space="preserve"> HYPERLINK \l _Toc16253 </w:instrText>
          </w:r>
          <w:r>
            <w:rPr>
              <w:highlight w:val="none"/>
            </w:rPr>
            <w:fldChar w:fldCharType="separate"/>
          </w:r>
          <w:r>
            <w:rPr>
              <w:rFonts w:hint="eastAsia" w:ascii="方正楷体_GB2312" w:hAnsi="方正楷体_GB2312" w:eastAsia="方正楷体_GB2312" w:cs="方正楷体_GB2312"/>
              <w:bCs/>
              <w:snapToGrid/>
              <w:kern w:val="2"/>
              <w:szCs w:val="24"/>
              <w:highlight w:val="none"/>
              <w:lang w:val="en-US" w:eastAsia="zh-CN" w:bidi="ar-SA"/>
            </w:rPr>
            <w:t>（四）行业监管警示措施</w:t>
          </w:r>
          <w:r>
            <w:tab/>
          </w:r>
          <w:r>
            <w:fldChar w:fldCharType="begin"/>
          </w:r>
          <w:r>
            <w:instrText xml:space="preserve"> PAGEREF _Toc16253 \h </w:instrText>
          </w:r>
          <w:r>
            <w:fldChar w:fldCharType="separate"/>
          </w:r>
          <w:r>
            <w:t>35</w:t>
          </w:r>
          <w:r>
            <w:fldChar w:fldCharType="end"/>
          </w:r>
          <w:r>
            <w:rPr>
              <w:color w:val="auto"/>
              <w:highlight w:val="none"/>
            </w:rPr>
            <w:fldChar w:fldCharType="end"/>
          </w:r>
        </w:p>
        <w:p w14:paraId="5BF9F6AF">
          <w:pPr>
            <w:keepNext w:val="0"/>
            <w:keepLines w:val="0"/>
            <w:pageBreakBefore w:val="0"/>
            <w:widowControl w:val="0"/>
            <w:kinsoku/>
            <w:wordWrap/>
            <w:overflowPunct/>
            <w:topLinePunct w:val="0"/>
            <w:autoSpaceDE/>
            <w:autoSpaceDN/>
            <w:bidi w:val="0"/>
            <w:adjustRightInd/>
            <w:snapToGrid/>
            <w:spacing w:line="264" w:lineRule="auto"/>
            <w:textAlignment w:val="auto"/>
            <w:rPr>
              <w:color w:val="auto"/>
              <w:highlight w:val="none"/>
            </w:rPr>
          </w:pPr>
          <w:r>
            <w:rPr>
              <w:color w:val="auto"/>
              <w:highlight w:val="none"/>
            </w:rPr>
            <w:fldChar w:fldCharType="end"/>
          </w:r>
        </w:p>
      </w:sdtContent>
    </w:sdt>
    <w:p w14:paraId="73214E7E">
      <w:pPr>
        <w:keepNext w:val="0"/>
        <w:keepLines w:val="0"/>
        <w:pageBreakBefore w:val="0"/>
        <w:widowControl w:val="0"/>
        <w:kinsoku/>
        <w:wordWrap/>
        <w:overflowPunct/>
        <w:topLinePunct w:val="0"/>
        <w:autoSpaceDE w:val="0"/>
        <w:autoSpaceDN w:val="0"/>
        <w:bidi w:val="0"/>
        <w:adjustRightInd w:val="0"/>
        <w:snapToGrid w:val="0"/>
        <w:spacing w:line="560" w:lineRule="exact"/>
        <w:ind w:right="0" w:firstLine="640" w:firstLineChars="200"/>
        <w:jc w:val="both"/>
        <w:textAlignment w:val="baseline"/>
        <w:outlineLvl w:val="9"/>
        <w:rPr>
          <w:rFonts w:hint="default" w:ascii="Times New Roman" w:hAnsi="Times New Roman" w:eastAsia="仿宋_GB2312" w:cs="Times New Roman"/>
          <w:b w:val="0"/>
          <w:bCs w:val="0"/>
          <w:snapToGrid w:val="0"/>
          <w:color w:val="auto"/>
          <w:kern w:val="0"/>
          <w:sz w:val="32"/>
          <w:szCs w:val="32"/>
          <w:highlight w:val="none"/>
          <w:lang w:val="en-US" w:eastAsia="zh-CN"/>
        </w:rPr>
      </w:pPr>
      <w:r>
        <w:rPr>
          <w:rFonts w:hint="default" w:ascii="Times New Roman" w:hAnsi="Times New Roman" w:eastAsia="仿宋_GB2312" w:cs="Times New Roman"/>
          <w:b w:val="0"/>
          <w:bCs w:val="0"/>
          <w:snapToGrid w:val="0"/>
          <w:color w:val="auto"/>
          <w:kern w:val="0"/>
          <w:sz w:val="32"/>
          <w:szCs w:val="32"/>
          <w:highlight w:val="none"/>
          <w:lang w:val="en-US" w:eastAsia="zh-CN"/>
        </w:rPr>
        <w:t>2026年6月23日7:23分许，三亚市吉阳区迎宾路中央商务区DA02-19-02地块项目外立面门窗工程（一标段）发生一起触电事故，造成 1 名建筑外立面门窗安装劳务作业工人死亡，直接经济损失200万元。</w:t>
      </w:r>
    </w:p>
    <w:p w14:paraId="61F48715">
      <w:pPr>
        <w:keepNext w:val="0"/>
        <w:keepLines w:val="0"/>
        <w:pageBreakBefore w:val="0"/>
        <w:widowControl w:val="0"/>
        <w:kinsoku/>
        <w:wordWrap/>
        <w:overflowPunct/>
        <w:topLinePunct w:val="0"/>
        <w:autoSpaceDE w:val="0"/>
        <w:autoSpaceDN w:val="0"/>
        <w:bidi w:val="0"/>
        <w:adjustRightInd w:val="0"/>
        <w:snapToGrid w:val="0"/>
        <w:spacing w:line="560" w:lineRule="exact"/>
        <w:ind w:right="0" w:firstLine="640" w:firstLineChars="200"/>
        <w:jc w:val="both"/>
        <w:textAlignment w:val="baseline"/>
        <w:outlineLvl w:val="9"/>
        <w:rPr>
          <w:rFonts w:hint="default" w:ascii="Times New Roman" w:hAnsi="Times New Roman" w:eastAsia="仿宋_GB2312" w:cs="Times New Roman"/>
          <w:b w:val="0"/>
          <w:bCs w:val="0"/>
          <w:snapToGrid w:val="0"/>
          <w:color w:val="auto"/>
          <w:kern w:val="0"/>
          <w:sz w:val="32"/>
          <w:szCs w:val="32"/>
          <w:highlight w:val="none"/>
          <w:lang w:val="en-US" w:eastAsia="zh-CN"/>
        </w:rPr>
      </w:pPr>
      <w:r>
        <w:rPr>
          <w:rFonts w:hint="default" w:ascii="Times New Roman" w:hAnsi="Times New Roman" w:eastAsia="仿宋_GB2312" w:cs="Times New Roman"/>
          <w:b w:val="0"/>
          <w:bCs w:val="0"/>
          <w:snapToGrid w:val="0"/>
          <w:color w:val="auto"/>
          <w:kern w:val="0"/>
          <w:sz w:val="32"/>
          <w:szCs w:val="32"/>
          <w:highlight w:val="none"/>
          <w:lang w:val="en-US" w:eastAsia="zh-CN"/>
        </w:rPr>
        <w:t>事故发生后，区委、区政府主要领导高度重视，立即作出指示批示，要求全力做好善后处置、事故调查和隐患排查工作，坚决防范类似事故再次发生。依据《中华人民共和国安全生产法》（国家主席令第88号）《生产安全事故报告和调查处理条例》（国务院令第 493 号）等法律法规规定，区政府迅速成立由区住房城乡建设局牵头，区纪委监委、区应急管理局、市公安局吉阳分局、市综合行政执法局吉阳分局、区总工会等相关单位组成事故调查组，对该事故开展调查。</w:t>
      </w:r>
    </w:p>
    <w:p w14:paraId="2420C6B5">
      <w:pPr>
        <w:keepNext w:val="0"/>
        <w:keepLines w:val="0"/>
        <w:pageBreakBefore w:val="0"/>
        <w:widowControl w:val="0"/>
        <w:kinsoku/>
        <w:wordWrap/>
        <w:overflowPunct/>
        <w:topLinePunct w:val="0"/>
        <w:autoSpaceDE w:val="0"/>
        <w:autoSpaceDN w:val="0"/>
        <w:bidi w:val="0"/>
        <w:adjustRightInd w:val="0"/>
        <w:snapToGrid w:val="0"/>
        <w:spacing w:line="560" w:lineRule="exact"/>
        <w:ind w:right="0" w:firstLine="640" w:firstLineChars="200"/>
        <w:jc w:val="both"/>
        <w:textAlignment w:val="baseline"/>
        <w:outlineLvl w:val="9"/>
        <w:rPr>
          <w:rFonts w:hint="default" w:ascii="Times New Roman" w:hAnsi="Times New Roman" w:eastAsia="仿宋_GB2312" w:cs="Times New Roman"/>
          <w:b w:val="0"/>
          <w:bCs w:val="0"/>
          <w:snapToGrid w:val="0"/>
          <w:color w:val="auto"/>
          <w:kern w:val="0"/>
          <w:sz w:val="32"/>
          <w:szCs w:val="32"/>
          <w:highlight w:val="none"/>
          <w:lang w:val="en-US" w:eastAsia="zh-CN"/>
        </w:rPr>
      </w:pPr>
      <w:r>
        <w:rPr>
          <w:rFonts w:hint="default" w:ascii="Times New Roman" w:hAnsi="Times New Roman" w:eastAsia="仿宋_GB2312" w:cs="Times New Roman"/>
          <w:b w:val="0"/>
          <w:bCs w:val="0"/>
          <w:snapToGrid w:val="0"/>
          <w:color w:val="auto"/>
          <w:kern w:val="0"/>
          <w:sz w:val="32"/>
          <w:szCs w:val="32"/>
          <w:highlight w:val="none"/>
          <w:lang w:val="en-US" w:eastAsia="zh-CN"/>
        </w:rPr>
        <w:t>调查组严格遵循“科学严谨、依法依规、实事求是、注重实效”原则和“四不放过”要求，通过现场勘验、技术分析、资料查阅、法规研判、询问谈话、专家论证等多种方式进行综合研判，查明事故发生的经过、原因、人员伤亡和直接经济损失，认定事故性质和责任，提出对有关责任单位和责任人的处理建议。同时，调查组举一反三、以点带面，深入剖析事故暴露的突出问题，总结事故主要教训，针对事故原因提出整改和防范措施建议。</w:t>
      </w:r>
    </w:p>
    <w:p w14:paraId="6903C26D">
      <w:pPr>
        <w:keepNext w:val="0"/>
        <w:keepLines w:val="0"/>
        <w:pageBreakBefore w:val="0"/>
        <w:widowControl w:val="0"/>
        <w:kinsoku/>
        <w:wordWrap/>
        <w:overflowPunct/>
        <w:topLinePunct w:val="0"/>
        <w:autoSpaceDE w:val="0"/>
        <w:autoSpaceDN w:val="0"/>
        <w:bidi w:val="0"/>
        <w:adjustRightInd w:val="0"/>
        <w:snapToGrid w:val="0"/>
        <w:spacing w:line="560" w:lineRule="exact"/>
        <w:ind w:right="0" w:firstLine="640" w:firstLineChars="200"/>
        <w:jc w:val="both"/>
        <w:textAlignment w:val="baseline"/>
        <w:outlineLvl w:val="9"/>
        <w:rPr>
          <w:rFonts w:hint="default" w:ascii="Times New Roman" w:hAnsi="Times New Roman" w:eastAsia="仿宋_GB2312" w:cs="Times New Roman"/>
          <w:b w:val="0"/>
          <w:bCs w:val="0"/>
          <w:snapToGrid w:val="0"/>
          <w:color w:val="auto"/>
          <w:kern w:val="0"/>
          <w:sz w:val="32"/>
          <w:szCs w:val="32"/>
          <w:highlight w:val="none"/>
          <w:lang w:val="en-US" w:eastAsia="zh-CN"/>
        </w:rPr>
      </w:pPr>
      <w:r>
        <w:rPr>
          <w:rFonts w:hint="default" w:ascii="Times New Roman" w:hAnsi="Times New Roman" w:eastAsia="仿宋_GB2312" w:cs="Times New Roman"/>
          <w:b w:val="0"/>
          <w:bCs w:val="0"/>
          <w:snapToGrid w:val="0"/>
          <w:color w:val="auto"/>
          <w:kern w:val="0"/>
          <w:sz w:val="32"/>
          <w:szCs w:val="32"/>
          <w:highlight w:val="none"/>
          <w:lang w:val="en-US" w:eastAsia="zh-CN"/>
        </w:rPr>
        <w:t>经调查认定，吉阳东岸三亚迎宾路中央商务区DA02-19-02地块项目外立面门窗工程（一标段）“6·23”一般触电事故是一起因建筑外立面门窗安装劳务作业人员违规操作，1#楼门窗安装劳务分包单位安全管理存在疏漏，监理单位现场监理履职不到位共同引发的一般生产安全责任事故。</w:t>
      </w:r>
    </w:p>
    <w:p w14:paraId="02707F02">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0"/>
        <w:rPr>
          <w:rFonts w:hint="eastAsia" w:ascii="黑体" w:hAnsi="黑体" w:eastAsia="黑体" w:cs="黑体"/>
          <w:b w:val="0"/>
          <w:bCs w:val="0"/>
          <w:snapToGrid w:val="0"/>
          <w:color w:val="auto"/>
          <w:kern w:val="0"/>
          <w:sz w:val="32"/>
          <w:szCs w:val="32"/>
          <w:highlight w:val="none"/>
          <w:lang w:val="en-US" w:eastAsia="zh-CN"/>
        </w:rPr>
      </w:pPr>
      <w:bookmarkStart w:id="1" w:name="_Toc1411"/>
      <w:r>
        <w:rPr>
          <w:rFonts w:hint="eastAsia" w:ascii="黑体" w:hAnsi="黑体" w:eastAsia="黑体" w:cs="黑体"/>
          <w:b w:val="0"/>
          <w:bCs w:val="0"/>
          <w:snapToGrid w:val="0"/>
          <w:color w:val="auto"/>
          <w:kern w:val="0"/>
          <w:sz w:val="32"/>
          <w:szCs w:val="32"/>
          <w:highlight w:val="none"/>
          <w:lang w:val="en-US" w:eastAsia="zh-CN"/>
        </w:rPr>
        <w:t>一、事故基本情况</w:t>
      </w:r>
      <w:bookmarkEnd w:id="1"/>
    </w:p>
    <w:p w14:paraId="56A97EB9">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default" w:ascii="方正楷体_GB2312" w:hAnsi="方正楷体_GB2312" w:eastAsia="方正楷体_GB2312" w:cs="方正楷体_GB2312"/>
          <w:b w:val="0"/>
          <w:bCs/>
          <w:snapToGrid/>
          <w:color w:val="auto"/>
          <w:kern w:val="2"/>
          <w:szCs w:val="24"/>
          <w:highlight w:val="none"/>
          <w:lang w:val="en-US" w:eastAsia="zh-CN" w:bidi="ar-SA"/>
        </w:rPr>
      </w:pPr>
      <w:bookmarkStart w:id="2" w:name="_Toc28549"/>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（一）事故工程项目基本概况</w:t>
      </w:r>
      <w:bookmarkEnd w:id="2"/>
    </w:p>
    <w:p w14:paraId="688C481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snapToGrid w:val="0"/>
          <w:color w:val="auto"/>
          <w:kern w:val="0"/>
          <w:sz w:val="32"/>
          <w:szCs w:val="32"/>
          <w:highlight w:val="none"/>
          <w:lang w:val="en-US" w:eastAsia="zh-CN"/>
        </w:rPr>
        <w:t>本事故工程为三亚市吉阳区迎宾路中央商务区DA02-19-02地块项目外立面门窗安装（一标段）（以下简称：一标段），事故发生在一标段1#楼外立面门窗安装施工作业过程。事故涉及作业为一标段1#楼南侧外立面门窗窗框基层剔凿整改，属幕墙装饰配套工序：一是复核窗框安装位置，检查主体工程完工后的墙体基层平整度与窗框贴合情况，标记因不贴合需要剔凿的点位；二是对窗框贴合不严、基层凸起处，拆除局部窗框固定件；三是人工精细化剔凿打磨墙体多余混凝土、砂浆层，保障窗框贴合精度；四是清理基层后复位窗框，完成密封加固及验收复核。一标段1#楼外立面门窗安装相关作业高度最高</w:t>
      </w:r>
      <w:r>
        <w:rPr>
          <w:rFonts w:hint="default" w:ascii="Times New Roman" w:hAnsi="Times New Roman" w:eastAsia="仿宋_GB2312" w:cs="Times New Roman"/>
          <w:b w:val="0"/>
          <w:bCs w:val="0"/>
          <w:color w:val="auto"/>
          <w:kern w:val="0"/>
          <w:sz w:val="32"/>
          <w:szCs w:val="32"/>
          <w:highlight w:val="none"/>
          <w:lang w:val="en-US" w:eastAsia="zh-CN"/>
        </w:rPr>
        <w:t>85.9</w:t>
      </w:r>
      <w:r>
        <w:rPr>
          <w:rFonts w:hint="default" w:ascii="Times New Roman" w:hAnsi="Times New Roman" w:eastAsia="仿宋_GB2312" w:cs="Times New Roman"/>
          <w:b w:val="0"/>
          <w:bCs w:val="0"/>
          <w:snapToGrid w:val="0"/>
          <w:color w:val="auto"/>
          <w:kern w:val="0"/>
          <w:sz w:val="32"/>
          <w:szCs w:val="32"/>
          <w:highlight w:val="none"/>
          <w:lang w:val="en-US" w:eastAsia="zh-CN"/>
        </w:rPr>
        <w:t>米，为满足工人上下作业的要求，该作业采用吊篮作为核心施工设备，作业人员依托吊篮完成外立面高空剔凿作业，作业人员需要有高处作业证。</w:t>
      </w:r>
      <w:r>
        <w:rPr>
          <w:rFonts w:hint="default" w:ascii="Times New Roman" w:hAnsi="Times New Roman" w:eastAsia="仿宋_GB2312" w:cs="Times New Roman"/>
          <w:b w:val="0"/>
          <w:bCs w:val="0"/>
          <w:color w:val="auto"/>
          <w:kern w:val="0"/>
          <w:sz w:val="32"/>
          <w:szCs w:val="32"/>
          <w:highlight w:val="none"/>
          <w:lang w:val="en-US" w:eastAsia="zh-CN"/>
        </w:rPr>
        <w:t>本起事故发生于一标段1#楼12层外立面吊篮内，该吊篮供现场剔凿施工作业使用。</w:t>
      </w:r>
    </w:p>
    <w:p w14:paraId="1316A55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3" w:name="_Toc24740"/>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（二）事故发生单位及相关单位概况</w:t>
      </w:r>
      <w:bookmarkEnd w:id="3"/>
    </w:p>
    <w:p w14:paraId="0BD8AC35">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snapToGrid w:val="0"/>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1</w:t>
      </w:r>
      <w:r>
        <w:rPr>
          <w:rFonts w:hint="default" w:ascii="Times New Roman" w:hAnsi="Times New Roman" w:eastAsia="仿宋_GB2312" w:cs="Times New Roman"/>
          <w:b/>
          <w:bCs/>
          <w:color w:val="auto"/>
          <w:kern w:val="0"/>
          <w:sz w:val="32"/>
          <w:szCs w:val="32"/>
          <w:highlight w:val="none"/>
          <w:lang w:val="en-US" w:eastAsia="zh-CN"/>
        </w:rPr>
        <w:t xml:space="preserve">. </w:t>
      </w:r>
      <w:r>
        <w:rPr>
          <w:rFonts w:hint="default" w:ascii="Times New Roman" w:hAnsi="Times New Roman" w:eastAsia="仿宋_GB2312" w:cs="Times New Roman"/>
          <w:b/>
          <w:bCs/>
          <w:snapToGrid w:val="0"/>
          <w:color w:val="auto"/>
          <w:kern w:val="0"/>
          <w:sz w:val="32"/>
          <w:szCs w:val="32"/>
          <w:highlight w:val="none"/>
          <w:lang w:val="en-US" w:eastAsia="zh-CN"/>
        </w:rPr>
        <w:t>涉事工程项目相关单位</w:t>
      </w:r>
    </w:p>
    <w:p w14:paraId="6E1A675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snapToGrid w:val="0"/>
          <w:color w:val="auto"/>
          <w:kern w:val="0"/>
          <w:sz w:val="32"/>
          <w:szCs w:val="32"/>
          <w:highlight w:val="none"/>
          <w:lang w:val="en-US" w:eastAsia="zh-CN"/>
        </w:rPr>
      </w:pPr>
      <w:r>
        <w:rPr>
          <w:rFonts w:hint="default" w:ascii="Times New Roman" w:hAnsi="Times New Roman" w:eastAsia="仿宋_GB2312" w:cs="Times New Roman"/>
          <w:b w:val="0"/>
          <w:bCs w:val="0"/>
          <w:snapToGrid w:val="0"/>
          <w:color w:val="auto"/>
          <w:kern w:val="0"/>
          <w:sz w:val="32"/>
          <w:szCs w:val="32"/>
          <w:highlight w:val="none"/>
          <w:lang w:val="en-US" w:eastAsia="zh-CN"/>
        </w:rPr>
        <w:t>建设单位：三亚悦麓开发有限公司（以下简称：三亚悦麓）；</w:t>
      </w:r>
    </w:p>
    <w:p w14:paraId="3B48901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snapToGrid w:val="0"/>
          <w:color w:val="auto"/>
          <w:kern w:val="0"/>
          <w:sz w:val="32"/>
          <w:szCs w:val="32"/>
          <w:highlight w:val="none"/>
          <w:lang w:val="en-US" w:eastAsia="zh-CN"/>
        </w:rPr>
      </w:pPr>
      <w:r>
        <w:rPr>
          <w:rFonts w:hint="default" w:ascii="Times New Roman" w:hAnsi="Times New Roman" w:eastAsia="仿宋_GB2312" w:cs="Times New Roman"/>
          <w:b w:val="0"/>
          <w:bCs w:val="0"/>
          <w:snapToGrid w:val="0"/>
          <w:color w:val="auto"/>
          <w:kern w:val="0"/>
          <w:sz w:val="32"/>
          <w:szCs w:val="32"/>
          <w:highlight w:val="none"/>
          <w:lang w:val="en-US" w:eastAsia="zh-CN"/>
        </w:rPr>
        <w:t>主体工程施工单位：中国建筑第六工程局有限公司（以下简称：中建六局）；</w:t>
      </w:r>
    </w:p>
    <w:p w14:paraId="435D67E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snapToGrid w:val="0"/>
          <w:color w:val="auto"/>
          <w:kern w:val="0"/>
          <w:sz w:val="32"/>
          <w:szCs w:val="32"/>
          <w:highlight w:val="none"/>
          <w:lang w:val="en-US" w:eastAsia="zh-CN"/>
        </w:rPr>
      </w:pPr>
      <w:r>
        <w:rPr>
          <w:rFonts w:hint="default" w:ascii="Times New Roman" w:hAnsi="Times New Roman" w:eastAsia="仿宋_GB2312" w:cs="Times New Roman"/>
          <w:b w:val="0"/>
          <w:bCs w:val="0"/>
          <w:snapToGrid w:val="0"/>
          <w:color w:val="auto"/>
          <w:kern w:val="0"/>
          <w:sz w:val="32"/>
          <w:szCs w:val="32"/>
          <w:highlight w:val="none"/>
          <w:lang w:val="en-US" w:eastAsia="zh-CN"/>
        </w:rPr>
        <w:t>主体施工劳务分包单位：海南实创建筑劳务有限公司（以下简称：海南实创）；</w:t>
      </w:r>
    </w:p>
    <w:p w14:paraId="60453D4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snapToGrid w:val="0"/>
          <w:color w:val="auto"/>
          <w:kern w:val="0"/>
          <w:sz w:val="32"/>
          <w:szCs w:val="32"/>
          <w:highlight w:val="none"/>
          <w:lang w:val="en-US" w:eastAsia="zh-CN"/>
        </w:rPr>
      </w:pPr>
      <w:r>
        <w:rPr>
          <w:rFonts w:hint="default" w:ascii="Times New Roman" w:hAnsi="Times New Roman" w:eastAsia="仿宋_GB2312" w:cs="Times New Roman"/>
          <w:b w:val="0"/>
          <w:bCs w:val="0"/>
          <w:snapToGrid w:val="0"/>
          <w:color w:val="auto"/>
          <w:kern w:val="0"/>
          <w:sz w:val="32"/>
          <w:szCs w:val="32"/>
          <w:highlight w:val="none"/>
          <w:lang w:val="en-US" w:eastAsia="zh-CN"/>
        </w:rPr>
        <w:t>涉事项目一标段外立面门窗安装专业分包单位：中国建筑装饰集团有限公司（以下简称：中建装饰）；</w:t>
      </w:r>
    </w:p>
    <w:p w14:paraId="6BF23EC7">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snapToGrid w:val="0"/>
          <w:color w:val="auto"/>
          <w:kern w:val="0"/>
          <w:sz w:val="32"/>
          <w:szCs w:val="32"/>
          <w:highlight w:val="none"/>
          <w:lang w:val="en-US" w:eastAsia="zh-CN"/>
        </w:rPr>
      </w:pPr>
      <w:r>
        <w:rPr>
          <w:rFonts w:hint="default" w:ascii="Times New Roman" w:hAnsi="Times New Roman" w:eastAsia="仿宋_GB2312" w:cs="Times New Roman"/>
          <w:b w:val="0"/>
          <w:bCs w:val="0"/>
          <w:snapToGrid w:val="0"/>
          <w:color w:val="auto"/>
          <w:kern w:val="0"/>
          <w:sz w:val="32"/>
          <w:szCs w:val="32"/>
          <w:highlight w:val="none"/>
          <w:lang w:val="en-US" w:eastAsia="zh-CN"/>
        </w:rPr>
        <w:t>监理单位：浙江天成项目管理有限公司（以下简称：浙江天成）；</w:t>
      </w:r>
    </w:p>
    <w:p w14:paraId="266082C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snapToGrid w:val="0"/>
          <w:color w:val="auto"/>
          <w:kern w:val="0"/>
          <w:sz w:val="32"/>
          <w:szCs w:val="32"/>
          <w:highlight w:val="none"/>
          <w:lang w:val="en-US" w:eastAsia="zh-CN"/>
        </w:rPr>
      </w:pPr>
      <w:r>
        <w:rPr>
          <w:rFonts w:hint="default" w:ascii="Times New Roman" w:hAnsi="Times New Roman" w:eastAsia="仿宋_GB2312" w:cs="Times New Roman"/>
          <w:b w:val="0"/>
          <w:bCs w:val="0"/>
          <w:snapToGrid w:val="0"/>
          <w:color w:val="auto"/>
          <w:kern w:val="0"/>
          <w:sz w:val="32"/>
          <w:szCs w:val="32"/>
          <w:highlight w:val="none"/>
          <w:lang w:val="en-US" w:eastAsia="zh-CN"/>
        </w:rPr>
        <w:t>一标段外立面门窗安装劳务分包单位：</w:t>
      </w:r>
      <w:r>
        <w:rPr>
          <w:rFonts w:hint="default" w:ascii="Times New Roman" w:hAnsi="Times New Roman" w:eastAsia="仿宋_GB2312" w:cs="Times New Roman"/>
          <w:b w:val="0"/>
          <w:bCs w:val="0"/>
          <w:color w:val="auto"/>
          <w:kern w:val="0"/>
          <w:sz w:val="32"/>
          <w:szCs w:val="32"/>
          <w:highlight w:val="none"/>
          <w:lang w:val="en-US" w:eastAsia="zh-CN"/>
        </w:rPr>
        <w:t>中诺（海南）建设工程有限公司</w:t>
      </w:r>
      <w:r>
        <w:rPr>
          <w:rFonts w:hint="eastAsia" w:ascii="Times New Roman" w:hAnsi="Times New Roman" w:eastAsia="仿宋_GB2312" w:cs="Times New Roman"/>
          <w:b w:val="0"/>
          <w:bCs w:val="0"/>
          <w:snapToGrid w:val="0"/>
          <w:color w:val="auto"/>
          <w:kern w:val="0"/>
          <w:sz w:val="32"/>
          <w:szCs w:val="32"/>
          <w:highlight w:val="none"/>
          <w:lang w:val="en-US" w:eastAsia="zh-CN"/>
        </w:rPr>
        <w:t>（</w:t>
      </w:r>
      <w:r>
        <w:rPr>
          <w:rFonts w:hint="default" w:ascii="Times New Roman" w:hAnsi="Times New Roman" w:eastAsia="仿宋_GB2312" w:cs="Times New Roman"/>
          <w:b w:val="0"/>
          <w:bCs w:val="0"/>
          <w:snapToGrid w:val="0"/>
          <w:color w:val="auto"/>
          <w:kern w:val="0"/>
          <w:sz w:val="32"/>
          <w:szCs w:val="32"/>
          <w:highlight w:val="none"/>
          <w:lang w:val="en-US" w:eastAsia="zh-CN"/>
        </w:rPr>
        <w:t>以下简称：</w:t>
      </w:r>
      <w:r>
        <w:rPr>
          <w:rFonts w:hint="default" w:ascii="Times New Roman" w:hAnsi="Times New Roman" w:eastAsia="仿宋_GB2312" w:cs="Times New Roman"/>
          <w:snapToGrid w:val="0"/>
          <w:color w:val="auto"/>
          <w:kern w:val="0"/>
          <w:sz w:val="32"/>
          <w:szCs w:val="32"/>
          <w:highlight w:val="none"/>
        </w:rPr>
        <w:t>中诺建工</w:t>
      </w:r>
      <w:r>
        <w:rPr>
          <w:rFonts w:hint="eastAsia" w:ascii="Times New Roman" w:hAnsi="Times New Roman" w:eastAsia="仿宋_GB2312" w:cs="Times New Roman"/>
          <w:b w:val="0"/>
          <w:bCs w:val="0"/>
          <w:snapToGrid w:val="0"/>
          <w:color w:val="auto"/>
          <w:kern w:val="0"/>
          <w:sz w:val="32"/>
          <w:szCs w:val="32"/>
          <w:highlight w:val="none"/>
          <w:lang w:val="en-US" w:eastAsia="zh-CN"/>
        </w:rPr>
        <w:t>）</w:t>
      </w:r>
      <w:r>
        <w:rPr>
          <w:rFonts w:hint="default" w:ascii="Times New Roman" w:hAnsi="Times New Roman" w:eastAsia="仿宋_GB2312" w:cs="Times New Roman"/>
          <w:b w:val="0"/>
          <w:bCs w:val="0"/>
          <w:snapToGrid w:val="0"/>
          <w:color w:val="auto"/>
          <w:kern w:val="0"/>
          <w:sz w:val="32"/>
          <w:szCs w:val="32"/>
          <w:highlight w:val="none"/>
          <w:lang w:val="en-US" w:eastAsia="zh-CN"/>
        </w:rPr>
        <w:t>；</w:t>
      </w:r>
    </w:p>
    <w:p w14:paraId="03FBD4E2">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snapToGrid w:val="0"/>
          <w:color w:val="auto"/>
          <w:kern w:val="0"/>
          <w:sz w:val="32"/>
          <w:szCs w:val="32"/>
          <w:highlight w:val="none"/>
          <w:lang w:val="en-US" w:eastAsia="zh-CN"/>
        </w:rPr>
      </w:pPr>
      <w:r>
        <w:rPr>
          <w:rFonts w:hint="default" w:ascii="Times New Roman" w:hAnsi="Times New Roman" w:eastAsia="仿宋_GB2312" w:cs="Times New Roman"/>
          <w:b w:val="0"/>
          <w:bCs w:val="0"/>
          <w:snapToGrid w:val="0"/>
          <w:color w:val="auto"/>
          <w:kern w:val="0"/>
          <w:sz w:val="32"/>
          <w:szCs w:val="32"/>
          <w:highlight w:val="none"/>
          <w:lang w:val="en-US" w:eastAsia="zh-CN"/>
        </w:rPr>
        <w:t>一标段吊篮租赁及维保单位：海南嘉鑫工程设备租赁有限公司（以下简称：嘉鑫租赁）。</w:t>
      </w:r>
    </w:p>
    <w:p w14:paraId="410CFA1D">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snapToGrid w:val="0"/>
          <w:color w:val="auto"/>
          <w:kern w:val="0"/>
          <w:sz w:val="32"/>
          <w:szCs w:val="32"/>
          <w:highlight w:val="none"/>
          <w:lang w:val="en-US" w:eastAsia="zh-CN"/>
        </w:rPr>
        <w:t>2</w:t>
      </w:r>
      <w:r>
        <w:rPr>
          <w:rFonts w:hint="default" w:ascii="Times New Roman" w:hAnsi="Times New Roman" w:eastAsia="仿宋_GB2312" w:cs="Times New Roman"/>
          <w:b/>
          <w:bCs/>
          <w:color w:val="auto"/>
          <w:kern w:val="0"/>
          <w:sz w:val="32"/>
          <w:szCs w:val="32"/>
          <w:highlight w:val="none"/>
          <w:lang w:val="en-US" w:eastAsia="zh-CN"/>
        </w:rPr>
        <w:t xml:space="preserve">. </w:t>
      </w:r>
      <w:r>
        <w:rPr>
          <w:rFonts w:hint="default" w:ascii="Times New Roman" w:hAnsi="Times New Roman" w:eastAsia="仿宋_GB2312" w:cs="Times New Roman"/>
          <w:b/>
          <w:bCs/>
          <w:snapToGrid w:val="0"/>
          <w:color w:val="auto"/>
          <w:kern w:val="0"/>
          <w:sz w:val="32"/>
          <w:szCs w:val="32"/>
          <w:highlight w:val="none"/>
          <w:lang w:val="en-US" w:eastAsia="zh-CN"/>
        </w:rPr>
        <w:t>事故相关各单位概况</w:t>
      </w:r>
    </w:p>
    <w:p w14:paraId="7D5AB60E">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（1）中诺（海南）建设工程有限公司：事故发生单位</w:t>
      </w:r>
    </w:p>
    <w:p w14:paraId="204A651B">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中诺（海南）建设工程有限公司，2026年1月8日成立；统一社会信用代码：91460000MAK4</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。企业类型：有限责任公司（自然人投资或控股）；法定代表人：张</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；注册地址：海南省三亚市天涯区胜利路91号海湾商务大厦16楼1615室。其经营范围包括建筑劳务分包、建设工程施工等许可经营项目。具备建筑业施工劳务（不分等级）资质证书（证书编号：D34607</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w:t>
      </w:r>
    </w:p>
    <w:p w14:paraId="20DC315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中诺建工承接涉事项目一标段外立面门窗安装劳务作业，负责承包范围内的木工、瓦工、焊工、安装工等工种施工作业，包括安排作业人员、分配吊篮作业点位、开展班前派工等。死者向</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（身份证号码：500234</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1296。户籍地址：重庆市开州区）系该公司劳务作业人员，于2026年4月7日入职中诺建工，双方签订建筑工人简易劳动合同，合同截止日为三亚迎宾路幕墙安装工作完成日。</w:t>
      </w:r>
    </w:p>
    <w:p w14:paraId="789E999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snapToGrid w:val="0"/>
          <w:color w:val="auto"/>
          <w:kern w:val="0"/>
          <w:sz w:val="32"/>
          <w:szCs w:val="32"/>
          <w:highlight w:val="none"/>
          <w:lang w:val="en-US" w:eastAsia="zh-CN"/>
        </w:rPr>
      </w:pPr>
      <w:r>
        <w:rPr>
          <w:rFonts w:hint="default" w:ascii="Times New Roman" w:hAnsi="Times New Roman" w:eastAsia="仿宋_GB2312" w:cs="Times New Roman"/>
          <w:b w:val="0"/>
          <w:bCs w:val="0"/>
          <w:snapToGrid w:val="0"/>
          <w:color w:val="auto"/>
          <w:kern w:val="0"/>
          <w:sz w:val="32"/>
          <w:szCs w:val="32"/>
          <w:highlight w:val="none"/>
          <w:lang w:val="en-US" w:eastAsia="zh-CN"/>
        </w:rPr>
        <w:t>（2）浙江天成项目管理有限公司：监理单位</w:t>
      </w:r>
    </w:p>
    <w:p w14:paraId="7CE9869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浙江天成项目管理有限公司，成立于2002年12月19日；类型：其他有限责任公司；统一社会信用代码：913301057458</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；该公司对外投资1家公司，具有47处分支机构；注册地：浙江省杭州市拱墅区；注册资本：2010万元；法定代表人：胡</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。经营范围包括建设工程监理等许可项目。具备工程监理综合资质（证书编号：E133001027</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），可承担所有专业工程类别建设工程项目的工程监理业务。</w:t>
      </w:r>
    </w:p>
    <w:p w14:paraId="5E1407A9">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浙江天成为本项目监理单位，涉事项目配备项目负责人及总监理工程师 1 人，一标段配备监理员 2 名，负责一标段施工现场高处作业、吊篮设备、临时用电、隐患闭环等安全监理巡查工作。</w:t>
      </w:r>
    </w:p>
    <w:p w14:paraId="5E0F1CD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snapToGrid w:val="0"/>
          <w:color w:val="auto"/>
          <w:kern w:val="0"/>
          <w:sz w:val="32"/>
          <w:szCs w:val="32"/>
          <w:highlight w:val="none"/>
          <w:lang w:val="en-US" w:eastAsia="zh-CN"/>
        </w:rPr>
      </w:pPr>
      <w:r>
        <w:rPr>
          <w:rFonts w:hint="default" w:ascii="Times New Roman" w:hAnsi="Times New Roman" w:eastAsia="仿宋_GB2312" w:cs="Times New Roman"/>
          <w:b w:val="0"/>
          <w:bCs w:val="0"/>
          <w:snapToGrid w:val="0"/>
          <w:color w:val="auto"/>
          <w:kern w:val="0"/>
          <w:sz w:val="32"/>
          <w:szCs w:val="32"/>
          <w:highlight w:val="none"/>
          <w:lang w:val="en-US" w:eastAsia="zh-CN"/>
        </w:rPr>
        <w:t>（3）中国建筑装饰集团有限公司：一标段外立面门窗安装专业分包单位</w:t>
      </w:r>
    </w:p>
    <w:p w14:paraId="58096B7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中国建筑装饰集团有限公司，成立于2010年9月27日；类型：其他有限责任公司；法定代表人：袁</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；注册资本：100000万元；统一社会信用代码：911101081000</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；注册地址：北京市大兴区。经营范围包括建筑幕墙、幕墙及门窗产品的加工与出口等在内的业务。具备建筑装修装饰工程专业承包壹级、建筑幕墙工程专业承包壹级等建筑业企业资质证书，证书编号：D211</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。中建装饰于2025年11月18日为其公司劳务作业人员购买建筑工程施工人员团体意外伤害保险（保单号：208010206132025</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w:t>
      </w:r>
    </w:p>
    <w:p w14:paraId="1E5A10F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中建装饰承接项目一标段1#楼外立面门窗安装工程，之后将相关劳务作业分包给劳务分包公司中诺建工，双方签订《劳务分包合同》，在合同约定由中诺建工负责项目一标段范围内的木工、瓦工、焊工、安装工等工种施工作业，包括现场人员派工、吊篮使用、临时用电、班前安全交底、隐患告知等在内的全流程安全管理。</w:t>
      </w:r>
    </w:p>
    <w:p w14:paraId="7049D6A9">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snapToGrid w:val="0"/>
          <w:color w:val="auto"/>
          <w:kern w:val="0"/>
          <w:sz w:val="32"/>
          <w:szCs w:val="32"/>
          <w:highlight w:val="none"/>
          <w:lang w:val="en-US" w:eastAsia="zh-CN"/>
        </w:rPr>
      </w:pPr>
      <w:r>
        <w:rPr>
          <w:rFonts w:hint="default" w:ascii="Times New Roman" w:hAnsi="Times New Roman" w:eastAsia="仿宋_GB2312" w:cs="Times New Roman"/>
          <w:b w:val="0"/>
          <w:bCs w:val="0"/>
          <w:snapToGrid w:val="0"/>
          <w:color w:val="auto"/>
          <w:kern w:val="0"/>
          <w:sz w:val="32"/>
          <w:szCs w:val="32"/>
          <w:highlight w:val="none"/>
          <w:lang w:val="en-US" w:eastAsia="zh-CN"/>
        </w:rPr>
        <w:t>（4）海南嘉鑫工程设备租赁有限公司：一标段吊篮租赁维保单位</w:t>
      </w:r>
    </w:p>
    <w:p w14:paraId="2EF5AC2D">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海南嘉鑫工程设备租赁有限公司，公司成立于2021年07月05日；统一社会信用代码：91460000MA5U</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；类型：有限责任公司（自然人投资或控股）；法定代表人：孙</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注册资本：200万元；注册地：海南省三亚市天涯区。经营范围包括建筑工程机械与设备租赁；机械设备租赁；运输设备租赁服务；普通机械设备安装服务；特种设备出租（除许可业务外，可自主依法经营法律法规非禁止或限制的项目）等一般项目。</w:t>
      </w:r>
    </w:p>
    <w:p w14:paraId="48E227B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嘉鑫租赁与项目一标段外立面门窗安装专业分包单位中建装饰签订吊篮租赁合同，负责向项目一标段出租吊篮并进行吊篮的日常检修、故障报修、配件更换，通过吊篮工作协调微信群，同步报送设备故障、维修保养计划。</w:t>
      </w:r>
    </w:p>
    <w:p w14:paraId="426EE61C">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snapToGrid w:val="0"/>
          <w:color w:val="auto"/>
          <w:kern w:val="0"/>
          <w:sz w:val="32"/>
          <w:szCs w:val="32"/>
          <w:highlight w:val="none"/>
          <w:lang w:val="en-US" w:eastAsia="zh-CN"/>
        </w:rPr>
      </w:pPr>
      <w:r>
        <w:rPr>
          <w:rFonts w:hint="default" w:ascii="Times New Roman" w:hAnsi="Times New Roman" w:eastAsia="仿宋_GB2312" w:cs="Times New Roman"/>
          <w:b w:val="0"/>
          <w:bCs w:val="0"/>
          <w:snapToGrid w:val="0"/>
          <w:color w:val="auto"/>
          <w:kern w:val="0"/>
          <w:sz w:val="32"/>
          <w:szCs w:val="32"/>
          <w:highlight w:val="none"/>
          <w:lang w:val="en-US" w:eastAsia="zh-CN"/>
        </w:rPr>
        <w:t>（5）海南实创建筑劳务有限公司：主体工程劳务分包单位</w:t>
      </w:r>
    </w:p>
    <w:p w14:paraId="311ACF49">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海南实创建筑劳务有限公司，成立于2017年07月10日；统一社会信用代码：91460100MA5R</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；类型：有限责任公司（自然人投资或控股）；法定代表人：石</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；注册资本：2,000万元；注册地址：海南省海口市美兰区。经营范围包括国内劳务分包等许可经营项目。具备建筑业施工劳务（不分等级）资质证书（证书编号：D346</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w:t>
      </w:r>
    </w:p>
    <w:p w14:paraId="06B8B09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海南实创与项目主体施工单位</w:t>
      </w:r>
      <w:r>
        <w:rPr>
          <w:rFonts w:hint="eastAsia" w:ascii="Times New Roman" w:hAnsi="Times New Roman" w:eastAsia="仿宋_GB2312" w:cs="Times New Roman"/>
          <w:b w:val="0"/>
          <w:bCs w:val="0"/>
          <w:color w:val="auto"/>
          <w:kern w:val="0"/>
          <w:sz w:val="32"/>
          <w:szCs w:val="32"/>
          <w:highlight w:val="none"/>
          <w:lang w:val="en-US" w:eastAsia="zh-CN"/>
        </w:rPr>
        <w:t>签</w:t>
      </w:r>
      <w:r>
        <w:rPr>
          <w:rFonts w:hint="default" w:ascii="Times New Roman" w:hAnsi="Times New Roman" w:eastAsia="仿宋_GB2312" w:cs="Times New Roman"/>
          <w:b w:val="0"/>
          <w:bCs w:val="0"/>
          <w:color w:val="auto"/>
          <w:kern w:val="0"/>
          <w:sz w:val="32"/>
          <w:szCs w:val="32"/>
          <w:highlight w:val="none"/>
          <w:lang w:val="en-US" w:eastAsia="zh-CN"/>
        </w:rPr>
        <w:t>订项目主体施工劳务分包合同。事故发生时，海南实创自身劳务作业任务已经完工，因在同一项目工地进行劳务作业，留少数劳务作业人员配合中诺建工完成建筑外立面剔凿辅助工作，其劳务作业人员听从中诺建工班组长统一安排，无独立作业调度、设备管理权限。</w:t>
      </w:r>
    </w:p>
    <w:p w14:paraId="496CFF8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snapToGrid w:val="0"/>
          <w:color w:val="auto"/>
          <w:kern w:val="0"/>
          <w:sz w:val="32"/>
          <w:szCs w:val="32"/>
          <w:highlight w:val="none"/>
          <w:lang w:val="en-US" w:eastAsia="zh-CN"/>
        </w:rPr>
      </w:pPr>
      <w:r>
        <w:rPr>
          <w:rFonts w:hint="default" w:ascii="Times New Roman" w:hAnsi="Times New Roman" w:eastAsia="仿宋_GB2312" w:cs="Times New Roman"/>
          <w:b w:val="0"/>
          <w:bCs w:val="0"/>
          <w:snapToGrid w:val="0"/>
          <w:color w:val="auto"/>
          <w:kern w:val="0"/>
          <w:sz w:val="32"/>
          <w:szCs w:val="32"/>
          <w:highlight w:val="none"/>
          <w:lang w:val="en-US" w:eastAsia="zh-CN"/>
        </w:rPr>
        <w:t>（6）中国建筑第六工程局有限公司：主体工程施工单位</w:t>
      </w:r>
    </w:p>
    <w:p w14:paraId="349F289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中国建筑第六工程局有限公司，成立于1987年04月27日；统一社会信用代码：911201161030</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；该公司为国务院国有资产控股企业；类型：有限责任公司（法人独资）；法定代表人：王</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；注册资本：627794.6464万元；注册地址：天津市滨海新区。经营范围包括建筑工程设计、施工、机电设备安装、装饰和技术咨询等。具备房屋建筑工程总承包特级资质，证书编号：D112</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w:t>
      </w:r>
    </w:p>
    <w:p w14:paraId="6228C68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中建六局负责项目主体结构施工。主体工程完工后，完成工作面书面移交，移交给幕墙施工单位中建装饰，移交后幕墙吊篮、幕墙剔凿作业、幕墙劳务人员、临时用电等幕墙施工管理均由幕墙专业分包单位统一管理。</w:t>
      </w:r>
    </w:p>
    <w:p w14:paraId="6DE1EA3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snapToGrid w:val="0"/>
          <w:color w:val="auto"/>
          <w:kern w:val="0"/>
          <w:sz w:val="32"/>
          <w:szCs w:val="32"/>
          <w:highlight w:val="none"/>
          <w:lang w:val="en-US" w:eastAsia="zh-CN"/>
        </w:rPr>
      </w:pPr>
      <w:r>
        <w:rPr>
          <w:rFonts w:hint="default" w:ascii="Times New Roman" w:hAnsi="Times New Roman" w:eastAsia="仿宋_GB2312" w:cs="Times New Roman"/>
          <w:b w:val="0"/>
          <w:bCs w:val="0"/>
          <w:snapToGrid w:val="0"/>
          <w:color w:val="auto"/>
          <w:kern w:val="0"/>
          <w:sz w:val="32"/>
          <w:szCs w:val="32"/>
          <w:highlight w:val="none"/>
          <w:lang w:val="en-US" w:eastAsia="zh-CN"/>
        </w:rPr>
        <w:t>（7）三亚悦麓开发有限公司：建设单位</w:t>
      </w:r>
    </w:p>
    <w:p w14:paraId="1591F6A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三亚悦麓开发有限公司，成立于2024年11月05日；统一社会信用代码：91460000MAE4</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；经济性质：有限责任公司（港澳台投资、非独资）；法定代表人：康</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；注册资本：76923.0769万元。经营范围包括房地产开发经营等许可经营项目。具备房地产开发企业二级资质证书，证书编号：房46020</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w:t>
      </w:r>
    </w:p>
    <w:p w14:paraId="776069BB">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default" w:ascii="Times New Roman" w:hAnsi="Times New Roman" w:eastAsia="仿宋_GB2312" w:cs="Times New Roman"/>
          <w:b w:val="0"/>
          <w:bCs/>
          <w:snapToGrid/>
          <w:color w:val="auto"/>
          <w:kern w:val="2"/>
          <w:szCs w:val="24"/>
          <w:highlight w:val="none"/>
          <w:lang w:val="en-US" w:eastAsia="zh-CN" w:bidi="ar-SA"/>
        </w:rPr>
      </w:pPr>
      <w:bookmarkStart w:id="4" w:name="_Toc26823"/>
      <w:r>
        <w:rPr>
          <w:rStyle w:val="15"/>
          <w:rFonts w:hint="default" w:ascii="Times New Roman" w:hAnsi="Times New Roman" w:eastAsia="仿宋_GB2312" w:cs="Times New Roman"/>
          <w:b w:val="0"/>
          <w:bCs/>
          <w:snapToGrid/>
          <w:color w:val="auto"/>
          <w:kern w:val="2"/>
          <w:szCs w:val="24"/>
          <w:highlight w:val="none"/>
          <w:lang w:val="en-US" w:eastAsia="zh-CN" w:bidi="ar-SA"/>
        </w:rPr>
        <w:t>（三）相关单位合同关系</w:t>
      </w:r>
      <w:bookmarkEnd w:id="4"/>
    </w:p>
    <w:p w14:paraId="412C3C5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建设单位三亚悦麓分别与施工单位中建六局签订项目主体施工合同、与施工单位中建六局及专业分包单位中建装饰签订一标段外立面门窗安装专业分包合同、与监理单位浙江天成签订监理合同。之后，主体工程施工单位中建六局与劳务分包单位海南实创签订主体施工劳务分包合同；专业分包单位中建装饰与劳务分包单位中诺建工签订一标段外立面门窗安装劳务分包合同；专业分包单位中建装饰与吊篮租赁单位嘉鑫租赁签订吊篮租赁合同。</w:t>
      </w:r>
    </w:p>
    <w:p w14:paraId="112D3079">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5" w:name="_Toc17167"/>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（四）事故发生单位安全管理情况</w:t>
      </w:r>
      <w:bookmarkEnd w:id="5"/>
    </w:p>
    <w:p w14:paraId="377303E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中诺建工作为涉事1#楼外立面门窗安装工程的施工现场、人员、设备、临时用电及安全技术交底等直接管理实施单位，其安全管理存在多项漏洞：现场管理方面，未建立因故障停用吊篮现场安全风险防控机制，在获知吊篮电缆损坏后，未在施工现场对</w:t>
      </w:r>
      <w:r>
        <w:rPr>
          <w:rFonts w:hint="eastAsia" w:ascii="Times New Roman" w:hAnsi="Times New Roman" w:eastAsia="仿宋_GB2312" w:cs="Times New Roman"/>
          <w:b w:val="0"/>
          <w:bCs w:val="0"/>
          <w:color w:val="auto"/>
          <w:kern w:val="0"/>
          <w:sz w:val="32"/>
          <w:szCs w:val="32"/>
          <w:highlight w:val="none"/>
          <w:lang w:val="en-US" w:eastAsia="zh-CN"/>
        </w:rPr>
        <w:t>其</w:t>
      </w:r>
      <w:r>
        <w:rPr>
          <w:rFonts w:hint="default" w:ascii="Times New Roman" w:hAnsi="Times New Roman" w:eastAsia="仿宋_GB2312" w:cs="Times New Roman"/>
          <w:b w:val="0"/>
          <w:bCs w:val="0"/>
          <w:color w:val="auto"/>
          <w:kern w:val="0"/>
          <w:sz w:val="32"/>
          <w:szCs w:val="32"/>
          <w:highlight w:val="none"/>
          <w:lang w:val="en-US" w:eastAsia="zh-CN"/>
        </w:rPr>
        <w:t>采取隔离、警示等风险防控措施，致使作业人员可以进入故障吊篮进行作业；人员管理方面，未对吊篮作业人员开展临时用电专项安全教育，班前派工未告知吊篮作业人员作业现场故障吊篮存在的安全隐患；设备管理方面，未核实故障吊篮的维修时限，未对故障吊篮实施有效封控措施；临时用电管理上，未严格落实配电箱等常态化管控及临时用电报批制度，致使出现劳务作业人员未经报备许可擅自接驳断损电缆线的情形；安全技术交底方面，未针对性告知故障吊篮作业风险及严禁违规搭接电缆等关键安全要求。</w:t>
      </w:r>
    </w:p>
    <w:p w14:paraId="1A14A46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6" w:name="_Toc3217"/>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（五）事故发生经过</w:t>
      </w:r>
      <w:bookmarkEnd w:id="6"/>
    </w:p>
    <w:p w14:paraId="112316E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2026年6月17日15:42分：中建装饰项目经理殷</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通过微信确认，项目1#楼南侧19～25层外立面窗框剔凿作业未完成，协调安排人员进场开展窗框基层剔凿整改作业。</w:t>
      </w:r>
    </w:p>
    <w:p w14:paraId="34D942AD">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2026年6月21日14:11分：中建装饰窗框班组带班张</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通过微信联系海南实创班组长李</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，协商请其班组额外开展一天外立面窗框剔凿作业，李</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回复待确认后答复。</w:t>
      </w:r>
    </w:p>
    <w:p w14:paraId="71E0495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2026年6月21日16:05分：中建装饰生产经理王</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通过微信反馈剔凿作业进度滞后，仅施工 2 天未完成既定工作量。现场核查发现，前期窗框已安装到位，无法直接剔凿，需拆卸窗框后方可开展基层剔凿作业。随后相关人员对接海南实创劳务班组长李</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，并将李</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联系方式推送至王</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，由王</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直接对接后续施工安排。</w:t>
      </w:r>
    </w:p>
    <w:p w14:paraId="39BF72F7">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2026年6月22日：项目监理单位现场开展安全巡查，发现1#楼142#吊篮存在电缆线老化、破皮未及时更换的问题，并记录在当日安全巡查记录中，下达监理通知单，要求设备停用整改、复检合格后方可使用。</w:t>
      </w:r>
    </w:p>
    <w:p w14:paraId="50733BD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2026年6月22日16:20分：现场外立面幕墙班组以约定的微信方式在“中央商务区一标项目吊篮工作群”报备142#吊篮存在无电故障，吊篮维保人员电工马</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到场核查，确认吊篮故障原因为电缆烧毁，当场拍摄故障照片并上传到吊篮微信工作群，明确告知各施工班组：142#吊篮电缆烧毁需更换，设备禁止使用，</w:t>
      </w:r>
      <w:r>
        <w:rPr>
          <w:rFonts w:hint="eastAsia" w:ascii="Times New Roman" w:hAnsi="Times New Roman" w:eastAsia="仿宋_GB2312" w:cs="Times New Roman"/>
          <w:b w:val="0"/>
          <w:bCs w:val="0"/>
          <w:color w:val="auto"/>
          <w:kern w:val="0"/>
          <w:sz w:val="32"/>
          <w:szCs w:val="32"/>
          <w:highlight w:val="none"/>
          <w:lang w:val="en-US" w:eastAsia="zh-CN"/>
        </w:rPr>
        <w:t>该</w:t>
      </w:r>
      <w:r>
        <w:rPr>
          <w:rFonts w:hint="default" w:ascii="Times New Roman" w:hAnsi="Times New Roman" w:eastAsia="仿宋_GB2312" w:cs="Times New Roman"/>
          <w:b w:val="0"/>
          <w:bCs w:val="0"/>
          <w:color w:val="auto"/>
          <w:kern w:val="0"/>
          <w:sz w:val="32"/>
          <w:szCs w:val="32"/>
          <w:highlight w:val="none"/>
          <w:lang w:val="en-US" w:eastAsia="zh-CN"/>
        </w:rPr>
        <w:t>吊篮电缆已经拆除并抽离烧毁的旧电缆至15楼。因当日班组报备吊篮故障时间较晚、库房距离较远，现场无备用电缆，维保单位计划于次日（2026年6月23日）一早前往库房领取新电缆后到场更换。</w:t>
      </w:r>
    </w:p>
    <w:p w14:paraId="6FDF7F0C">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2026年6月22日21:10分：中诺建工班组长田</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在班组工作群发布6月23日施工作业安排，指派死者向</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负责包含142#故障吊篮点位在内的四处墙面剔凿拆除作业，未同步向作业人员告知 142</w:t>
      </w:r>
      <w:r>
        <w:rPr>
          <w:rFonts w:hint="default" w:ascii="Times New Roman" w:hAnsi="Times New Roman" w:eastAsia="仿宋_GB2312" w:cs="Times New Roman"/>
          <w:b w:val="0"/>
          <w:bCs w:val="0"/>
          <w:color w:val="auto"/>
          <w:kern w:val="0"/>
          <w:sz w:val="32"/>
          <w:szCs w:val="32"/>
          <w:highlight w:val="none"/>
          <w:lang w:eastAsia="zh-CN"/>
        </w:rPr>
        <w:t>#</w:t>
      </w:r>
      <w:r>
        <w:rPr>
          <w:rFonts w:hint="default" w:ascii="Times New Roman" w:hAnsi="Times New Roman" w:eastAsia="仿宋_GB2312" w:cs="Times New Roman"/>
          <w:b w:val="0"/>
          <w:bCs w:val="0"/>
          <w:color w:val="auto"/>
          <w:kern w:val="0"/>
          <w:sz w:val="32"/>
          <w:szCs w:val="32"/>
          <w:highlight w:val="none"/>
          <w:lang w:val="en-US" w:eastAsia="zh-CN"/>
        </w:rPr>
        <w:t xml:space="preserve"> 吊篮存在已报备故障、电缆抽离、禁止使用的安全隐患，未落实班前安全风险交底及作业管控措施。</w:t>
      </w:r>
    </w:p>
    <w:p w14:paraId="5385DA6C">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2026年6月23日：海南实创作业人员熊</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受其班组长李</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安排配合中诺建工开展外立面剔凿作业。</w:t>
      </w:r>
    </w:p>
    <w:p w14:paraId="762A2B12">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2026年6月23日7:00分许：海南实创作业人员熊</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先行抵达142#吊篮，对吊篮进行检查后发现该吊篮无供电电缆、无法正常启用，随即告知后续到场的中诺建工作业人员向</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w:t>
      </w:r>
    </w:p>
    <w:p w14:paraId="44915CCC">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2026年6月23日7:05分许：向</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现场查看后，擅自挪用现场拐角另一侧正常在用的97#吊篮的供电电缆，拆卸完97#吊篮的电缆接电插口后，向</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将97#吊篮的电缆接电插口插至处于整改停用状态的142#吊篮用电端口，插接完成后，启动142#吊篮升空作业。因熊</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为临时借用的配合作业人员，对向</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挪用电缆线的行为未参与也未阻止。</w:t>
      </w:r>
    </w:p>
    <w:p w14:paraId="22343B05">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2026年6月23日7</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20分许：142#吊篮上升至12层墙体拐角处时，从 97# 吊篮搭接过来的电缆受墙体挤压、拉扯发生断裂，断裂的电缆脱落至吊篮外侧并坠地。随后向</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联系其工友，通过吊篮安全绳将断裂电缆传送至停滞在12层的142#吊篮中。</w:t>
      </w:r>
    </w:p>
    <w:p w14:paraId="35C254D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2026年6月23日7:23分许：向</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在未取得电工特种作业资质、未确保142#吊篮电缆处于非供电状态、未做任何绝缘防护的情况下，徒手对接破损电缆，接线过程中突然触电遭受电击倒地。</w:t>
      </w:r>
    </w:p>
    <w:p w14:paraId="66C3BC5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2026年6月23日7:23分许：事故发生后，现场另一名作业工人熊</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第一时间通</w:t>
      </w:r>
      <w:r>
        <w:rPr>
          <w:rFonts w:hint="eastAsia" w:ascii="Times New Roman" w:hAnsi="Times New Roman" w:eastAsia="仿宋_GB2312" w:cs="Times New Roman"/>
          <w:b w:val="0"/>
          <w:bCs w:val="0"/>
          <w:color w:val="auto"/>
          <w:kern w:val="0"/>
          <w:sz w:val="32"/>
          <w:szCs w:val="32"/>
          <w:highlight w:val="none"/>
          <w:lang w:val="en-US" w:eastAsia="zh-CN"/>
        </w:rPr>
        <w:t>知</w:t>
      </w:r>
      <w:r>
        <w:rPr>
          <w:rFonts w:hint="default" w:ascii="Times New Roman" w:hAnsi="Times New Roman" w:eastAsia="仿宋_GB2312" w:cs="Times New Roman"/>
          <w:b w:val="0"/>
          <w:bCs w:val="0"/>
          <w:color w:val="auto"/>
          <w:kern w:val="0"/>
          <w:sz w:val="32"/>
          <w:szCs w:val="32"/>
          <w:highlight w:val="none"/>
          <w:lang w:val="en-US" w:eastAsia="zh-CN"/>
        </w:rPr>
        <w:t>中诺建工知班组管理人员田</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，紧急上报触电事故情况并拨打 120 急救电话。</w:t>
      </w:r>
    </w:p>
    <w:p w14:paraId="68B86065">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2026年6月23日8</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05分许：120 救护人员赶到现场，对向</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进行急救后宣布死亡。</w:t>
      </w:r>
    </w:p>
    <w:p w14:paraId="233D438C">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楷体_GB2312" w:hAnsi="楷体_GB2312" w:eastAsia="楷体_GB2312" w:cs="楷体_GB2312"/>
          <w:b w:val="0"/>
          <w:bCs/>
          <w:snapToGrid/>
          <w:color w:val="auto"/>
          <w:kern w:val="2"/>
          <w:szCs w:val="24"/>
          <w:highlight w:val="none"/>
          <w:lang w:val="en-US" w:eastAsia="zh-CN" w:bidi="ar-SA"/>
        </w:rPr>
      </w:pPr>
      <w:bookmarkStart w:id="7" w:name="_Toc21928"/>
      <w:r>
        <w:rPr>
          <w:rStyle w:val="15"/>
          <w:rFonts w:hint="eastAsia" w:ascii="楷体_GB2312" w:hAnsi="楷体_GB2312" w:eastAsia="楷体_GB2312" w:cs="楷体_GB2312"/>
          <w:b w:val="0"/>
          <w:bCs/>
          <w:snapToGrid/>
          <w:color w:val="auto"/>
          <w:kern w:val="2"/>
          <w:szCs w:val="24"/>
          <w:highlight w:val="none"/>
          <w:lang w:val="en-US" w:eastAsia="zh-CN" w:bidi="ar-SA"/>
        </w:rPr>
        <w:t>（六）事故现场情况</w:t>
      </w:r>
      <w:bookmarkEnd w:id="7"/>
    </w:p>
    <w:p w14:paraId="5BC54415">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事发地点位于项目一标段1#楼南侧12层外立面142#吊篮。现场勘察时，涉事142#吊篮因应急救援工作的开展，已停至二楼露台。涉事142#吊篮电控箱完好；地面散落断裂电缆，电缆绝缘层破损；142#旁边的97#吊篮电缆线缺失，被死者挪用至事故涉事 142#吊篮；事发位置无设备故障警示标识、无隔离警戒带等封控措施。发生事故的142#吊篮与被借用电缆的97#吊篮位于建筑90°拐角的两侧。涉事142#吊篮与被借用电缆线的97#吊篮之间的位置关系如下图1所示：</w:t>
      </w:r>
    </w:p>
    <w:p w14:paraId="1488AF76">
      <w:pPr>
        <w:keepNext w:val="0"/>
        <w:keepLines w:val="0"/>
        <w:pageBreakBefore w:val="0"/>
        <w:widowControl w:val="0"/>
        <w:kinsoku/>
        <w:wordWrap/>
        <w:overflowPunct/>
        <w:topLinePunct w:val="0"/>
        <w:autoSpaceDE w:val="0"/>
        <w:autoSpaceDN w:val="0"/>
        <w:bidi w:val="0"/>
        <w:adjustRightInd w:val="0"/>
        <w:snapToGrid w:val="0"/>
        <w:spacing w:line="560" w:lineRule="exact"/>
        <w:ind w:right="0"/>
        <w:jc w:val="center"/>
        <w:textAlignment w:val="baseline"/>
        <w:outlineLvl w:val="9"/>
        <w:rPr>
          <w:rFonts w:hint="eastAsia" w:ascii="方正仿宋_GB2312" w:hAnsi="方正仿宋_GB2312" w:eastAsia="方正仿宋_GB2312" w:cs="方正仿宋_GB2312"/>
          <w:b w:val="0"/>
          <w:bCs w:val="0"/>
          <w:color w:val="auto"/>
          <w:kern w:val="0"/>
          <w:sz w:val="32"/>
          <w:szCs w:val="32"/>
          <w:highlight w:val="none"/>
          <w:lang w:val="en-US" w:eastAsia="zh-CN"/>
        </w:rPr>
      </w:pPr>
      <w:r>
        <w:rPr>
          <w:color w:val="auto"/>
          <w:highlight w:val="none"/>
        </w:rPr>
        <w:drawing>
          <wp:anchor distT="0" distB="0" distL="114300" distR="114300" simplePos="0" relativeHeight="251660288" behindDoc="0" locked="0" layoutInCell="1" allowOverlap="1">
            <wp:simplePos x="0" y="0"/>
            <wp:positionH relativeFrom="column">
              <wp:posOffset>194310</wp:posOffset>
            </wp:positionH>
            <wp:positionV relativeFrom="paragraph">
              <wp:posOffset>97155</wp:posOffset>
            </wp:positionV>
            <wp:extent cx="5035550" cy="3211195"/>
            <wp:effectExtent l="0" t="0" r="6350" b="1905"/>
            <wp:wrapTopAndBottom/>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6"/>
                    <a:stretch>
                      <a:fillRect/>
                    </a:stretch>
                  </pic:blipFill>
                  <pic:spPr>
                    <a:xfrm>
                      <a:off x="0" y="0"/>
                      <a:ext cx="5035550" cy="3211195"/>
                    </a:xfrm>
                    <a:prstGeom prst="rect">
                      <a:avLst/>
                    </a:prstGeom>
                    <a:noFill/>
                    <a:ln>
                      <a:noFill/>
                    </a:ln>
                  </pic:spPr>
                </pic:pic>
              </a:graphicData>
            </a:graphic>
          </wp:anchor>
        </w:drawing>
      </w:r>
      <w:r>
        <w:rPr>
          <w:rFonts w:hint="eastAsia" w:ascii="宋体" w:hAnsi="宋体" w:eastAsia="宋体" w:cs="宋体"/>
          <w:b w:val="0"/>
          <w:bCs w:val="0"/>
          <w:color w:val="auto"/>
          <w:kern w:val="0"/>
          <w:sz w:val="28"/>
          <w:szCs w:val="28"/>
          <w:highlight w:val="none"/>
          <w:lang w:val="en-US" w:eastAsia="zh-CN"/>
        </w:rPr>
        <w:t>图1  事故相关吊篮位置关系图</w:t>
      </w:r>
    </w:p>
    <w:p w14:paraId="42735C4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8" w:name="_Toc15743"/>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（七）人员伤亡和直接经济损失情况</w:t>
      </w:r>
    </w:p>
    <w:bookmarkEnd w:id="8"/>
    <w:p w14:paraId="37CE8AE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1. 人员伤亡</w:t>
      </w:r>
    </w:p>
    <w:p w14:paraId="4C1060B7">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本次事故造成1人死亡（中诺建工作业人员：向</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；身份证号码：500234</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1296；死亡原因：电击伤），无受伤、失踪人员。</w:t>
      </w:r>
    </w:p>
    <w:p w14:paraId="26BDEA37">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2. 直接经济损失</w:t>
      </w:r>
    </w:p>
    <w:p w14:paraId="3996C50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依据 《企业职工伤亡事故经济损失统计标准》（GB/T 6721-1986）核定，包含丧葬抚恤、赔偿、事故处置费用等合计200万元。</w:t>
      </w:r>
    </w:p>
    <w:p w14:paraId="33F04885">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9" w:name="_Toc24791"/>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（八）其他情况</w:t>
      </w:r>
      <w:bookmarkEnd w:id="9"/>
    </w:p>
    <w:p w14:paraId="3A8A7DC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1. 天气情况</w:t>
      </w:r>
    </w:p>
    <w:p w14:paraId="0EC0A87D">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事故当天，阴，最低气温25℃，最高气温29℃，东南风3级。经核查，事发时间段内无大风、强降雨等恶劣气象状况，气象条件满足吊篮室外作业基本条件，不存在极端天气强制停工情形，不存在因极端天气引发本次事故的客观条件。</w:t>
      </w:r>
    </w:p>
    <w:p w14:paraId="2B3487F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2. 环境情况</w:t>
      </w:r>
    </w:p>
    <w:p w14:paraId="280A8B9C">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（1）项目整体环境</w:t>
      </w:r>
    </w:p>
    <w:p w14:paraId="2A2EBD0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本项目由三亚悦麓开发有限公司建设，主体工程由中建六局完成施工，外立面门窗工程由中建装饰专业分包、中诺建工承接劳务施工，高处作业吊篮由海南嘉鑫租赁及维保，浙江天成全程负责项目安全质量监理。涉事 1# 楼共 25 层、总高 85.9 米，事发点位位于 12 层外立面，离地约40米，属高风险高处作业区域，现场多台吊篮同步开展外墙施工作业。</w:t>
      </w:r>
    </w:p>
    <w:p w14:paraId="77608755">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（2）现场作业环境</w:t>
      </w:r>
    </w:p>
    <w:p w14:paraId="0021CF1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设备环境：事发前一天6月22日16时许，事故吊篮设备租赁单位已将存在配套电缆破损情况的142#涉事吊篮执行停用处置，并将142#吊篮原有电缆全部抽离至1#楼的15层存放，同时将吊篮电缆损坏、设备临时停用的情况在项目工作微信群内进行文字及图片通报。</w:t>
      </w:r>
    </w:p>
    <w:p w14:paraId="713E7FF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作业面环境：事发作业点位为建筑 90°外凸直角转角，墙体凹凸不平、存在凸起构件，97#吊篮与142#吊篮紧邻布置于转角两侧。作业时违规借用97#吊篮电缆跨转角为142#吊篮供电，线缆随吊篮升降易被墙体凸起挂断。</w:t>
      </w:r>
    </w:p>
    <w:p w14:paraId="02E8C4A7">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吊篮墙体间隙作业环境：涉事142#吊篮与墙体间距不足0.5米，作业间隙狭小且无任何隔离防护设施，存在电缆挤压破损、剐蹭断裂的客观安全隐患。</w:t>
      </w:r>
    </w:p>
    <w:p w14:paraId="1259278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9"/>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3.舆论关注热点</w:t>
      </w:r>
    </w:p>
    <w:p w14:paraId="2DA9E98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事故发生后相关施工、监理单位微信群同步通报事故信息，相关单位第一时间组织应急救援、善后及家属安抚工作，未引发社会舆情。</w:t>
      </w:r>
    </w:p>
    <w:p w14:paraId="31D1D989">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0"/>
        <w:rPr>
          <w:rFonts w:hint="eastAsia" w:ascii="黑体" w:hAnsi="黑体" w:eastAsia="黑体" w:cs="黑体"/>
          <w:b w:val="0"/>
          <w:bCs w:val="0"/>
          <w:snapToGrid w:val="0"/>
          <w:color w:val="auto"/>
          <w:kern w:val="0"/>
          <w:sz w:val="32"/>
          <w:szCs w:val="32"/>
          <w:highlight w:val="none"/>
          <w:lang w:val="en-US" w:eastAsia="zh-CN"/>
        </w:rPr>
      </w:pPr>
      <w:bookmarkStart w:id="10" w:name="_Toc14758"/>
      <w:r>
        <w:rPr>
          <w:rFonts w:hint="eastAsia" w:ascii="黑体" w:hAnsi="黑体" w:eastAsia="黑体" w:cs="黑体"/>
          <w:b w:val="0"/>
          <w:bCs w:val="0"/>
          <w:snapToGrid w:val="0"/>
          <w:color w:val="auto"/>
          <w:kern w:val="0"/>
          <w:sz w:val="32"/>
          <w:szCs w:val="32"/>
          <w:highlight w:val="none"/>
          <w:lang w:val="en-US" w:eastAsia="zh-CN"/>
        </w:rPr>
        <w:t>二、事故应急处置及评估情况</w:t>
      </w:r>
      <w:bookmarkEnd w:id="10"/>
    </w:p>
    <w:p w14:paraId="22DB8BF5">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11" w:name="_Toc11367"/>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（一）事故信息接报及响应情况</w:t>
      </w:r>
      <w:bookmarkEnd w:id="11"/>
    </w:p>
    <w:p w14:paraId="02F7C262">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2026年6月23日7:23分许，向</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触电后，现场另一名作业人员海南实创的熊</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，第一时间拨打 120 急救电话、同步将事故情况电话告知中诺建工班组长田</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；7:25分许，田</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上报中诺建工生产经理；7:30分许，中诺建工生产经理将事故情况上报门窗专业分包单位中建装饰及监理单位浙江天成，监理单位浙江天成获悉事故情况后，随即将事故情况上报建设单位三亚悦麓及属地行业主管部门；8:30分许，属地住建部门、应急管理局等接报后报至区政府。事故信息接报及</w:t>
      </w:r>
      <w:r>
        <w:rPr>
          <w:rFonts w:hint="eastAsia" w:ascii="Times New Roman" w:hAnsi="Times New Roman" w:eastAsia="仿宋_GB2312" w:cs="Times New Roman"/>
          <w:b w:val="0"/>
          <w:bCs w:val="0"/>
          <w:color w:val="auto"/>
          <w:kern w:val="0"/>
          <w:sz w:val="32"/>
          <w:szCs w:val="32"/>
          <w:highlight w:val="none"/>
          <w:lang w:val="en-US" w:eastAsia="zh-CN"/>
        </w:rPr>
        <w:t>响应</w:t>
      </w:r>
      <w:r>
        <w:rPr>
          <w:rFonts w:hint="default" w:ascii="Times New Roman" w:hAnsi="Times New Roman" w:eastAsia="仿宋_GB2312" w:cs="Times New Roman"/>
          <w:b w:val="0"/>
          <w:bCs w:val="0"/>
          <w:color w:val="auto"/>
          <w:kern w:val="0"/>
          <w:sz w:val="32"/>
          <w:szCs w:val="32"/>
          <w:highlight w:val="none"/>
          <w:lang w:val="en-US" w:eastAsia="zh-CN"/>
        </w:rPr>
        <w:t>规范及时，整个过程无迟报、瞒报、谎报等情形。</w:t>
      </w:r>
    </w:p>
    <w:p w14:paraId="32E1D29D">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12" w:name="_Toc19334"/>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（二）事故现场应急处置情况</w:t>
      </w:r>
      <w:bookmarkEnd w:id="12"/>
    </w:p>
    <w:p w14:paraId="165BC7F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2026年6月23日7:23分，海南实创作业人员熊</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将中诺建工作业人员向</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的触电情况电话告知中诺建工班组长田</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，田</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接报后立即赶往事发现场，同时拨打 120 急救电话。到达现场后，发现向</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晕倒在吊篮里。因无法独自将向</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搬离事发地点，</w:t>
      </w:r>
      <w:r>
        <w:rPr>
          <w:rFonts w:hint="eastAsia" w:ascii="Times New Roman" w:hAnsi="Times New Roman" w:eastAsia="仿宋_GB2312" w:cs="Times New Roman"/>
          <w:b w:val="0"/>
          <w:bCs w:val="0"/>
          <w:color w:val="auto"/>
          <w:kern w:val="0"/>
          <w:sz w:val="32"/>
          <w:szCs w:val="32"/>
          <w:highlight w:val="none"/>
          <w:lang w:val="en-US" w:eastAsia="zh-CN"/>
        </w:rPr>
        <w:t>随即</w:t>
      </w:r>
      <w:r>
        <w:rPr>
          <w:rFonts w:hint="default" w:ascii="Times New Roman" w:hAnsi="Times New Roman" w:eastAsia="仿宋_GB2312" w:cs="Times New Roman"/>
          <w:b w:val="0"/>
          <w:bCs w:val="0"/>
          <w:color w:val="auto"/>
          <w:kern w:val="0"/>
          <w:sz w:val="32"/>
          <w:szCs w:val="32"/>
          <w:highlight w:val="none"/>
          <w:lang w:val="en-US" w:eastAsia="zh-CN"/>
        </w:rPr>
        <w:t>联系其他工友一起协助，将死者转移到楼层地面后，对其开展心肺复苏应急救护。</w:t>
      </w:r>
    </w:p>
    <w:p w14:paraId="756C16C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2026年6月23日7:35分许，浙江天成项目总监理工程师江</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接到事故通知后第一时间抵达现场，督促落实现场管控、启动应急预案、下达工程暂停令，叫停项目全部施工，组织人员撤离并同步上报建设及行业主管部门。</w:t>
      </w:r>
    </w:p>
    <w:p w14:paraId="6450131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2026年6月23日8:05分许，120急救人员抵达现场，现场抢救无效后宣告向</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死亡。</w:t>
      </w:r>
    </w:p>
    <w:p w14:paraId="747EDB7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2026年6月23日9:00许，住建、应急执法人员到达现场，封锁1#楼南侧作业区域，停用全部吊篮，开展现场勘查、证据固定，确认无其他被困人员、无次生事故风险。</w:t>
      </w:r>
    </w:p>
    <w:p w14:paraId="1668A8BD">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2026年6月23日10:30分许，现场应急救援工作终止。</w:t>
      </w:r>
    </w:p>
    <w:p w14:paraId="2BA8C4AB">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13" w:name="_Toc31537"/>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（三）医疗救治和善后情况</w:t>
      </w:r>
      <w:bookmarkEnd w:id="13"/>
    </w:p>
    <w:p w14:paraId="4962A6E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1. 医疗救治</w:t>
      </w:r>
    </w:p>
    <w:p w14:paraId="4BBA794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事发后，现场工友紧急对死者进行心肺复苏急救，120救护人员到达现场后，对死者进行抢救，随后送至三亚市中医院继续抢救，之后由三亚市中医院确认死者电击死亡。</w:t>
      </w:r>
    </w:p>
    <w:p w14:paraId="2A9B0F9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2. 善后情况</w:t>
      </w:r>
    </w:p>
    <w:p w14:paraId="430E904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三亚悦麓、中诺建工、中建六局等单位第一时间成立善后工作组，对接死者家属，协商相关善后事宜，并于2026年6月25日达成对死者家属的补偿协议，家属同时签订谅解书。善后处理过程家属情绪稳定，未发生群体性事件，未引发社会舆情。</w:t>
      </w:r>
    </w:p>
    <w:p w14:paraId="710CAACD">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14" w:name="_Toc11146"/>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（四）事故应急处置评估</w:t>
      </w:r>
      <w:bookmarkEnd w:id="14"/>
    </w:p>
    <w:p w14:paraId="143B3B5E">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事故发生后，现场工友第一时间拨打120急救电话，并将事故情况汇报给班组负责人，在现场与闻讯赶来的其他工友一起进行应急救援，现场急救处置工作及时。各单位及各有关部门事故上报流程顺畅，政府部门到场迅速，善后协商高效，未引发社会舆情。本次事故现场应急处置、政府救援处置流程合规。</w:t>
      </w:r>
    </w:p>
    <w:p w14:paraId="0086E1A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0"/>
        <w:rPr>
          <w:rFonts w:hint="eastAsia" w:ascii="黑体" w:hAnsi="黑体" w:eastAsia="黑体" w:cs="黑体"/>
          <w:b w:val="0"/>
          <w:bCs w:val="0"/>
          <w:snapToGrid w:val="0"/>
          <w:color w:val="auto"/>
          <w:kern w:val="0"/>
          <w:sz w:val="32"/>
          <w:szCs w:val="32"/>
          <w:highlight w:val="none"/>
          <w:lang w:val="en-US" w:eastAsia="zh-CN"/>
        </w:rPr>
      </w:pPr>
      <w:bookmarkStart w:id="15" w:name="_Toc26909"/>
      <w:r>
        <w:rPr>
          <w:rFonts w:hint="eastAsia" w:ascii="黑体" w:hAnsi="黑体" w:eastAsia="黑体" w:cs="黑体"/>
          <w:b w:val="0"/>
          <w:bCs w:val="0"/>
          <w:snapToGrid w:val="0"/>
          <w:color w:val="auto"/>
          <w:kern w:val="0"/>
          <w:sz w:val="32"/>
          <w:szCs w:val="32"/>
          <w:highlight w:val="none"/>
          <w:lang w:val="en-US" w:eastAsia="zh-CN"/>
        </w:rPr>
        <w:t>三、事故原因分析</w:t>
      </w:r>
      <w:bookmarkEnd w:id="15"/>
    </w:p>
    <w:p w14:paraId="74F98C8B">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事故直接原因是：死者向</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违规擅自搭接相邻吊篮电缆为故障停用吊篮供电，吊篮运行中发生电缆断裂后，未上报班组长等管理人员，徒手接驳破损电缆，引发触电事故。</w:t>
      </w:r>
    </w:p>
    <w:p w14:paraId="3582D83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16" w:name="_Toc24189"/>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（一）直接原因分析</w:t>
      </w:r>
      <w:bookmarkEnd w:id="16"/>
    </w:p>
    <w:p w14:paraId="3B842A4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本次事故是设备不安全状态持续存在、现场安全管控失效、人员违规作业等多重因素叠加，按时间递进逐步诱发的生产安全事故，各环节环环相扣、层层放大风险。</w:t>
      </w:r>
    </w:p>
    <w:p w14:paraId="64C790F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事故隐患分四个阶段递进：首先，吊篮维保单位</w:t>
      </w:r>
      <w:r>
        <w:rPr>
          <w:rFonts w:hint="default" w:ascii="Times New Roman" w:hAnsi="Times New Roman" w:eastAsia="仿宋_GB2312" w:cs="Times New Roman"/>
          <w:b w:val="0"/>
          <w:bCs w:val="0"/>
          <w:snapToGrid w:val="0"/>
          <w:color w:val="auto"/>
          <w:kern w:val="0"/>
          <w:sz w:val="32"/>
          <w:szCs w:val="32"/>
          <w:highlight w:val="none"/>
          <w:lang w:val="en-US" w:eastAsia="zh-CN"/>
        </w:rPr>
        <w:t>嘉鑫租赁</w:t>
      </w:r>
      <w:r>
        <w:rPr>
          <w:rFonts w:hint="default" w:ascii="Times New Roman" w:hAnsi="Times New Roman" w:eastAsia="仿宋_GB2312" w:cs="Times New Roman"/>
          <w:b w:val="0"/>
          <w:bCs w:val="0"/>
          <w:color w:val="auto"/>
          <w:kern w:val="0"/>
          <w:sz w:val="32"/>
          <w:szCs w:val="32"/>
          <w:highlight w:val="none"/>
          <w:lang w:val="en-US" w:eastAsia="zh-CN"/>
        </w:rPr>
        <w:t>确认142#吊篮电缆损坏并下达停用通知后，中诺建工未对故障吊篮采取隔离封存、上锁警示等管控措施，形成设备基础安全隐患；其次，作业人员向诗洪擅自挪用其他吊篮电缆跨建筑拐角私接临时电源，启动人为风险；接下来，吊篮在 90°拐角升空时拉扯挤压外接电缆，造成线缆断裂、导线裸露，风险升级；最后，作业人员向诗洪在未向班组长等管理人员报告的情况下徒手接驳带电破损线缆，形成导电回路，设备安全隐患叠加人为操作风险，多重不安全因素叠加耦合，最终导致本次触电生产安全事故。</w:t>
      </w:r>
    </w:p>
    <w:p w14:paraId="7080B7F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17" w:name="_Toc26183"/>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（二）事故相关检验检测和鉴定情况</w:t>
      </w:r>
      <w:bookmarkEnd w:id="17"/>
    </w:p>
    <w:p w14:paraId="1FA1B95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1. 死亡证明</w:t>
      </w:r>
    </w:p>
    <w:p w14:paraId="0A667D3E">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依据三亚市中医院出具的《居民死亡医学证明（推断）书》（编号：46020300120</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），向诗洪的死亡原因为电击伤。</w:t>
      </w:r>
    </w:p>
    <w:p w14:paraId="4FCF87B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2. 事故电缆现场勘验</w:t>
      </w:r>
    </w:p>
    <w:p w14:paraId="3E99E98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经事故调查组对断裂电缆现场勘验：事故电缆绝缘层断裂裸露，绝缘保护失效，通电状态下人体接触可造成触电。</w:t>
      </w:r>
    </w:p>
    <w:p w14:paraId="4EDE09B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3. 特种作业资格证书核查</w:t>
      </w:r>
    </w:p>
    <w:p w14:paraId="6D16C52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 xml:space="preserve">经住建部门和应急管理部门系统核查，死者向诗洪具备高处作业资格证书，无电工作业特种作业资格证书取证记录。   </w:t>
      </w:r>
    </w:p>
    <w:p w14:paraId="5777B67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4. 超危大工程认定及专项施工方案管理</w:t>
      </w:r>
    </w:p>
    <w:p w14:paraId="57734CC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（1）超危大工程认定</w:t>
      </w:r>
    </w:p>
    <w:p w14:paraId="11CB916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依据住房和城乡建设部办公厅关于实施《危险性较大的分部分项工程安全管理规定》有关问题的通知（建办质〔2018〕31号）附件 2 规定</w:t>
      </w:r>
      <w:r>
        <w:rPr>
          <w:rStyle w:val="14"/>
          <w:rFonts w:hint="default" w:ascii="Times New Roman" w:hAnsi="Times New Roman" w:eastAsia="仿宋_GB2312" w:cs="Times New Roman"/>
          <w:b w:val="0"/>
          <w:bCs w:val="0"/>
          <w:color w:val="auto"/>
          <w:kern w:val="0"/>
          <w:sz w:val="32"/>
          <w:szCs w:val="32"/>
          <w:highlight w:val="none"/>
          <w:lang w:val="en-US" w:eastAsia="zh-CN"/>
        </w:rPr>
        <w:t>[</w:t>
      </w:r>
      <w:r>
        <w:rPr>
          <w:rStyle w:val="14"/>
          <w:rFonts w:hint="default" w:ascii="Times New Roman" w:hAnsi="Times New Roman" w:eastAsia="仿宋_GB2312" w:cs="Times New Roman"/>
          <w:b w:val="0"/>
          <w:bCs w:val="0"/>
          <w:color w:val="auto"/>
          <w:kern w:val="0"/>
          <w:sz w:val="32"/>
          <w:szCs w:val="32"/>
          <w:highlight w:val="none"/>
          <w:lang w:val="en-US" w:eastAsia="zh-CN"/>
        </w:rPr>
        <w:footnoteReference w:id="0"/>
      </w:r>
      <w:r>
        <w:rPr>
          <w:rStyle w:val="14"/>
          <w:rFonts w:hint="default"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：本项目涉事楼栋幕墙施工高度约 85.9 米，远超 50m 临界值，属于超过一定规模的危险性较大的分部分项工程（以下简称：超危大工程），依法必须严格落实超危大工程专项管控、专人旁站、隐患闭环、节假日重点值守等从严管理要求。</w:t>
      </w:r>
    </w:p>
    <w:p w14:paraId="3FDD5202">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（2）超危大工程专项施工方案管理</w:t>
      </w:r>
    </w:p>
    <w:p w14:paraId="2238D10E">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2025年12月27日，中建装饰编制的《临时用电》专项施工方案通过浙江天成的审查。方案第1.1.4条“本工程临电管理重难点”中吊篮用电安全解决方案及保证措施明确指出：禁止各班组在吊篮内随意接线，改变吊篮电路结构。</w:t>
      </w:r>
    </w:p>
    <w:p w14:paraId="06926F59">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2026年3月4日，由中建六局组织三亚悦麓、浙江天成、中建装饰及 5 名专家召开专项施工方案论证会，对中建装饰编制的《高处作业吊篮专项施工方案》，进行危险性较大分部、分项工程安全专项施工方案论证。</w:t>
      </w:r>
    </w:p>
    <w:p w14:paraId="1333578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2026年3月7日，中建装饰依据专家组意见，完成对《高处作业吊篮专项施工方案》的修改。方案中要求通过编制安全专项施工方案并对方案交底、使用前联合验收</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并加强过程检查、培训《高处作业吊篮》（GB-T19155-2017）、做好三级安全技术交底、作业人员佩戴好劳保用品等措施防止吊篮触电事故发生。</w:t>
      </w:r>
    </w:p>
    <w:p w14:paraId="36D037D9">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18" w:name="_Toc150"/>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（三）其他可能因素排除</w:t>
      </w:r>
      <w:bookmarkEnd w:id="18"/>
    </w:p>
    <w:p w14:paraId="1DD2245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1. 排除人为故意破坏</w:t>
      </w:r>
    </w:p>
    <w:p w14:paraId="0CE6411E">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经现场勘查、人员询问及调取项目聊天记录核实，本次违规接线行为系死者向诗洪自主实施，未发现他人指使、干预及蓄意破坏现场、设备的相关痕迹。</w:t>
      </w:r>
    </w:p>
    <w:p w14:paraId="7E7809E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2. 排除自然灾害、电网故障</w:t>
      </w:r>
    </w:p>
    <w:p w14:paraId="1FB1035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经调阅气象部门数据、结合现场人员询问核实：事发当日现场供电正常、工况稳定，无雷电、大风、暴雨等极端恶劣天气，气象及供电条件均未对本次事故造成影响。</w:t>
      </w:r>
    </w:p>
    <w:p w14:paraId="59ED0EE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3. 排除吊篮设备本身电控故障</w:t>
      </w:r>
    </w:p>
    <w:p w14:paraId="356E0A0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经现场核查排除吊篮设备自身电控故障，除死者本人人为挪用、搭接电缆造成线路破损外，涉事吊篮电控箱、漏电保护器等电气装置功能完好、工况正常。</w:t>
      </w:r>
    </w:p>
    <w:p w14:paraId="5A990605">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19" w:name="_Toc8275"/>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（四）间接原因分析</w:t>
      </w:r>
      <w:bookmarkEnd w:id="19"/>
    </w:p>
    <w:p w14:paraId="44E6E79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本次事故的发生，除作业人员个人严重违规作业的直接因素外，核心源于事发现场相关劳务作业人员安全意识及能力匮乏、劳务分包单位对作业安排及故障吊篮风险防控措施落实不力、监理安全监管不到位等管理漏洞，未能及时发现并制止违规作业、消除现场安全隐患，是引发本次事故的重要间接原因，具体分析如下：</w:t>
      </w:r>
    </w:p>
    <w:p w14:paraId="590720E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1. 中诺（海南）建设工程有限公司：现场安全管控主体</w:t>
      </w:r>
    </w:p>
    <w:p w14:paraId="4E3617A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中诺建工作为幕墙吊篮作业实施主体及现场安全管控直接责任单位，因未严格落实全员安全生产责任制，高处超危大作业与临时用电安全管理落实不到位，</w:t>
      </w:r>
      <w:r>
        <w:rPr>
          <w:rFonts w:hint="eastAsia" w:ascii="Times New Roman" w:hAnsi="Times New Roman" w:eastAsia="仿宋_GB2312" w:cs="Times New Roman"/>
          <w:b w:val="0"/>
          <w:bCs w:val="0"/>
          <w:color w:val="auto"/>
          <w:kern w:val="0"/>
          <w:sz w:val="32"/>
          <w:szCs w:val="32"/>
          <w:highlight w:val="none"/>
          <w:lang w:val="en-US" w:eastAsia="zh-CN"/>
        </w:rPr>
        <w:t>是</w:t>
      </w:r>
      <w:r>
        <w:rPr>
          <w:rFonts w:hint="default" w:ascii="Times New Roman" w:hAnsi="Times New Roman" w:eastAsia="仿宋_GB2312" w:cs="Times New Roman"/>
          <w:b w:val="0"/>
          <w:bCs w:val="0"/>
          <w:color w:val="auto"/>
          <w:kern w:val="0"/>
          <w:sz w:val="32"/>
          <w:szCs w:val="32"/>
          <w:highlight w:val="none"/>
          <w:lang w:val="en-US" w:eastAsia="zh-CN"/>
        </w:rPr>
        <w:t>本次事故最核心的间接管理原因：该公司实施吊篮高处高危作业时，未能准确研判故障吊篮风险、未对故障吊篮采取有效防控措施，未能及时发现并制止违规使用故障吊篮并挪用电缆等违规行为；未严格落实专项安全技术交底和安全教育培训考核机制，作业人员安全风险辨识与应急处置能力不足；同时未对建筑拐角狭小空间、多吊篮交叉作业等高风险部位开展专项辨识并制定管控措施；其班组长田</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在安排施工作业任务时，未告知作业人员故障吊篮停用及风险；多重管理漏洞叠加最终诱发事故。</w:t>
      </w:r>
    </w:p>
    <w:p w14:paraId="0AFE6CAD">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2. 海南实创建筑劳务有限公司：劳务作业配合单位</w:t>
      </w:r>
    </w:p>
    <w:p w14:paraId="2422234C">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海南实创为本项目主体工程劳务分包单位，主体工程完工后，配合中诺建工开展外立面门窗安装瑕疵剔凿作业，对参与配合作业的劳务人员安全意识教育培训不到位，现场风险防控管理落实不力。其劳务作业人员熊爱军抵达涉事142#吊篮，发现吊篮缺少供电电缆，且在吊篮内目睹向</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违规搭接97#吊篮电缆、违规接驳破损电缆等违章行为时，未及时制止，亦未向班组长及现场管理人员上报隐患。</w:t>
      </w:r>
      <w:r>
        <w:rPr>
          <w:rFonts w:hint="eastAsia" w:ascii="Times New Roman" w:hAnsi="Times New Roman" w:eastAsia="仿宋_GB2312" w:cs="Times New Roman"/>
          <w:b w:val="0"/>
          <w:bCs w:val="0"/>
          <w:color w:val="auto"/>
          <w:kern w:val="0"/>
          <w:sz w:val="32"/>
          <w:szCs w:val="32"/>
          <w:highlight w:val="none"/>
          <w:lang w:val="en-US" w:eastAsia="zh-CN"/>
        </w:rPr>
        <w:t>上述行为</w:t>
      </w:r>
      <w:r>
        <w:rPr>
          <w:rFonts w:hint="default" w:ascii="Times New Roman" w:hAnsi="Times New Roman" w:eastAsia="仿宋_GB2312" w:cs="Times New Roman"/>
          <w:b w:val="0"/>
          <w:bCs w:val="0"/>
          <w:color w:val="auto"/>
          <w:kern w:val="0"/>
          <w:sz w:val="32"/>
          <w:szCs w:val="32"/>
          <w:highlight w:val="none"/>
          <w:lang w:val="en-US" w:eastAsia="zh-CN"/>
        </w:rPr>
        <w:t>均为本起事故发生的间接原因。</w:t>
      </w:r>
    </w:p>
    <w:p w14:paraId="4F32EB2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3. 浙江天成项目管理有限公司：项目安全监理主体</w:t>
      </w:r>
    </w:p>
    <w:p w14:paraId="2F124D5B">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浙江天成作为项目安全质量监理单位，未依照法律、法规和工程建设强制性标准实施监理，是本起事故重要间接原因。该单位监理值守制度存在突出问题：一是2026年6月19-22日端午假期，实际放假较法定假期（6月19-21日）多了一天，4天假期期间，节假日高风险作业期间仅安排总监值班；二是现场 7:00 开工，监理 8:30 打卡到岗，晚于现场开工时间，存在1小时30分的超危大工程监理空档；三是设备隐患整改指令表述笼统，未明确事故吊篮的整改标准和完成时限，整改约束力不足；四是吊篮隐患未开展现场实质复核验收，6月22日安全巡查记录载明1#楼142#吊篮电缆老化破皮未更换，同份记录同时填报“已整改完毕”，且无具体整改措施。</w:t>
      </w:r>
    </w:p>
    <w:p w14:paraId="5477BCA9">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0"/>
        <w:rPr>
          <w:rFonts w:hint="eastAsia" w:ascii="黑体" w:hAnsi="黑体" w:eastAsia="黑体" w:cs="黑体"/>
          <w:b w:val="0"/>
          <w:bCs w:val="0"/>
          <w:snapToGrid w:val="0"/>
          <w:color w:val="auto"/>
          <w:kern w:val="0"/>
          <w:sz w:val="32"/>
          <w:szCs w:val="32"/>
          <w:highlight w:val="none"/>
          <w:lang w:val="en-US" w:eastAsia="zh-CN"/>
        </w:rPr>
      </w:pPr>
      <w:bookmarkStart w:id="20" w:name="_Toc15623"/>
      <w:bookmarkStart w:id="21" w:name="_Toc10768"/>
      <w:r>
        <w:rPr>
          <w:rFonts w:hint="eastAsia" w:ascii="黑体" w:hAnsi="黑体" w:eastAsia="黑体" w:cs="黑体"/>
          <w:b w:val="0"/>
          <w:bCs w:val="0"/>
          <w:snapToGrid w:val="0"/>
          <w:color w:val="auto"/>
          <w:kern w:val="0"/>
          <w:sz w:val="32"/>
          <w:szCs w:val="32"/>
          <w:highlight w:val="none"/>
          <w:lang w:val="en-US" w:eastAsia="zh-CN"/>
        </w:rPr>
        <w:t>四、有关责任单位存在的主要问题</w:t>
      </w:r>
      <w:bookmarkEnd w:id="20"/>
      <w:bookmarkEnd w:id="21"/>
    </w:p>
    <w:p w14:paraId="1C7E831C">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22" w:name="_Toc29478"/>
      <w:bookmarkStart w:id="23" w:name="_Toc24184"/>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（一）</w:t>
      </w:r>
      <w:bookmarkStart w:id="24" w:name="heading_25"/>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中诺（海南）建设工程有限公司：主要责任单位</w:t>
      </w:r>
      <w:bookmarkEnd w:id="22"/>
      <w:bookmarkEnd w:id="23"/>
      <w:bookmarkEnd w:id="24"/>
    </w:p>
    <w:p w14:paraId="43F03269">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22日下午16时许，在吊篮维保单位电工已在吊篮维保微信工作群告知142#吊篮电缆损坏并抽离的情况下，当日晚上21时许该公司班组长派工安排包括事故点位在内的相关作业时，未同步告知作业人员存在的吊篮故障停用问题，且未对故障吊篮采取停用、隔离、警示等现场安全管控措施；对劳务人员的安全风险辨识和临时用电安全教育培训不足，致使作业现场出现无电工特种作业资质人员实施临时用电接线作业的情况；高处作业用电安全日常巡查不到位，未及时发现并制止违章挪用电缆行为。</w:t>
      </w:r>
    </w:p>
    <w:p w14:paraId="4F34B6E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default" w:ascii="方正楷体_GB2312" w:hAnsi="方正楷体_GB2312" w:eastAsia="方正楷体_GB2312" w:cs="方正楷体_GB2312"/>
          <w:b w:val="0"/>
          <w:bCs/>
          <w:snapToGrid/>
          <w:color w:val="auto"/>
          <w:kern w:val="2"/>
          <w:szCs w:val="24"/>
          <w:highlight w:val="none"/>
          <w:lang w:val="en-US" w:eastAsia="zh-CN" w:bidi="ar-SA"/>
        </w:rPr>
      </w:pPr>
      <w:bookmarkStart w:id="25" w:name="_Toc1056"/>
      <w:bookmarkStart w:id="26" w:name="_Toc16753"/>
      <w:bookmarkStart w:id="27" w:name="heading_32"/>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（二）海南实创建筑劳务有限公司：次要责任单位</w:t>
      </w:r>
      <w:bookmarkEnd w:id="25"/>
      <w:bookmarkEnd w:id="26"/>
    </w:p>
    <w:p w14:paraId="29936DB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海南实创建筑劳务有限公司作为主体工程劳务分包单位，在外立面剔凿配合作业期间，劳务人员安全意识教育培训、现场风险防范管理落实不到位；作业人员发现吊篮供电缺失、他人违规搭接接驳电缆等违章隐患时，未予以制止、未上报管理人员，现场隐患自查互控管理履职不力。</w:t>
      </w:r>
    </w:p>
    <w:p w14:paraId="382FB3AC">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default" w:ascii="方正楷体_GB2312" w:hAnsi="方正楷体_GB2312" w:eastAsia="方正楷体_GB2312" w:cs="方正楷体_GB2312"/>
          <w:b w:val="0"/>
          <w:bCs/>
          <w:snapToGrid/>
          <w:color w:val="auto"/>
          <w:kern w:val="2"/>
          <w:szCs w:val="24"/>
          <w:highlight w:val="none"/>
          <w:lang w:val="en-US" w:eastAsia="zh-CN" w:bidi="ar-SA"/>
        </w:rPr>
      </w:pPr>
      <w:bookmarkStart w:id="28" w:name="_Toc1182"/>
      <w:bookmarkStart w:id="29" w:name="_Toc25366"/>
      <w:bookmarkStart w:id="30" w:name="heading_28"/>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（三）浙江天成项目管理有限公司：次要责任单位</w:t>
      </w:r>
      <w:bookmarkEnd w:id="28"/>
      <w:bookmarkEnd w:id="29"/>
    </w:p>
    <w:bookmarkEnd w:id="30"/>
    <w:p w14:paraId="724F954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浙江天成项目管理有限公司未依照法律、法规和工程建设强制性标准实施监理：监理值守制度不完善，端午假期仅总监值班，早间施工至监理到岗形成监管空档；隐患整改监理不规范，下发整改指令要素不全、监管指导性差，未现场复核验收吊篮整改情况完成隐患整改闭环。</w:t>
      </w:r>
    </w:p>
    <w:p w14:paraId="19FD30A7">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default" w:ascii="方正楷体_GB2312" w:hAnsi="方正楷体_GB2312" w:eastAsia="方正楷体_GB2312" w:cs="方正楷体_GB2312"/>
          <w:b w:val="0"/>
          <w:bCs/>
          <w:snapToGrid/>
          <w:color w:val="auto"/>
          <w:kern w:val="2"/>
          <w:szCs w:val="24"/>
          <w:highlight w:val="none"/>
          <w:lang w:val="en-US" w:eastAsia="zh-CN" w:bidi="ar-SA"/>
        </w:rPr>
      </w:pPr>
      <w:bookmarkStart w:id="31" w:name="_Toc28889"/>
      <w:bookmarkStart w:id="32" w:name="_Toc5958"/>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（四）相关单位无责说明</w:t>
      </w:r>
      <w:bookmarkEnd w:id="31"/>
      <w:bookmarkEnd w:id="32"/>
    </w:p>
    <w:p w14:paraId="314953B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1.海南嘉鑫工程设备租赁有限公司</w:t>
      </w:r>
    </w:p>
    <w:p w14:paraId="5C9B41A9">
      <w:pPr>
        <w:keepNext w:val="0"/>
        <w:keepLines w:val="0"/>
        <w:pageBreakBefore w:val="0"/>
        <w:widowControl w:val="0"/>
        <w:kinsoku/>
        <w:wordWrap/>
        <w:overflowPunct/>
        <w:topLinePunct w:val="0"/>
        <w:autoSpaceDE w:val="0"/>
        <w:autoSpaceDN w:val="0"/>
        <w:bidi w:val="0"/>
        <w:adjustRightInd w:val="0"/>
        <w:snapToGrid w:val="0"/>
        <w:spacing w:line="560" w:lineRule="exact"/>
        <w:ind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经调查核实，海南嘉鑫</w:t>
      </w:r>
      <w:r>
        <w:rPr>
          <w:rFonts w:hint="eastAsia" w:ascii="Times New Roman" w:hAnsi="Times New Roman" w:eastAsia="仿宋_GB2312" w:cs="Times New Roman"/>
          <w:b w:val="0"/>
          <w:bCs w:val="0"/>
          <w:color w:val="auto"/>
          <w:kern w:val="0"/>
          <w:sz w:val="32"/>
          <w:szCs w:val="32"/>
          <w:highlight w:val="none"/>
          <w:lang w:val="en-US" w:eastAsia="zh-CN"/>
        </w:rPr>
        <w:t>与</w:t>
      </w:r>
      <w:r>
        <w:rPr>
          <w:rFonts w:hint="default" w:ascii="Times New Roman" w:hAnsi="Times New Roman" w:eastAsia="仿宋_GB2312" w:cs="Times New Roman"/>
          <w:b w:val="0"/>
          <w:bCs w:val="0"/>
          <w:color w:val="auto"/>
          <w:kern w:val="0"/>
          <w:sz w:val="32"/>
          <w:szCs w:val="32"/>
          <w:highlight w:val="none"/>
          <w:lang w:val="en-US" w:eastAsia="zh-CN"/>
        </w:rPr>
        <w:t>中建装饰签订吊篮租赁合同，合同约定由该单位负责向项目一标段出租吊篮并进行吊篮的日常检修、故障报修、配件更换，通过吊篮工作协调微信群，同步报送设备故障、维修保养计划。</w:t>
      </w:r>
    </w:p>
    <w:p w14:paraId="549410E9">
      <w:pPr>
        <w:keepNext w:val="0"/>
        <w:keepLines w:val="0"/>
        <w:pageBreakBefore w:val="0"/>
        <w:widowControl w:val="0"/>
        <w:kinsoku/>
        <w:wordWrap/>
        <w:overflowPunct/>
        <w:topLinePunct w:val="0"/>
        <w:autoSpaceDE w:val="0"/>
        <w:autoSpaceDN w:val="0"/>
        <w:bidi w:val="0"/>
        <w:adjustRightInd w:val="0"/>
        <w:snapToGrid w:val="0"/>
        <w:spacing w:line="560" w:lineRule="exact"/>
        <w:ind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2026年6月22日，针对中诺建工在微信群中反馈的吊篮故障问题，该单位工作人员马海洋已赴现场完成故障核实确认，并在工作协调微信群内上传故障吊篮电缆缺陷照片、电缆抽离至 15 楼的现场处置照片，同时明确告知相关单位该故障吊篮应当停止使用，待电缆修复完成后方可投入作业。</w:t>
      </w:r>
    </w:p>
    <w:p w14:paraId="2A120B17">
      <w:pPr>
        <w:keepNext w:val="0"/>
        <w:keepLines w:val="0"/>
        <w:pageBreakBefore w:val="0"/>
        <w:widowControl w:val="0"/>
        <w:kinsoku/>
        <w:wordWrap/>
        <w:overflowPunct/>
        <w:topLinePunct w:val="0"/>
        <w:autoSpaceDE w:val="0"/>
        <w:autoSpaceDN w:val="0"/>
        <w:bidi w:val="0"/>
        <w:adjustRightInd w:val="0"/>
        <w:snapToGrid w:val="0"/>
        <w:spacing w:line="560" w:lineRule="exact"/>
        <w:ind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海南嘉鑫工程设备租赁有限公司已按照合同约定完成故障排查、现场处置、发布停用通知的相关工作，其行为与事故发生不存在因果关系，对本起事故不承担事故责任。</w:t>
      </w:r>
    </w:p>
    <w:p w14:paraId="386BA89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2. 中国建筑装饰集团有限公司</w:t>
      </w:r>
    </w:p>
    <w:p w14:paraId="7D0E92B8">
      <w:pPr>
        <w:keepNext w:val="0"/>
        <w:keepLines w:val="0"/>
        <w:pageBreakBefore w:val="0"/>
        <w:widowControl w:val="0"/>
        <w:kinsoku/>
        <w:wordWrap/>
        <w:overflowPunct/>
        <w:topLinePunct w:val="0"/>
        <w:autoSpaceDE w:val="0"/>
        <w:autoSpaceDN w:val="0"/>
        <w:bidi w:val="0"/>
        <w:adjustRightInd w:val="0"/>
        <w:snapToGrid w:val="0"/>
        <w:spacing w:line="560" w:lineRule="exact"/>
        <w:ind w:right="0" w:firstLine="640" w:firstLineChars="200"/>
        <w:jc w:val="both"/>
        <w:textAlignment w:val="baseline"/>
        <w:outlineLvl w:val="9"/>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经调查核实，事故发生前，中国建筑装饰集团有限公司作为涉事建筑外立面门窗安装工程专业分包单位，已依照其与中诺建工签订的劳务分包合同、安全生产管理协议的约定，履行其对中诺建工的相关安全管理职责，已依照与嘉鑫租赁的吊篮租赁合同约定约束嘉鑫租赁履行吊篮相关维保责任，对本次事故不承担事故责任，不给予行政处罚、不追究相关管理人员责任。</w:t>
      </w:r>
    </w:p>
    <w:bookmarkEnd w:id="27"/>
    <w:p w14:paraId="19ECBFEC">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bookmarkStart w:id="33" w:name="heading_33"/>
      <w:r>
        <w:rPr>
          <w:rFonts w:hint="default" w:ascii="Times New Roman" w:hAnsi="Times New Roman" w:eastAsia="仿宋_GB2312" w:cs="Times New Roman"/>
          <w:b/>
          <w:bCs/>
          <w:color w:val="auto"/>
          <w:kern w:val="0"/>
          <w:sz w:val="32"/>
          <w:szCs w:val="32"/>
          <w:highlight w:val="none"/>
          <w:lang w:val="en-US" w:eastAsia="zh-CN"/>
        </w:rPr>
        <w:t xml:space="preserve">3. </w:t>
      </w:r>
      <w:bookmarkEnd w:id="33"/>
      <w:r>
        <w:rPr>
          <w:rFonts w:hint="default" w:ascii="Times New Roman" w:hAnsi="Times New Roman" w:eastAsia="仿宋_GB2312" w:cs="Times New Roman"/>
          <w:b/>
          <w:bCs/>
          <w:color w:val="auto"/>
          <w:kern w:val="0"/>
          <w:sz w:val="32"/>
          <w:szCs w:val="32"/>
          <w:highlight w:val="none"/>
          <w:lang w:val="en-US" w:eastAsia="zh-CN"/>
        </w:rPr>
        <w:t>中国建筑第六工程局有限公司</w:t>
      </w:r>
    </w:p>
    <w:p w14:paraId="7D4D8E31">
      <w:pPr>
        <w:keepNext w:val="0"/>
        <w:keepLines w:val="0"/>
        <w:pageBreakBefore w:val="0"/>
        <w:widowControl w:val="0"/>
        <w:kinsoku/>
        <w:wordWrap/>
        <w:overflowPunct/>
        <w:topLinePunct w:val="0"/>
        <w:autoSpaceDE w:val="0"/>
        <w:autoSpaceDN w:val="0"/>
        <w:bidi w:val="0"/>
        <w:adjustRightInd w:val="0"/>
        <w:snapToGrid w:val="0"/>
        <w:spacing w:line="560" w:lineRule="exact"/>
        <w:ind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经调查核实，事故发生前，中国建筑第六工程局有限公司已完成涉事项目的主体工程施工，现场已进入门窗外立面安装工程的施工阶段，对本起门窗外立面安装工程发生的高处作业吊篮事故不承担事故责任，不给予行政处罚、不追究相关管理人员责任。</w:t>
      </w:r>
      <w:bookmarkStart w:id="34" w:name="_Toc12854"/>
    </w:p>
    <w:p w14:paraId="1FE54D71">
      <w:pPr>
        <w:keepNext w:val="0"/>
        <w:keepLines w:val="0"/>
        <w:pageBreakBefore w:val="0"/>
        <w:widowControl w:val="0"/>
        <w:kinsoku/>
        <w:wordWrap/>
        <w:overflowPunct/>
        <w:topLinePunct w:val="0"/>
        <w:autoSpaceDE w:val="0"/>
        <w:autoSpaceDN w:val="0"/>
        <w:bidi w:val="0"/>
        <w:adjustRightInd w:val="0"/>
        <w:snapToGrid w:val="0"/>
        <w:spacing w:line="560" w:lineRule="exact"/>
        <w:ind w:right="0" w:firstLine="643" w:firstLineChars="200"/>
        <w:jc w:val="both"/>
        <w:textAlignment w:val="baseline"/>
        <w:outlineLvl w:val="9"/>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4.三亚悦麓开发有限公司</w:t>
      </w:r>
    </w:p>
    <w:p w14:paraId="6231F677">
      <w:pPr>
        <w:keepNext w:val="0"/>
        <w:keepLines w:val="0"/>
        <w:pageBreakBefore w:val="0"/>
        <w:widowControl w:val="0"/>
        <w:kinsoku/>
        <w:wordWrap/>
        <w:overflowPunct/>
        <w:topLinePunct w:val="0"/>
        <w:autoSpaceDE w:val="0"/>
        <w:autoSpaceDN w:val="0"/>
        <w:bidi w:val="0"/>
        <w:adjustRightInd w:val="0"/>
        <w:snapToGrid w:val="0"/>
        <w:spacing w:line="560" w:lineRule="exact"/>
        <w:ind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经调查核实，三亚悦麓开发有限公司作为涉事工程项目的建设单位，已按规定办理项目建设相关手续，足额计取并拨付安全生产文明施工措施费用，不存在压缩合同工期、明示或暗示使用不合格机械设备、违规干预施工现场安全管理等行为，已依法履行项目建设单位法定安全职责。事故发生与建设单位履职行为无因果关系，建设单位对本起事故不承担事故责任，不给予行政处罚、不追究相关管理人员责任。</w:t>
      </w:r>
    </w:p>
    <w:p w14:paraId="660E6B73">
      <w:pPr>
        <w:keepNext w:val="0"/>
        <w:keepLines w:val="0"/>
        <w:pageBreakBefore w:val="0"/>
        <w:widowControl w:val="0"/>
        <w:kinsoku/>
        <w:wordWrap/>
        <w:overflowPunct/>
        <w:topLinePunct w:val="0"/>
        <w:autoSpaceDE w:val="0"/>
        <w:autoSpaceDN w:val="0"/>
        <w:bidi w:val="0"/>
        <w:adjustRightInd w:val="0"/>
        <w:snapToGrid w:val="0"/>
        <w:spacing w:line="560" w:lineRule="exact"/>
        <w:ind w:right="0" w:firstLine="640" w:firstLineChars="200"/>
        <w:jc w:val="both"/>
        <w:textAlignment w:val="baseline"/>
        <w:outlineLvl w:val="0"/>
        <w:rPr>
          <w:rFonts w:hint="eastAsia" w:ascii="黑体" w:hAnsi="黑体" w:eastAsia="黑体" w:cs="黑体"/>
          <w:b w:val="0"/>
          <w:bCs w:val="0"/>
          <w:snapToGrid w:val="0"/>
          <w:color w:val="auto"/>
          <w:kern w:val="0"/>
          <w:sz w:val="32"/>
          <w:szCs w:val="32"/>
          <w:highlight w:val="none"/>
          <w:lang w:val="en-US" w:eastAsia="zh-CN"/>
        </w:rPr>
      </w:pPr>
      <w:bookmarkStart w:id="35" w:name="_Toc2833"/>
      <w:r>
        <w:rPr>
          <w:rFonts w:hint="eastAsia" w:ascii="黑体" w:hAnsi="黑体" w:eastAsia="黑体" w:cs="黑体"/>
          <w:b w:val="0"/>
          <w:bCs w:val="0"/>
          <w:snapToGrid w:val="0"/>
          <w:color w:val="auto"/>
          <w:kern w:val="0"/>
          <w:sz w:val="32"/>
          <w:szCs w:val="32"/>
          <w:highlight w:val="none"/>
          <w:lang w:val="en-US" w:eastAsia="zh-CN"/>
        </w:rPr>
        <w:t>五、对有关责任人员和责任单位的处理建议</w:t>
      </w:r>
      <w:bookmarkEnd w:id="34"/>
      <w:bookmarkEnd w:id="35"/>
    </w:p>
    <w:p w14:paraId="5A52AA39">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36" w:name="_Toc32427"/>
      <w:bookmarkStart w:id="37" w:name="_Toc24350"/>
      <w:bookmarkStart w:id="38" w:name="heading_1"/>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（一）因在事故中死亡免予追究责任人员</w:t>
      </w:r>
      <w:bookmarkEnd w:id="36"/>
      <w:bookmarkEnd w:id="37"/>
      <w:bookmarkEnd w:id="38"/>
    </w:p>
    <w:p w14:paraId="675CAD1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向</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，男，群众，中诺（海南）建设工程有限公司作业人员。身份证号码：500234</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1296。经住建、应急管理部门系统核查，该人员无电工作业特种作业操作资格取证记录，安全意识非常淡薄，在142#吊篮因电缆损坏已被停用、电缆抽离的情况下，擅自跨作业面搭接相邻吊篮电缆为涉事吊篮临时供电；在吊篮运行扯断电缆、线路破损带电后，未切断总电源、未佩戴绝缘防护用品，违规徒手对接带电破损电缆，最终引发触电事故。其行为违反《中华人民共和国安全生产法》（国家主席令第88号）第五十七条</w:t>
      </w:r>
      <w:r>
        <w:rPr>
          <w:rStyle w:val="14"/>
          <w:rFonts w:hint="default" w:ascii="Times New Roman" w:hAnsi="Times New Roman" w:eastAsia="仿宋_GB2312" w:cs="Times New Roman"/>
          <w:b w:val="0"/>
          <w:bCs w:val="0"/>
          <w:color w:val="auto"/>
          <w:kern w:val="0"/>
          <w:sz w:val="32"/>
          <w:szCs w:val="32"/>
          <w:highlight w:val="none"/>
          <w:lang w:val="en-US" w:eastAsia="zh-CN"/>
        </w:rPr>
        <w:t>[</w:t>
      </w:r>
      <w:r>
        <w:rPr>
          <w:rStyle w:val="14"/>
          <w:rFonts w:hint="default" w:ascii="Times New Roman" w:hAnsi="Times New Roman" w:eastAsia="仿宋_GB2312" w:cs="Times New Roman"/>
          <w:b w:val="0"/>
          <w:bCs w:val="0"/>
          <w:color w:val="auto"/>
          <w:kern w:val="0"/>
          <w:sz w:val="32"/>
          <w:szCs w:val="32"/>
          <w:highlight w:val="none"/>
          <w:lang w:val="en-US" w:eastAsia="zh-CN"/>
        </w:rPr>
        <w:footnoteReference w:id="1"/>
      </w:r>
      <w:r>
        <w:rPr>
          <w:rStyle w:val="14"/>
          <w:rFonts w:hint="default"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相关规定，对本次事故发生负直接主要责任。鉴于其已在事故中死亡，建议免予追究其相关责任。</w:t>
      </w:r>
    </w:p>
    <w:p w14:paraId="6BEB765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39" w:name="heading_3"/>
      <w:bookmarkStart w:id="40" w:name="_Toc31881"/>
      <w:bookmarkStart w:id="41" w:name="_Toc12847"/>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（二）</w:t>
      </w:r>
      <w:bookmarkEnd w:id="39"/>
      <w:bookmarkStart w:id="42" w:name="heading_4"/>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对相关责任人员的行政处罚建议</w:t>
      </w:r>
      <w:bookmarkEnd w:id="40"/>
      <w:bookmarkEnd w:id="41"/>
      <w:bookmarkEnd w:id="42"/>
    </w:p>
    <w:p w14:paraId="70D76B2D">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1. 田</w:t>
      </w:r>
      <w:r>
        <w:rPr>
          <w:rFonts w:hint="eastAsia" w:ascii="Times New Roman" w:hAnsi="Times New Roman" w:eastAsia="仿宋_GB2312" w:cs="Times New Roman"/>
          <w:b/>
          <w:bCs/>
          <w:color w:val="auto"/>
          <w:kern w:val="0"/>
          <w:sz w:val="32"/>
          <w:szCs w:val="32"/>
          <w:highlight w:val="none"/>
          <w:lang w:val="en-US" w:eastAsia="zh-CN"/>
        </w:rPr>
        <w:t>某</w:t>
      </w:r>
      <w:r>
        <w:rPr>
          <w:rFonts w:hint="default" w:ascii="Times New Roman" w:hAnsi="Times New Roman" w:eastAsia="仿宋_GB2312" w:cs="Times New Roman"/>
          <w:b/>
          <w:bCs/>
          <w:color w:val="auto"/>
          <w:kern w:val="0"/>
          <w:sz w:val="32"/>
          <w:szCs w:val="32"/>
          <w:highlight w:val="none"/>
          <w:lang w:val="en-US" w:eastAsia="zh-CN"/>
        </w:rPr>
        <w:t>：中诺（海南）建设工程有限公司班组长</w:t>
      </w:r>
    </w:p>
    <w:p w14:paraId="4FFF597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田</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，男，中国共产党党员，中诺（海南）建设工程有限公司班组长及现场安全生产管理人员，涉事项目现场带班人员。身份证号码：500234</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4972。在知道涉事142#吊篮发生故障停用的情况下，未严格落实其班组长安全责任，向死者向</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派工时未同步告知其142#故障吊篮停用及其安全风险问题，对事故发生负直接责任。其行为违反《中华人民共和国安全生产法》（国家主席令第88号）第五十七条</w:t>
      </w:r>
      <w:r>
        <w:rPr>
          <w:rStyle w:val="14"/>
          <w:rFonts w:hint="default" w:ascii="Times New Roman" w:hAnsi="Times New Roman" w:eastAsia="仿宋_GB2312" w:cs="Times New Roman"/>
          <w:b w:val="0"/>
          <w:bCs w:val="0"/>
          <w:color w:val="auto"/>
          <w:kern w:val="0"/>
          <w:sz w:val="32"/>
          <w:szCs w:val="32"/>
          <w:highlight w:val="none"/>
          <w:lang w:val="en-US" w:eastAsia="zh-CN"/>
        </w:rPr>
        <w:t>[</w:t>
      </w:r>
      <w:r>
        <w:rPr>
          <w:rStyle w:val="14"/>
          <w:rFonts w:hint="default" w:ascii="Times New Roman" w:hAnsi="Times New Roman" w:eastAsia="仿宋_GB2312" w:cs="Times New Roman"/>
          <w:b w:val="0"/>
          <w:bCs w:val="0"/>
          <w:color w:val="auto"/>
          <w:kern w:val="0"/>
          <w:sz w:val="32"/>
          <w:szCs w:val="32"/>
          <w:highlight w:val="none"/>
          <w:lang w:val="en-US" w:eastAsia="zh-CN"/>
        </w:rPr>
        <w:footnoteReference w:id="2"/>
      </w:r>
      <w:r>
        <w:rPr>
          <w:rStyle w:val="14"/>
          <w:rFonts w:hint="default"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相关规定，建议由中诺（海南）建设工程有限公司依据《中华人民共和国安全生产法》（国家主席令第88号）第一百零七条相关规定对其进行批评教育，依照有关规章制度给予处分。</w:t>
      </w:r>
    </w:p>
    <w:p w14:paraId="7FB590F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2. 熊</w:t>
      </w:r>
      <w:r>
        <w:rPr>
          <w:rFonts w:hint="eastAsia" w:ascii="Times New Roman" w:hAnsi="Times New Roman" w:eastAsia="仿宋_GB2312" w:cs="Times New Roman"/>
          <w:b/>
          <w:bCs/>
          <w:color w:val="auto"/>
          <w:kern w:val="0"/>
          <w:sz w:val="32"/>
          <w:szCs w:val="32"/>
          <w:highlight w:val="none"/>
          <w:lang w:val="en-US" w:eastAsia="zh-CN"/>
        </w:rPr>
        <w:t>某某</w:t>
      </w:r>
      <w:r>
        <w:rPr>
          <w:rFonts w:hint="default" w:ascii="Times New Roman" w:hAnsi="Times New Roman" w:eastAsia="仿宋_GB2312" w:cs="Times New Roman"/>
          <w:b/>
          <w:bCs/>
          <w:color w:val="auto"/>
          <w:kern w:val="0"/>
          <w:sz w:val="32"/>
          <w:szCs w:val="32"/>
          <w:highlight w:val="none"/>
          <w:lang w:val="en-US" w:eastAsia="zh-CN"/>
        </w:rPr>
        <w:t>：海南实创建筑劳务有限公司劳务作业人员</w:t>
      </w:r>
    </w:p>
    <w:p w14:paraId="23C5B8D7">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熊</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，男，群众，海南实创建筑劳务有限公司劳务作业人员。事发时，与中诺建工劳务作业人员向诗洪同在事发吊篮上。身份证号码：421126</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313X。未通过安全生产教育培训掌握吊篮作业所需的安全知识，发现涉事吊篮存在无电缆线、向诗洪违规操作等事故隐患未立即向现场安全生产管理人员或者本单位负责人报告。其行为违反《中华人民共和国安全生产法》（国家主席令第88号）第五十八条、第五十九条</w:t>
      </w:r>
      <w:r>
        <w:rPr>
          <w:rStyle w:val="14"/>
          <w:rFonts w:hint="default" w:ascii="Times New Roman" w:hAnsi="Times New Roman" w:eastAsia="仿宋_GB2312" w:cs="Times New Roman"/>
          <w:b w:val="0"/>
          <w:bCs w:val="0"/>
          <w:color w:val="auto"/>
          <w:kern w:val="0"/>
          <w:sz w:val="32"/>
          <w:szCs w:val="32"/>
          <w:highlight w:val="none"/>
          <w:lang w:val="en-US" w:eastAsia="zh-CN"/>
        </w:rPr>
        <w:t>[</w:t>
      </w:r>
      <w:r>
        <w:rPr>
          <w:rStyle w:val="14"/>
          <w:rFonts w:hint="default" w:ascii="Times New Roman" w:hAnsi="Times New Roman" w:eastAsia="仿宋_GB2312" w:cs="Times New Roman"/>
          <w:b w:val="0"/>
          <w:bCs w:val="0"/>
          <w:color w:val="auto"/>
          <w:kern w:val="0"/>
          <w:sz w:val="32"/>
          <w:szCs w:val="32"/>
          <w:highlight w:val="none"/>
          <w:lang w:val="en-US" w:eastAsia="zh-CN"/>
        </w:rPr>
        <w:footnoteReference w:id="3"/>
      </w:r>
      <w:r>
        <w:rPr>
          <w:rStyle w:val="14"/>
          <w:rFonts w:hint="default"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相关规定，建议由海南实创建筑劳务有限公司依据《中华人民共和国安全生产法》（国家主席令第88号）第一百零七条</w:t>
      </w:r>
      <w:r>
        <w:rPr>
          <w:rStyle w:val="14"/>
          <w:rFonts w:hint="default" w:ascii="Times New Roman" w:hAnsi="Times New Roman" w:eastAsia="仿宋_GB2312" w:cs="Times New Roman"/>
          <w:b w:val="0"/>
          <w:bCs w:val="0"/>
          <w:color w:val="auto"/>
          <w:kern w:val="0"/>
          <w:sz w:val="32"/>
          <w:szCs w:val="32"/>
          <w:highlight w:val="none"/>
          <w:lang w:val="en-US" w:eastAsia="zh-CN"/>
        </w:rPr>
        <w:t>[</w:t>
      </w:r>
      <w:r>
        <w:rPr>
          <w:rStyle w:val="14"/>
          <w:rFonts w:hint="default" w:ascii="Times New Roman" w:hAnsi="Times New Roman" w:eastAsia="仿宋_GB2312" w:cs="Times New Roman"/>
          <w:b w:val="0"/>
          <w:bCs w:val="0"/>
          <w:color w:val="auto"/>
          <w:kern w:val="0"/>
          <w:sz w:val="32"/>
          <w:szCs w:val="32"/>
          <w:highlight w:val="none"/>
          <w:lang w:val="en-US" w:eastAsia="zh-CN"/>
        </w:rPr>
        <w:footnoteReference w:id="4"/>
      </w:r>
      <w:r>
        <w:rPr>
          <w:rStyle w:val="14"/>
          <w:rFonts w:hint="default"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相关规定对其进行批评教育，依照有关规章制度给予处分。</w:t>
      </w:r>
    </w:p>
    <w:p w14:paraId="73A8D26D">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3. 李</w:t>
      </w:r>
      <w:r>
        <w:rPr>
          <w:rFonts w:hint="eastAsia" w:ascii="Times New Roman" w:hAnsi="Times New Roman" w:eastAsia="仿宋_GB2312" w:cs="Times New Roman"/>
          <w:b/>
          <w:bCs/>
          <w:color w:val="auto"/>
          <w:kern w:val="0"/>
          <w:sz w:val="32"/>
          <w:szCs w:val="32"/>
          <w:highlight w:val="none"/>
          <w:lang w:val="en-US" w:eastAsia="zh-CN"/>
        </w:rPr>
        <w:t>某</w:t>
      </w:r>
      <w:r>
        <w:rPr>
          <w:rFonts w:hint="default" w:ascii="Times New Roman" w:hAnsi="Times New Roman" w:eastAsia="仿宋_GB2312" w:cs="Times New Roman"/>
          <w:b/>
          <w:bCs/>
          <w:color w:val="auto"/>
          <w:kern w:val="0"/>
          <w:sz w:val="32"/>
          <w:szCs w:val="32"/>
          <w:highlight w:val="none"/>
          <w:lang w:val="en-US" w:eastAsia="zh-CN"/>
        </w:rPr>
        <w:t>：海南实创建筑劳务有限公司班组长</w:t>
      </w:r>
    </w:p>
    <w:p w14:paraId="55A951FC">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李</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，男，群众，海南实创建筑劳务有限公司班组长。身份证号码：421126</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3316。作为班组长，李</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未严格落实班组长安全生产岗位职责。班组作业人员熊</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发现吊篮故障无法使用、向</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存在违规操作等安全隐患时，未能第一时间向李</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报告；李</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对班组人员熊</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的现场作业安全管控不到位，未尽到班组安全管理责任。其行为违反《中华人民共和国安全生产法》（国家主席令第88号）第五十七条相关规定，建议由海南实创建筑劳务有限公司依据《中华人民共和国安全生产法》（国家主席令第88号）第一百零七条相关规定对其进行批评教育，依照有关规章制度给予处分。</w:t>
      </w:r>
    </w:p>
    <w:p w14:paraId="6C3EBAD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4. 潘</w:t>
      </w:r>
      <w:r>
        <w:rPr>
          <w:rFonts w:hint="eastAsia" w:ascii="Times New Roman" w:hAnsi="Times New Roman" w:eastAsia="仿宋_GB2312" w:cs="Times New Roman"/>
          <w:b/>
          <w:bCs/>
          <w:color w:val="auto"/>
          <w:kern w:val="0"/>
          <w:sz w:val="32"/>
          <w:szCs w:val="32"/>
          <w:highlight w:val="none"/>
          <w:lang w:val="en-US" w:eastAsia="zh-CN"/>
        </w:rPr>
        <w:t>某某</w:t>
      </w:r>
      <w:r>
        <w:rPr>
          <w:rFonts w:hint="default" w:ascii="Times New Roman" w:hAnsi="Times New Roman" w:eastAsia="仿宋_GB2312" w:cs="Times New Roman"/>
          <w:b/>
          <w:bCs/>
          <w:color w:val="auto"/>
          <w:kern w:val="0"/>
          <w:sz w:val="32"/>
          <w:szCs w:val="32"/>
          <w:highlight w:val="none"/>
          <w:lang w:val="en-US" w:eastAsia="zh-CN"/>
        </w:rPr>
        <w:t>：中诺（海南）建设工程有限公司安全员</w:t>
      </w:r>
    </w:p>
    <w:p w14:paraId="5A2553C9">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潘</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，男，群众，中诺（海南）建设工程有限公司安全员，负责涉事项目现场安全管理。身份证号码：512222</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1715。在已知涉事142#吊篮发生故障停用的情况下，未组织人员对故障吊篮实施有效现场安全管控，对事故发生负有安全管理责任。其行为违反《中华人民共和国安全生产法》（国家主席令第88号）第二十五条</w:t>
      </w:r>
      <w:r>
        <w:rPr>
          <w:rStyle w:val="14"/>
          <w:rFonts w:hint="default" w:ascii="Times New Roman" w:hAnsi="Times New Roman" w:eastAsia="仿宋_GB2312" w:cs="Times New Roman"/>
          <w:b w:val="0"/>
          <w:bCs w:val="0"/>
          <w:color w:val="auto"/>
          <w:kern w:val="0"/>
          <w:sz w:val="32"/>
          <w:szCs w:val="32"/>
          <w:highlight w:val="none"/>
          <w:lang w:val="en-US" w:eastAsia="zh-CN"/>
        </w:rPr>
        <w:t>[</w:t>
      </w:r>
      <w:r>
        <w:rPr>
          <w:rStyle w:val="14"/>
          <w:rFonts w:hint="default" w:ascii="Times New Roman" w:hAnsi="Times New Roman" w:eastAsia="仿宋_GB2312" w:cs="Times New Roman"/>
          <w:b w:val="0"/>
          <w:bCs w:val="0"/>
          <w:color w:val="auto"/>
          <w:kern w:val="0"/>
          <w:sz w:val="32"/>
          <w:szCs w:val="32"/>
          <w:highlight w:val="none"/>
          <w:lang w:val="en-US" w:eastAsia="zh-CN"/>
        </w:rPr>
        <w:footnoteReference w:id="5"/>
      </w:r>
      <w:r>
        <w:rPr>
          <w:rStyle w:val="14"/>
          <w:rFonts w:hint="default"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、第四十六条</w:t>
      </w:r>
      <w:r>
        <w:rPr>
          <w:rStyle w:val="14"/>
          <w:rFonts w:hint="default" w:ascii="Times New Roman" w:hAnsi="Times New Roman" w:eastAsia="仿宋_GB2312" w:cs="Times New Roman"/>
          <w:b w:val="0"/>
          <w:bCs w:val="0"/>
          <w:color w:val="auto"/>
          <w:kern w:val="0"/>
          <w:sz w:val="32"/>
          <w:szCs w:val="32"/>
          <w:highlight w:val="none"/>
          <w:lang w:val="en-US" w:eastAsia="zh-CN"/>
        </w:rPr>
        <w:t>[</w:t>
      </w:r>
      <w:r>
        <w:rPr>
          <w:rStyle w:val="14"/>
          <w:rFonts w:hint="default" w:ascii="Times New Roman" w:hAnsi="Times New Roman" w:eastAsia="仿宋_GB2312" w:cs="Times New Roman"/>
          <w:b w:val="0"/>
          <w:bCs w:val="0"/>
          <w:color w:val="auto"/>
          <w:kern w:val="0"/>
          <w:sz w:val="32"/>
          <w:szCs w:val="32"/>
          <w:highlight w:val="none"/>
          <w:lang w:val="en-US" w:eastAsia="zh-CN"/>
        </w:rPr>
        <w:footnoteReference w:id="6"/>
      </w:r>
      <w:r>
        <w:rPr>
          <w:rStyle w:val="14"/>
          <w:rFonts w:hint="default"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。处罚建议：依据《中华人民共和国安全生产法》（国家主席令第88号）第九十六条</w:t>
      </w:r>
      <w:r>
        <w:rPr>
          <w:rStyle w:val="14"/>
          <w:rFonts w:hint="default" w:ascii="Times New Roman" w:hAnsi="Times New Roman" w:eastAsia="仿宋_GB2312" w:cs="Times New Roman"/>
          <w:b w:val="0"/>
          <w:bCs w:val="0"/>
          <w:color w:val="auto"/>
          <w:kern w:val="0"/>
          <w:sz w:val="32"/>
          <w:szCs w:val="32"/>
          <w:highlight w:val="none"/>
          <w:lang w:val="en-US" w:eastAsia="zh-CN"/>
        </w:rPr>
        <w:t>[</w:t>
      </w:r>
      <w:r>
        <w:rPr>
          <w:rStyle w:val="14"/>
          <w:rFonts w:hint="default" w:ascii="Times New Roman" w:hAnsi="Times New Roman" w:eastAsia="仿宋_GB2312" w:cs="Times New Roman"/>
          <w:b w:val="0"/>
          <w:bCs w:val="0"/>
          <w:color w:val="auto"/>
          <w:kern w:val="0"/>
          <w:sz w:val="32"/>
          <w:szCs w:val="32"/>
          <w:highlight w:val="none"/>
          <w:lang w:val="en-US" w:eastAsia="zh-CN"/>
        </w:rPr>
        <w:footnoteReference w:id="7"/>
      </w:r>
      <w:r>
        <w:rPr>
          <w:rStyle w:val="14"/>
          <w:rFonts w:hint="default"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对其进行处罚。</w:t>
      </w:r>
    </w:p>
    <w:p w14:paraId="1B36C36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5. 孙</w:t>
      </w:r>
      <w:r>
        <w:rPr>
          <w:rFonts w:hint="eastAsia" w:ascii="Times New Roman" w:hAnsi="Times New Roman" w:eastAsia="仿宋_GB2312" w:cs="Times New Roman"/>
          <w:b/>
          <w:bCs/>
          <w:color w:val="auto"/>
          <w:kern w:val="0"/>
          <w:sz w:val="32"/>
          <w:szCs w:val="32"/>
          <w:highlight w:val="none"/>
          <w:lang w:val="en-US" w:eastAsia="zh-CN"/>
        </w:rPr>
        <w:t>某某</w:t>
      </w:r>
      <w:r>
        <w:rPr>
          <w:rFonts w:hint="default" w:ascii="Times New Roman" w:hAnsi="Times New Roman" w:eastAsia="仿宋_GB2312" w:cs="Times New Roman"/>
          <w:b/>
          <w:bCs/>
          <w:color w:val="auto"/>
          <w:kern w:val="0"/>
          <w:sz w:val="32"/>
          <w:szCs w:val="32"/>
          <w:highlight w:val="none"/>
          <w:lang w:val="en-US" w:eastAsia="zh-CN"/>
        </w:rPr>
        <w:t>：中诺（海南）建设工程有限公司项目负责人/安全负责人</w:t>
      </w:r>
    </w:p>
    <w:p w14:paraId="32D1C7D9">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孙</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，男，群众，中诺（海南）建设工程有限公司项目负责人。身份证号码：220881</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0917。对涉事项目实施管理期间，未建立健全全员安全生产责任制，未建立有效的危大工程管控、人员资质审核、隐患排查治理机制，企业安全管理体系失效，对项目现场存在的高处作业设备及临时用电等危险作业安全管理漏洞失管失察，对事故发生负有主要领导责任。其行为违反《中华人民共和国安全生产法》（国家主席令第88号）第五条</w:t>
      </w:r>
      <w:r>
        <w:rPr>
          <w:rStyle w:val="14"/>
          <w:rFonts w:hint="default" w:ascii="Times New Roman" w:hAnsi="Times New Roman" w:eastAsia="仿宋_GB2312" w:cs="Times New Roman"/>
          <w:b w:val="0"/>
          <w:bCs w:val="0"/>
          <w:color w:val="auto"/>
          <w:kern w:val="0"/>
          <w:sz w:val="32"/>
          <w:szCs w:val="32"/>
          <w:highlight w:val="none"/>
          <w:lang w:val="en-US" w:eastAsia="zh-CN"/>
        </w:rPr>
        <w:t>[</w:t>
      </w:r>
      <w:r>
        <w:rPr>
          <w:rStyle w:val="14"/>
          <w:rFonts w:hint="default" w:ascii="Times New Roman" w:hAnsi="Times New Roman" w:eastAsia="仿宋_GB2312" w:cs="Times New Roman"/>
          <w:b w:val="0"/>
          <w:bCs w:val="0"/>
          <w:color w:val="auto"/>
          <w:kern w:val="0"/>
          <w:sz w:val="32"/>
          <w:szCs w:val="32"/>
          <w:highlight w:val="none"/>
          <w:lang w:val="en-US" w:eastAsia="zh-CN"/>
        </w:rPr>
        <w:footnoteReference w:id="8"/>
      </w:r>
      <w:r>
        <w:rPr>
          <w:rStyle w:val="14"/>
          <w:rFonts w:hint="default"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相关规定，建议有关行政执法部门依据《中华人民共和国安全生产法》第九十六条对其进行处罚。</w:t>
      </w:r>
    </w:p>
    <w:p w14:paraId="7CDAFA8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6. 江</w:t>
      </w:r>
      <w:r>
        <w:rPr>
          <w:rFonts w:hint="eastAsia" w:ascii="Times New Roman" w:hAnsi="Times New Roman" w:eastAsia="仿宋_GB2312" w:cs="Times New Roman"/>
          <w:b/>
          <w:bCs/>
          <w:color w:val="auto"/>
          <w:kern w:val="0"/>
          <w:sz w:val="32"/>
          <w:szCs w:val="32"/>
          <w:highlight w:val="none"/>
          <w:lang w:val="en-US" w:eastAsia="zh-CN"/>
        </w:rPr>
        <w:t>某某</w:t>
      </w:r>
      <w:r>
        <w:rPr>
          <w:rFonts w:hint="default" w:ascii="Times New Roman" w:hAnsi="Times New Roman" w:eastAsia="仿宋_GB2312" w:cs="Times New Roman"/>
          <w:b/>
          <w:bCs/>
          <w:color w:val="auto"/>
          <w:kern w:val="0"/>
          <w:sz w:val="32"/>
          <w:szCs w:val="32"/>
          <w:highlight w:val="none"/>
          <w:lang w:val="en-US" w:eastAsia="zh-CN"/>
        </w:rPr>
        <w:t>：浙江天成项目管理有限公司项目总监理工程师</w:t>
      </w:r>
    </w:p>
    <w:p w14:paraId="15CEDFF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江</w:t>
      </w:r>
      <w:r>
        <w:rPr>
          <w:rFonts w:hint="eastAsia" w:ascii="Times New Roman" w:hAnsi="Times New Roman" w:eastAsia="仿宋_GB2312" w:cs="Times New Roman"/>
          <w:b w:val="0"/>
          <w:bCs w:val="0"/>
          <w:color w:val="auto"/>
          <w:kern w:val="0"/>
          <w:sz w:val="32"/>
          <w:szCs w:val="32"/>
          <w:highlight w:val="none"/>
          <w:lang w:val="en-US" w:eastAsia="zh-CN"/>
        </w:rPr>
        <w:t>某某</w:t>
      </w:r>
      <w:r>
        <w:rPr>
          <w:rFonts w:hint="default" w:ascii="Times New Roman" w:hAnsi="Times New Roman" w:eastAsia="仿宋_GB2312" w:cs="Times New Roman"/>
          <w:b w:val="0"/>
          <w:bCs w:val="0"/>
          <w:color w:val="auto"/>
          <w:kern w:val="0"/>
          <w:sz w:val="32"/>
          <w:szCs w:val="32"/>
          <w:highlight w:val="none"/>
          <w:lang w:val="en-US" w:eastAsia="zh-CN"/>
        </w:rPr>
        <w:t>，男，群众，浙江天成项目管理有限公司项目总监理工程师，全面负责涉事项目监理安全管控工作。身份证号码：420381</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2210。未健全项目监理现场值守排班制度，造成高风险作业监管空档；吊篮隐患整改跟踪复核流于形式，未核实整改实效即销项；危大工程巡视、旁站制度未有效落实；默许监理形成不实巡查记录，监理安全管控履职缺位，对事故发生负有重要领导责任。其行为违反《建设工程安全生产管理条例》（中华人民共和国国务院令第393号）第十四条</w:t>
      </w:r>
      <w:r>
        <w:rPr>
          <w:rStyle w:val="14"/>
          <w:rFonts w:hint="default" w:ascii="Times New Roman" w:hAnsi="Times New Roman" w:eastAsia="仿宋_GB2312" w:cs="Times New Roman"/>
          <w:b w:val="0"/>
          <w:bCs w:val="0"/>
          <w:color w:val="auto"/>
          <w:kern w:val="0"/>
          <w:sz w:val="32"/>
          <w:szCs w:val="32"/>
          <w:highlight w:val="none"/>
          <w:lang w:val="en-US" w:eastAsia="zh-CN"/>
        </w:rPr>
        <w:t>[</w:t>
      </w:r>
      <w:r>
        <w:rPr>
          <w:rStyle w:val="14"/>
          <w:rFonts w:hint="default" w:ascii="Times New Roman" w:hAnsi="Times New Roman" w:eastAsia="仿宋_GB2312" w:cs="Times New Roman"/>
          <w:b w:val="0"/>
          <w:bCs w:val="0"/>
          <w:color w:val="auto"/>
          <w:kern w:val="0"/>
          <w:sz w:val="32"/>
          <w:szCs w:val="32"/>
          <w:highlight w:val="none"/>
          <w:lang w:val="en-US" w:eastAsia="zh-CN"/>
        </w:rPr>
        <w:footnoteReference w:id="9"/>
      </w:r>
      <w:r>
        <w:rPr>
          <w:rStyle w:val="14"/>
          <w:rFonts w:hint="default"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、《危险性较大的分部分项工程安全管理规定》（中华人民共和国住房和城乡建设部令第37号）第十八条</w:t>
      </w:r>
      <w:r>
        <w:rPr>
          <w:rStyle w:val="14"/>
          <w:rFonts w:hint="default" w:ascii="Times New Roman" w:hAnsi="Times New Roman" w:eastAsia="仿宋_GB2312" w:cs="Times New Roman"/>
          <w:b w:val="0"/>
          <w:bCs w:val="0"/>
          <w:color w:val="auto"/>
          <w:kern w:val="0"/>
          <w:sz w:val="32"/>
          <w:szCs w:val="32"/>
          <w:highlight w:val="none"/>
          <w:lang w:val="en-US" w:eastAsia="zh-CN"/>
        </w:rPr>
        <w:t>[</w:t>
      </w:r>
      <w:r>
        <w:rPr>
          <w:rStyle w:val="14"/>
          <w:rFonts w:hint="default" w:ascii="Times New Roman" w:hAnsi="Times New Roman" w:eastAsia="仿宋_GB2312" w:cs="Times New Roman"/>
          <w:b w:val="0"/>
          <w:bCs w:val="0"/>
          <w:color w:val="auto"/>
          <w:kern w:val="0"/>
          <w:sz w:val="32"/>
          <w:szCs w:val="32"/>
          <w:highlight w:val="none"/>
          <w:lang w:val="en-US" w:eastAsia="zh-CN"/>
        </w:rPr>
        <w:footnoteReference w:id="10"/>
      </w:r>
      <w:r>
        <w:rPr>
          <w:rStyle w:val="14"/>
          <w:rFonts w:hint="default"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相关规定。建议有关行政执法部门依据《危险性较大的分部分项工程安全管理规定》（中华人民共和国住房和城乡建设部令第37号）第三十七条</w:t>
      </w:r>
      <w:r>
        <w:rPr>
          <w:rStyle w:val="14"/>
          <w:rFonts w:hint="default" w:ascii="Times New Roman" w:hAnsi="Times New Roman" w:eastAsia="仿宋_GB2312" w:cs="Times New Roman"/>
          <w:b w:val="0"/>
          <w:bCs w:val="0"/>
          <w:color w:val="auto"/>
          <w:kern w:val="0"/>
          <w:sz w:val="32"/>
          <w:szCs w:val="32"/>
          <w:highlight w:val="none"/>
          <w:lang w:val="en-US" w:eastAsia="zh-CN"/>
        </w:rPr>
        <w:t>[</w:t>
      </w:r>
      <w:r>
        <w:rPr>
          <w:rStyle w:val="14"/>
          <w:rFonts w:hint="default" w:ascii="Times New Roman" w:hAnsi="Times New Roman" w:eastAsia="仿宋_GB2312" w:cs="Times New Roman"/>
          <w:b w:val="0"/>
          <w:bCs w:val="0"/>
          <w:color w:val="auto"/>
          <w:kern w:val="0"/>
          <w:sz w:val="32"/>
          <w:szCs w:val="32"/>
          <w:highlight w:val="none"/>
          <w:lang w:val="en-US" w:eastAsia="zh-CN"/>
        </w:rPr>
        <w:footnoteReference w:id="11"/>
      </w:r>
      <w:r>
        <w:rPr>
          <w:rStyle w:val="14"/>
          <w:rFonts w:hint="default"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对其进行处罚。</w:t>
      </w:r>
    </w:p>
    <w:p w14:paraId="55A16CF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7. 张</w:t>
      </w:r>
      <w:r>
        <w:rPr>
          <w:rFonts w:hint="eastAsia" w:ascii="Times New Roman" w:hAnsi="Times New Roman" w:eastAsia="仿宋_GB2312" w:cs="Times New Roman"/>
          <w:b/>
          <w:bCs/>
          <w:color w:val="auto"/>
          <w:kern w:val="0"/>
          <w:sz w:val="32"/>
          <w:szCs w:val="32"/>
          <w:highlight w:val="none"/>
          <w:lang w:val="en-US" w:eastAsia="zh-CN"/>
        </w:rPr>
        <w:t>某</w:t>
      </w:r>
      <w:r>
        <w:rPr>
          <w:rFonts w:hint="default" w:ascii="Times New Roman" w:hAnsi="Times New Roman" w:eastAsia="仿宋_GB2312" w:cs="Times New Roman"/>
          <w:b/>
          <w:bCs/>
          <w:color w:val="auto"/>
          <w:kern w:val="0"/>
          <w:sz w:val="32"/>
          <w:szCs w:val="32"/>
          <w:highlight w:val="none"/>
          <w:lang w:val="en-US" w:eastAsia="zh-CN"/>
        </w:rPr>
        <w:t>：中诺（海南）建设工程有限公司法定代表人</w:t>
      </w:r>
    </w:p>
    <w:p w14:paraId="0E0317AE">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张</w:t>
      </w:r>
      <w:r>
        <w:rPr>
          <w:rFonts w:hint="eastAsia" w:ascii="Times New Roman" w:hAnsi="Times New Roman" w:eastAsia="仿宋_GB2312" w:cs="Times New Roman"/>
          <w:b w:val="0"/>
          <w:bCs w:val="0"/>
          <w:color w:val="auto"/>
          <w:kern w:val="0"/>
          <w:sz w:val="32"/>
          <w:szCs w:val="32"/>
          <w:highlight w:val="none"/>
          <w:lang w:val="en-US" w:eastAsia="zh-CN"/>
        </w:rPr>
        <w:t>某</w:t>
      </w:r>
      <w:r>
        <w:rPr>
          <w:rFonts w:hint="default" w:ascii="Times New Roman" w:hAnsi="Times New Roman" w:eastAsia="仿宋_GB2312" w:cs="Times New Roman"/>
          <w:b w:val="0"/>
          <w:bCs w:val="0"/>
          <w:color w:val="auto"/>
          <w:kern w:val="0"/>
          <w:sz w:val="32"/>
          <w:szCs w:val="32"/>
          <w:highlight w:val="none"/>
          <w:lang w:val="en-US" w:eastAsia="zh-CN"/>
        </w:rPr>
        <w:t>，男，中国共产党党员，中诺（海南）建设工程有限公司法定代表人。身份证号码：230230</w:t>
      </w:r>
      <w:r>
        <w:rPr>
          <w:rFonts w:hint="eastAsia"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1318。未建立健全并有效落实全员安全生产责任制，未督促建立完善危大工程管控、从业人员资质审查、现场隐患排查治理等管理制度，对项目存在的安全管理薄弱问题督促整改不力，是</w:t>
      </w:r>
      <w:r>
        <w:rPr>
          <w:rFonts w:hint="eastAsia" w:ascii="Times New Roman" w:hAnsi="Times New Roman" w:eastAsia="仿宋_GB2312" w:cs="Times New Roman"/>
          <w:b w:val="0"/>
          <w:bCs w:val="0"/>
          <w:color w:val="auto"/>
          <w:kern w:val="0"/>
          <w:sz w:val="32"/>
          <w:szCs w:val="32"/>
          <w:highlight w:val="none"/>
          <w:lang w:val="en-US" w:eastAsia="zh-CN"/>
        </w:rPr>
        <w:t>本次</w:t>
      </w:r>
      <w:r>
        <w:rPr>
          <w:rFonts w:hint="default" w:ascii="Times New Roman" w:hAnsi="Times New Roman" w:eastAsia="仿宋_GB2312" w:cs="Times New Roman"/>
          <w:b w:val="0"/>
          <w:bCs w:val="0"/>
          <w:color w:val="auto"/>
          <w:kern w:val="0"/>
          <w:sz w:val="32"/>
          <w:szCs w:val="32"/>
          <w:highlight w:val="none"/>
          <w:lang w:val="en-US" w:eastAsia="zh-CN"/>
        </w:rPr>
        <w:t>事故发生</w:t>
      </w:r>
      <w:r>
        <w:rPr>
          <w:rFonts w:hint="eastAsia" w:ascii="Times New Roman" w:hAnsi="Times New Roman" w:eastAsia="仿宋_GB2312" w:cs="Times New Roman"/>
          <w:b w:val="0"/>
          <w:bCs w:val="0"/>
          <w:color w:val="auto"/>
          <w:kern w:val="0"/>
          <w:sz w:val="32"/>
          <w:szCs w:val="32"/>
          <w:highlight w:val="none"/>
          <w:lang w:val="en-US" w:eastAsia="zh-CN"/>
        </w:rPr>
        <w:t>的</w:t>
      </w:r>
      <w:r>
        <w:rPr>
          <w:rFonts w:hint="default" w:ascii="Times New Roman" w:hAnsi="Times New Roman" w:eastAsia="仿宋_GB2312" w:cs="Times New Roman"/>
          <w:b w:val="0"/>
          <w:bCs w:val="0"/>
          <w:color w:val="auto"/>
          <w:kern w:val="0"/>
          <w:sz w:val="32"/>
          <w:szCs w:val="32"/>
          <w:highlight w:val="none"/>
          <w:lang w:val="en-US" w:eastAsia="zh-CN"/>
        </w:rPr>
        <w:t>重要管理根源。对事故发生负重要领导责任。其行为违反《中华人民共和国安全生产法》（国家主席令第88号）第五条、第二十一条</w:t>
      </w:r>
      <w:r>
        <w:rPr>
          <w:rStyle w:val="14"/>
          <w:rFonts w:hint="default" w:ascii="Times New Roman" w:hAnsi="Times New Roman" w:eastAsia="仿宋_GB2312" w:cs="Times New Roman"/>
          <w:b w:val="0"/>
          <w:bCs w:val="0"/>
          <w:color w:val="auto"/>
          <w:kern w:val="0"/>
          <w:sz w:val="32"/>
          <w:szCs w:val="32"/>
          <w:highlight w:val="none"/>
          <w:lang w:val="en-US" w:eastAsia="zh-CN"/>
        </w:rPr>
        <w:t>[</w:t>
      </w:r>
      <w:r>
        <w:rPr>
          <w:rStyle w:val="14"/>
          <w:rFonts w:hint="default" w:ascii="Times New Roman" w:hAnsi="Times New Roman" w:eastAsia="仿宋_GB2312" w:cs="Times New Roman"/>
          <w:b w:val="0"/>
          <w:bCs w:val="0"/>
          <w:color w:val="auto"/>
          <w:kern w:val="0"/>
          <w:sz w:val="32"/>
          <w:szCs w:val="32"/>
          <w:highlight w:val="none"/>
          <w:lang w:val="en-US" w:eastAsia="zh-CN"/>
        </w:rPr>
        <w:footnoteReference w:id="12"/>
      </w:r>
      <w:r>
        <w:rPr>
          <w:rStyle w:val="14"/>
          <w:rFonts w:hint="default"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相关规定，建议有关行政执法部门依据《中华人民共和国安全生产法》（国家主席令第88号）第九十五条</w:t>
      </w:r>
      <w:r>
        <w:rPr>
          <w:rStyle w:val="14"/>
          <w:rFonts w:hint="default" w:ascii="Times New Roman" w:hAnsi="Times New Roman" w:eastAsia="仿宋_GB2312" w:cs="Times New Roman"/>
          <w:b w:val="0"/>
          <w:bCs w:val="0"/>
          <w:color w:val="auto"/>
          <w:kern w:val="0"/>
          <w:sz w:val="32"/>
          <w:szCs w:val="32"/>
          <w:highlight w:val="none"/>
          <w:lang w:val="en-US" w:eastAsia="zh-CN"/>
        </w:rPr>
        <w:t>[</w:t>
      </w:r>
      <w:r>
        <w:rPr>
          <w:rStyle w:val="14"/>
          <w:rFonts w:hint="default" w:ascii="Times New Roman" w:hAnsi="Times New Roman" w:eastAsia="仿宋_GB2312" w:cs="Times New Roman"/>
          <w:b w:val="0"/>
          <w:bCs w:val="0"/>
          <w:color w:val="auto"/>
          <w:kern w:val="0"/>
          <w:sz w:val="32"/>
          <w:szCs w:val="32"/>
          <w:highlight w:val="none"/>
          <w:lang w:val="en-US" w:eastAsia="zh-CN"/>
        </w:rPr>
        <w:footnoteReference w:id="13"/>
      </w:r>
      <w:r>
        <w:rPr>
          <w:rStyle w:val="14"/>
          <w:rFonts w:hint="default"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相关规定对其进行处罚。</w:t>
      </w:r>
    </w:p>
    <w:p w14:paraId="00A5E89E">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43" w:name="_Toc4737"/>
      <w:bookmarkStart w:id="44" w:name="heading_5"/>
      <w:bookmarkStart w:id="45" w:name="_Toc15083"/>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（三）对相关责任单位的行政处罚建议</w:t>
      </w:r>
      <w:bookmarkEnd w:id="43"/>
      <w:bookmarkEnd w:id="44"/>
      <w:bookmarkEnd w:id="45"/>
    </w:p>
    <w:p w14:paraId="07AF79B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1. 中诺（海南）建设工程有限公司：主要管理责任单位</w:t>
      </w:r>
    </w:p>
    <w:p w14:paraId="77998E3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中诺（海南）建设工程有限公司作为外立面门窗安装中吊篮作业实施主体与现场安全直接管理责任单位，未落实全员安全生产责任制；特种作业人员资质管控不严，放任无证人员从事电气作业；未落实高处危大作业现场风险分级管控及隐患排查治理机制；安全技术交底与安全教育流于形式；未对建筑外立面存在的 90°拐角狭小区域等高风险点位开展风险辨识；在142#吊篮电缆因电缆故障停用的情况下，未对吊篮施工现场采取隔离警示措施；事发当天班组长安排作业人员在142#吊篮施工作业时，未告知作业人员142#吊篮存在的施工作业风险；多重管理漏洞叠加，最终诱发触电事故。对事故发生负主要管理责任。其行为违反《中华人民共和国安全生产法》（国家主席令第88号）第四条、第二十八条、第四十一条</w:t>
      </w:r>
      <w:r>
        <w:rPr>
          <w:rStyle w:val="14"/>
          <w:rFonts w:hint="default" w:ascii="Times New Roman" w:hAnsi="Times New Roman" w:eastAsia="仿宋_GB2312" w:cs="Times New Roman"/>
          <w:b w:val="0"/>
          <w:bCs w:val="0"/>
          <w:color w:val="auto"/>
          <w:kern w:val="0"/>
          <w:sz w:val="32"/>
          <w:szCs w:val="32"/>
          <w:highlight w:val="none"/>
          <w:lang w:val="en-US" w:eastAsia="zh-CN"/>
        </w:rPr>
        <w:t>[</w:t>
      </w:r>
      <w:r>
        <w:rPr>
          <w:rStyle w:val="14"/>
          <w:rFonts w:hint="default" w:ascii="Times New Roman" w:hAnsi="Times New Roman" w:eastAsia="仿宋_GB2312" w:cs="Times New Roman"/>
          <w:b w:val="0"/>
          <w:bCs w:val="0"/>
          <w:color w:val="auto"/>
          <w:kern w:val="0"/>
          <w:sz w:val="32"/>
          <w:szCs w:val="32"/>
          <w:highlight w:val="none"/>
          <w:lang w:val="en-US" w:eastAsia="zh-CN"/>
        </w:rPr>
        <w:footnoteReference w:id="14"/>
      </w:r>
      <w:r>
        <w:rPr>
          <w:rStyle w:val="14"/>
          <w:rFonts w:hint="default"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相关规定，建议有关行政执法部门依据《中华人民共和国安全生产法》（国家主席令第88号）第一百一十四条</w:t>
      </w:r>
      <w:r>
        <w:rPr>
          <w:rStyle w:val="14"/>
          <w:rFonts w:hint="default" w:ascii="Times New Roman" w:hAnsi="Times New Roman" w:eastAsia="仿宋_GB2312" w:cs="Times New Roman"/>
          <w:b w:val="0"/>
          <w:bCs w:val="0"/>
          <w:color w:val="auto"/>
          <w:kern w:val="0"/>
          <w:sz w:val="32"/>
          <w:szCs w:val="32"/>
          <w:highlight w:val="none"/>
          <w:lang w:val="en-US" w:eastAsia="zh-CN"/>
        </w:rPr>
        <w:t>[</w:t>
      </w:r>
      <w:r>
        <w:rPr>
          <w:rStyle w:val="14"/>
          <w:rFonts w:hint="default" w:ascii="Times New Roman" w:hAnsi="Times New Roman" w:eastAsia="仿宋_GB2312" w:cs="Times New Roman"/>
          <w:b w:val="0"/>
          <w:bCs w:val="0"/>
          <w:color w:val="auto"/>
          <w:kern w:val="0"/>
          <w:sz w:val="32"/>
          <w:szCs w:val="32"/>
          <w:highlight w:val="none"/>
          <w:lang w:val="en-US" w:eastAsia="zh-CN"/>
        </w:rPr>
        <w:footnoteReference w:id="15"/>
      </w:r>
      <w:r>
        <w:rPr>
          <w:rStyle w:val="14"/>
          <w:rFonts w:hint="default"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相关规定对其进行处罚。</w:t>
      </w:r>
    </w:p>
    <w:p w14:paraId="3609733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Times New Roman" w:hAnsi="Times New Roman" w:eastAsia="仿宋_GB2312" w:cs="Times New Roman"/>
          <w:b/>
          <w:bCs/>
          <w:color w:val="auto"/>
          <w:kern w:val="0"/>
          <w:sz w:val="32"/>
          <w:szCs w:val="32"/>
          <w:highlight w:val="none"/>
          <w:lang w:val="en-US" w:eastAsia="zh-CN"/>
        </w:rPr>
      </w:pPr>
      <w:bookmarkStart w:id="46" w:name="_Toc11534"/>
      <w:r>
        <w:rPr>
          <w:rFonts w:hint="default" w:ascii="Times New Roman" w:hAnsi="Times New Roman" w:eastAsia="仿宋_GB2312" w:cs="Times New Roman"/>
          <w:b/>
          <w:bCs/>
          <w:color w:val="auto"/>
          <w:kern w:val="0"/>
          <w:sz w:val="32"/>
          <w:szCs w:val="32"/>
          <w:highlight w:val="none"/>
          <w:lang w:val="en-US" w:eastAsia="zh-CN"/>
        </w:rPr>
        <w:t>2. 海南实创建筑劳务有限公司：次要责任单位</w:t>
      </w:r>
    </w:p>
    <w:p w14:paraId="0A79309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海南实创建筑劳务有限公司作为本项目主体工程劳务分包单位，在外立面门窗瑕疵剔凿配合作业实施期间，对参与配合作业的劳务人员安全意识教育培训、作业风险防范管理工作落实不力；其班组长岗位安全管理职责履行不到位，未能有效督促班组人员落实隐患报告、违章制止等安全互控要求。其现场参与作业的人员在发现吊篮供电缺失、他人违规跨吊篮搭接及接驳破损电缆等安全隐患与违章行为时，未及时制止、未上报现场管理人员，未能及时消除作业现场安全风险，对事故发生负次要管理责任。其行为违反《中华人民共和国安全生产法》（国家主席令第88号）第四条、第二十八条、第四十一条相关规定，建议有关行政执法部门依据《中华人民共和国安全生产法》（国家主席令第88号）第一百一十四条相关规定对其进行处罚。</w:t>
      </w:r>
    </w:p>
    <w:p w14:paraId="03B7351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Style w:val="15"/>
          <w:rFonts w:hint="default" w:ascii="Times New Roman" w:hAnsi="Times New Roman" w:eastAsia="仿宋_GB2312" w:cs="Times New Roman"/>
          <w:b w:val="0"/>
          <w:bCs/>
          <w:snapToGrid/>
          <w:color w:val="auto"/>
          <w:kern w:val="2"/>
          <w:szCs w:val="24"/>
          <w:highlight w:val="none"/>
          <w:lang w:val="en-US" w:eastAsia="zh-CN" w:bidi="ar-SA"/>
        </w:rPr>
      </w:pPr>
      <w:r>
        <w:rPr>
          <w:rFonts w:hint="default" w:ascii="Times New Roman" w:hAnsi="Times New Roman" w:eastAsia="仿宋_GB2312" w:cs="Times New Roman"/>
          <w:b/>
          <w:bCs/>
          <w:color w:val="auto"/>
          <w:kern w:val="0"/>
          <w:sz w:val="32"/>
          <w:szCs w:val="32"/>
          <w:highlight w:val="none"/>
          <w:lang w:val="en-US" w:eastAsia="zh-CN"/>
        </w:rPr>
        <w:t>3. 浙江天成项目管理有限公司：次要责任单位</w:t>
      </w:r>
    </w:p>
    <w:p w14:paraId="4A07177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浙江天成项目管理有限公司作为涉事项目的监理单位，未依照法律、法规和工程建设强制性标准实施监理：端午假期仅安排总监值班，早间作业时段形成监管空档；隐患整改指令缺少整改标准、时限、复查要求，未实地复核吊篮隐患整改情况即默认设备恢复使用；监理巡查记录流于形式，监理防控屏障失效。对事故发生负监理责任。其行为违反《建设工程安全生产管理条例》（中华人民共和国国务院令第393号）第十四条</w:t>
      </w:r>
      <w:r>
        <w:rPr>
          <w:rStyle w:val="14"/>
          <w:rFonts w:hint="default" w:ascii="Times New Roman" w:hAnsi="Times New Roman" w:eastAsia="仿宋_GB2312" w:cs="Times New Roman"/>
          <w:b w:val="0"/>
          <w:bCs w:val="0"/>
          <w:color w:val="auto"/>
          <w:kern w:val="0"/>
          <w:sz w:val="32"/>
          <w:szCs w:val="32"/>
          <w:highlight w:val="none"/>
          <w:lang w:val="en-US" w:eastAsia="zh-CN"/>
        </w:rPr>
        <w:t>[</w:t>
      </w:r>
      <w:r>
        <w:rPr>
          <w:rStyle w:val="14"/>
          <w:rFonts w:hint="default" w:ascii="Times New Roman" w:hAnsi="Times New Roman" w:eastAsia="仿宋_GB2312" w:cs="Times New Roman"/>
          <w:b w:val="0"/>
          <w:bCs w:val="0"/>
          <w:color w:val="auto"/>
          <w:kern w:val="0"/>
          <w:sz w:val="32"/>
          <w:szCs w:val="32"/>
          <w:highlight w:val="none"/>
          <w:lang w:val="en-US" w:eastAsia="zh-CN"/>
        </w:rPr>
        <w:footnoteReference w:id="16"/>
      </w:r>
      <w:r>
        <w:rPr>
          <w:rStyle w:val="14"/>
          <w:rFonts w:hint="default"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相关规定。建议有关部门依据《建设工程安全生产管理条例》（中华人民共和国国务院令第393号）第五十七条</w:t>
      </w:r>
      <w:r>
        <w:rPr>
          <w:rStyle w:val="14"/>
          <w:rFonts w:hint="default" w:ascii="Times New Roman" w:hAnsi="Times New Roman" w:eastAsia="仿宋_GB2312" w:cs="Times New Roman"/>
          <w:b w:val="0"/>
          <w:bCs w:val="0"/>
          <w:color w:val="auto"/>
          <w:kern w:val="0"/>
          <w:sz w:val="32"/>
          <w:szCs w:val="32"/>
          <w:highlight w:val="none"/>
          <w:lang w:val="en-US" w:eastAsia="zh-CN"/>
        </w:rPr>
        <w:t>[</w:t>
      </w:r>
      <w:r>
        <w:rPr>
          <w:rStyle w:val="14"/>
          <w:rFonts w:hint="default" w:ascii="Times New Roman" w:hAnsi="Times New Roman" w:eastAsia="仿宋_GB2312" w:cs="Times New Roman"/>
          <w:b w:val="0"/>
          <w:bCs w:val="0"/>
          <w:color w:val="auto"/>
          <w:kern w:val="0"/>
          <w:sz w:val="32"/>
          <w:szCs w:val="32"/>
          <w:highlight w:val="none"/>
          <w:lang w:val="en-US" w:eastAsia="zh-CN"/>
        </w:rPr>
        <w:footnoteReference w:id="17"/>
      </w:r>
      <w:r>
        <w:rPr>
          <w:rStyle w:val="14"/>
          <w:rFonts w:hint="default" w:ascii="Times New Roman" w:hAnsi="Times New Roman" w:eastAsia="仿宋_GB2312" w:cs="Times New Roman"/>
          <w:b w:val="0"/>
          <w:bCs w:val="0"/>
          <w:color w:val="auto"/>
          <w:kern w:val="0"/>
          <w:sz w:val="32"/>
          <w:szCs w:val="32"/>
          <w:highlight w:val="none"/>
          <w:lang w:val="en-US" w:eastAsia="zh-CN"/>
        </w:rPr>
        <w:t>]</w:t>
      </w:r>
      <w:r>
        <w:rPr>
          <w:rFonts w:hint="default" w:ascii="Times New Roman" w:hAnsi="Times New Roman" w:eastAsia="仿宋_GB2312" w:cs="Times New Roman"/>
          <w:b w:val="0"/>
          <w:bCs w:val="0"/>
          <w:color w:val="auto"/>
          <w:kern w:val="0"/>
          <w:sz w:val="32"/>
          <w:szCs w:val="32"/>
          <w:highlight w:val="none"/>
          <w:lang w:val="en-US" w:eastAsia="zh-CN"/>
        </w:rPr>
        <w:t>相关规定责令其对本单位存在的各项问题进行限期改正。同时约谈其相关负责人员，要求其在后续的工程监理过程中，严格依照法律、法规和工程建设强制性标准实施监理。若在规定的时限内未整改完毕，或后续的监理过程中再次出现问题，将依法依规从重处罚。</w:t>
      </w:r>
    </w:p>
    <w:p w14:paraId="381B89F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0"/>
        <w:rPr>
          <w:rFonts w:hint="eastAsia" w:ascii="黑体" w:hAnsi="黑体" w:eastAsia="黑体" w:cs="黑体"/>
          <w:b w:val="0"/>
          <w:bCs w:val="0"/>
          <w:snapToGrid w:val="0"/>
          <w:color w:val="auto"/>
          <w:kern w:val="0"/>
          <w:sz w:val="32"/>
          <w:szCs w:val="32"/>
          <w:highlight w:val="none"/>
          <w:lang w:val="en-US" w:eastAsia="zh-CN"/>
        </w:rPr>
      </w:pPr>
      <w:bookmarkStart w:id="47" w:name="_Toc5403"/>
      <w:r>
        <w:rPr>
          <w:rFonts w:hint="eastAsia" w:ascii="黑体" w:hAnsi="黑体" w:eastAsia="黑体" w:cs="黑体"/>
          <w:b w:val="0"/>
          <w:bCs w:val="0"/>
          <w:snapToGrid w:val="0"/>
          <w:color w:val="auto"/>
          <w:kern w:val="0"/>
          <w:sz w:val="32"/>
          <w:szCs w:val="32"/>
          <w:highlight w:val="none"/>
          <w:lang w:val="en-US" w:eastAsia="zh-CN"/>
        </w:rPr>
        <w:t>六、事故主要教训</w:t>
      </w:r>
      <w:bookmarkEnd w:id="46"/>
      <w:bookmarkEnd w:id="47"/>
    </w:p>
    <w:p w14:paraId="48C655F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本次事故是超危大工程安全管理不严、现场管控失守、监理监管缺位叠加引发的生产安全责任事故，暴露出项目安全生产管理存在短板，教训深刻。</w:t>
      </w:r>
    </w:p>
    <w:p w14:paraId="29596297">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一是工程监理单位未严格依法依规落实监理职责，现场排班存在监管空档，隐患整改闭环管理虚化，监理资料流于形式，安全监督屏障失效。</w:t>
      </w:r>
    </w:p>
    <w:p w14:paraId="3740028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二是建筑施工现场故障设备停用管控措施缺失，设备故障信息传递不畅，未落实隔离、警示管控，易引发设备带病使用风险。</w:t>
      </w:r>
    </w:p>
    <w:p w14:paraId="63E58ADE">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三是高处作业与临时用电交叉风险辨识不足，对狭小转角、多吊篮近距离作业等高风险场景缺乏专项管控方案。</w:t>
      </w:r>
    </w:p>
    <w:p w14:paraId="782CC2BE">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四是参建各方安全责任边界虽有合同约定，但过程监督、风险联动管控机制不足，劳务作业单位自主管理失控时缺少上游有效约束手段。</w:t>
      </w:r>
    </w:p>
    <w:p w14:paraId="6C9B827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黑体" w:hAnsi="黑体" w:eastAsia="黑体" w:cs="黑体"/>
          <w:b w:val="0"/>
          <w:bCs w:val="0"/>
          <w:snapToGrid w:val="0"/>
          <w:color w:val="auto"/>
          <w:kern w:val="0"/>
          <w:sz w:val="32"/>
          <w:szCs w:val="32"/>
          <w:highlight w:val="none"/>
          <w:lang w:val="en-US" w:eastAsia="zh-CN"/>
        </w:rPr>
      </w:pPr>
      <w:bookmarkStart w:id="48" w:name="_Toc3852"/>
      <w:bookmarkStart w:id="49" w:name="_Toc21049"/>
      <w:r>
        <w:rPr>
          <w:rFonts w:hint="eastAsia" w:ascii="黑体" w:hAnsi="黑体" w:eastAsia="黑体" w:cs="黑体"/>
          <w:b w:val="0"/>
          <w:bCs w:val="0"/>
          <w:snapToGrid w:val="0"/>
          <w:color w:val="auto"/>
          <w:kern w:val="0"/>
          <w:sz w:val="32"/>
          <w:szCs w:val="32"/>
          <w:highlight w:val="none"/>
          <w:lang w:val="en-US" w:eastAsia="zh-CN"/>
        </w:rPr>
        <w:t>七、事故整改和防范措施</w:t>
      </w:r>
      <w:bookmarkEnd w:id="48"/>
      <w:bookmarkEnd w:id="49"/>
    </w:p>
    <w:p w14:paraId="1215D18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50" w:name="_Toc26511"/>
      <w:bookmarkStart w:id="51" w:name="_Toc21712"/>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（一）施工单位防范措施</w:t>
      </w:r>
      <w:bookmarkEnd w:id="50"/>
      <w:bookmarkEnd w:id="51"/>
    </w:p>
    <w:p w14:paraId="4E3CBEE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一是健全全员安全生产责任制，提升班组长及作业人员安全知识水平、风险辨识及防控能力，严格落实班组长及作业人员岗位安全责任制。</w:t>
      </w:r>
    </w:p>
    <w:p w14:paraId="1FF28F7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二是强化高处吊篮、临时用电等高风险作业管控，建立故障设备专项管理制度，设备故障停用后立即落实断电、隔离、警示措施，建立停用设备台账，杜绝擅自启用现象发生。</w:t>
      </w:r>
    </w:p>
    <w:p w14:paraId="43D926D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三是规范安全技术交底与安全教育培训，针对吊篮作业、临时用电、交叉作业开展专项交底，强化触电风险警示教育，提升作业人员危险辨识能力。</w:t>
      </w:r>
    </w:p>
    <w:p w14:paraId="130C84CD">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四是全面开展施工现场隐患自查，重点排查吊篮设备、电缆线路、临电系统，建立隐患台账，实现整改、复核、销号全流程闭环管理。</w:t>
      </w:r>
    </w:p>
    <w:p w14:paraId="12ECD8F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方正仿宋_GB2312" w:hAnsi="方正仿宋_GB2312" w:eastAsia="方正仿宋_GB2312" w:cs="方正仿宋_GB2312"/>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五是完善班组派工风险告知制度，设备存在故障、现场存在重大风险时，派工环节必须同步告知风险点，留存书面告知记录。</w:t>
      </w:r>
    </w:p>
    <w:p w14:paraId="79A385A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52" w:name="_Toc17705"/>
      <w:bookmarkStart w:id="53" w:name="_Toc11134"/>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（二）监理单位防范措施</w:t>
      </w:r>
      <w:bookmarkEnd w:id="52"/>
      <w:bookmarkEnd w:id="53"/>
    </w:p>
    <w:p w14:paraId="2BD78A0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一是优化项目监理人员排班制度，覆盖早间、夜间等全部施工时段，高风险作业时段保证监理巡视、旁站力量，杜绝监管空档。</w:t>
      </w:r>
    </w:p>
    <w:p w14:paraId="04298672">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二是规范隐患整改指令下达内容，明确整改措施、判定标准、完成时限、复查要求；严格落实隐患现场复核，未经实地核验不得销项。</w:t>
      </w:r>
    </w:p>
    <w:p w14:paraId="288321C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三是压实危大工程监理职责，对吊篮高处作业、施工现场临时用电开展常态化专项巡查，及时制止各类违章作业行为。</w:t>
      </w:r>
    </w:p>
    <w:p w14:paraId="0B696F1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四是严格监理资料管理，巡查记录、旁站记录必须真实客观，杜绝编制虚假监理资料，完善内部资料审核追责机制。</w:t>
      </w:r>
    </w:p>
    <w:p w14:paraId="73ADE7F2">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54" w:name="_Toc23029"/>
      <w:bookmarkStart w:id="55" w:name="_Toc23676"/>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（三）项目总包及专业分包单位管控措施</w:t>
      </w:r>
      <w:bookmarkEnd w:id="54"/>
      <w:bookmarkEnd w:id="55"/>
    </w:p>
    <w:p w14:paraId="0272922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一是强化分包单位准入与过程履约考核，定期核查分包安全管理体系运行情况，对安全管理持续失能的分包单位及时采取约束措施。</w:t>
      </w:r>
    </w:p>
    <w:p w14:paraId="66E2A475">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二是完善工作面移交管理制度，明确移交前后安全管理责任边界，做好书面确认、风险交接告知。</w:t>
      </w:r>
    </w:p>
    <w:p w14:paraId="0BDEAC8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三是建立项目设备信息共享机制，吊篮故障、停用信息及时同步所有相关施工班组，畅通设备风险信息传递渠道。</w:t>
      </w:r>
    </w:p>
    <w:p w14:paraId="251D876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highlight w:val="none"/>
          <w:lang w:val="en-US" w:eastAsia="zh-CN" w:bidi="ar-SA"/>
        </w:rPr>
      </w:pPr>
      <w:bookmarkStart w:id="56" w:name="_Toc25494"/>
      <w:bookmarkStart w:id="57" w:name="_Toc16253"/>
      <w:r>
        <w:rPr>
          <w:rStyle w:val="15"/>
          <w:rFonts w:hint="eastAsia" w:ascii="方正楷体_GB2312" w:hAnsi="方正楷体_GB2312" w:eastAsia="方正楷体_GB2312" w:cs="方正楷体_GB2312"/>
          <w:b w:val="0"/>
          <w:bCs/>
          <w:snapToGrid/>
          <w:color w:val="auto"/>
          <w:kern w:val="2"/>
          <w:szCs w:val="24"/>
          <w:highlight w:val="none"/>
          <w:lang w:val="en-US" w:eastAsia="zh-CN" w:bidi="ar-SA"/>
        </w:rPr>
        <w:t>（四）行业监管警示措施</w:t>
      </w:r>
      <w:bookmarkEnd w:id="56"/>
      <w:bookmarkEnd w:id="57"/>
    </w:p>
    <w:p w14:paraId="5BBBB9D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一是属地住建主管部门组织辖区在建项目开展高处作业吊篮、施工现场临时用电专项整治行动。</w:t>
      </w:r>
    </w:p>
    <w:p w14:paraId="21077AD5">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二是强化监理单位履职监督，重点核查危大工程旁站、隐患闭环、监理资料真实性，严肃查处监理履职缺位、资料造假行为。</w:t>
      </w:r>
    </w:p>
    <w:p w14:paraId="5579CDC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val="0"/>
          <w:bCs w:val="0"/>
          <w:color w:val="auto"/>
          <w:kern w:val="0"/>
          <w:sz w:val="32"/>
          <w:szCs w:val="32"/>
          <w:highlight w:val="none"/>
          <w:lang w:val="en-US" w:eastAsia="zh-CN"/>
        </w:rPr>
        <w:t>三是加大建筑劳务分包安全执法力度，严厉打击无证特种作业、设备带病运行、危大作业无监护等违法违规行为。</w:t>
      </w:r>
    </w:p>
    <w:p w14:paraId="5EAF8A0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Times New Roman" w:hAnsi="Times New Roman" w:eastAsia="仿宋_GB2312" w:cs="Times New Roman"/>
          <w:b w:val="0"/>
          <w:bCs w:val="0"/>
          <w:color w:val="auto"/>
          <w:kern w:val="0"/>
          <w:sz w:val="32"/>
          <w:szCs w:val="32"/>
          <w:highlight w:val="none"/>
          <w:lang w:val="en-US" w:eastAsia="zh-CN"/>
        </w:rPr>
      </w:pPr>
    </w:p>
    <w:sectPr>
      <w:footerReference r:id="rId4" w:type="default"/>
      <w:pgSz w:w="11906" w:h="16838"/>
      <w:pgMar w:top="2098" w:right="1474" w:bottom="1984" w:left="158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方正楷体_GB2312">
    <w:altName w:val="楷体_GB2312"/>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长城小标宋体">
    <w:panose1 w:val="02010609010101010101"/>
    <w:charset w:val="00"/>
    <w:family w:val="auto"/>
    <w:pitch w:val="default"/>
    <w:sig w:usb0="00000000" w:usb1="00000000" w:usb2="00000000" w:usb3="00000000" w:csb0="00000000" w:csb1="0000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C5526">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2320B4">
                          <w:pPr>
                            <w:pStyle w:val="5"/>
                            <w:rPr>
                              <w:rFonts w:hint="eastAsia" w:ascii="宋体" w:hAnsi="宋体" w:eastAsia="宋体" w:cs="宋体"/>
                              <w:sz w:val="32"/>
                              <w:szCs w:val="32"/>
                            </w:rPr>
                          </w:pPr>
                          <w:r>
                            <w:rPr>
                              <w:rFonts w:hint="eastAsia" w:ascii="宋体" w:hAnsi="宋体" w:eastAsia="宋体" w:cs="宋体"/>
                              <w:sz w:val="32"/>
                              <w:szCs w:val="32"/>
                            </w:rPr>
                            <w:t xml:space="preserve">— </w:t>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4</w:t>
                          </w:r>
                          <w:r>
                            <w:rPr>
                              <w:rFonts w:hint="eastAsia" w:ascii="宋体" w:hAnsi="宋体" w:eastAsia="宋体" w:cs="宋体"/>
                              <w:sz w:val="32"/>
                              <w:szCs w:val="32"/>
                            </w:rPr>
                            <w:fldChar w:fldCharType="end"/>
                          </w:r>
                          <w:r>
                            <w:rPr>
                              <w:rFonts w:hint="eastAsia" w:ascii="宋体" w:hAnsi="宋体" w:eastAsia="宋体" w:cs="宋体"/>
                              <w:sz w:val="32"/>
                              <w:szCs w:val="3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C2320B4">
                    <w:pPr>
                      <w:pStyle w:val="5"/>
                      <w:rPr>
                        <w:rFonts w:hint="eastAsia" w:ascii="宋体" w:hAnsi="宋体" w:eastAsia="宋体" w:cs="宋体"/>
                        <w:sz w:val="32"/>
                        <w:szCs w:val="32"/>
                      </w:rPr>
                    </w:pPr>
                    <w:r>
                      <w:rPr>
                        <w:rFonts w:hint="eastAsia" w:ascii="宋体" w:hAnsi="宋体" w:eastAsia="宋体" w:cs="宋体"/>
                        <w:sz w:val="32"/>
                        <w:szCs w:val="32"/>
                      </w:rPr>
                      <w:t xml:space="preserve">— </w:t>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4</w:t>
                    </w:r>
                    <w:r>
                      <w:rPr>
                        <w:rFonts w:hint="eastAsia" w:ascii="宋体" w:hAnsi="宋体" w:eastAsia="宋体" w:cs="宋体"/>
                        <w:sz w:val="32"/>
                        <w:szCs w:val="32"/>
                      </w:rPr>
                      <w:fldChar w:fldCharType="end"/>
                    </w:r>
                    <w:r>
                      <w:rPr>
                        <w:rFonts w:hint="eastAsia" w:ascii="宋体" w:hAnsi="宋体" w:eastAsia="宋体" w:cs="宋体"/>
                        <w:sz w:val="32"/>
                        <w:szCs w:val="32"/>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36">
    <w:p>
      <w:r>
        <w:separator/>
      </w:r>
    </w:p>
  </w:footnote>
  <w:footnote w:type="continuationSeparator" w:id="37">
    <w:p>
      <w:r>
        <w:continuationSeparator/>
      </w:r>
    </w:p>
  </w:footnote>
  <w:footnote w:id="0">
    <w:p w14:paraId="3D3B3E00">
      <w:pPr>
        <w:pStyle w:val="8"/>
        <w:snapToGrid w:val="0"/>
        <w:rPr>
          <w:color w:val="0000FF"/>
        </w:rPr>
      </w:pPr>
      <w:r>
        <w:rPr>
          <w:rStyle w:val="14"/>
        </w:rPr>
        <w:t>[</w:t>
      </w:r>
      <w:r>
        <w:rPr>
          <w:rStyle w:val="14"/>
        </w:rPr>
        <w:footnoteRef/>
      </w:r>
      <w:r>
        <w:rPr>
          <w:rStyle w:val="14"/>
        </w:rPr>
        <w:t>]</w:t>
      </w:r>
      <w:r>
        <w:rPr>
          <w:color w:val="0000FF"/>
        </w:rPr>
        <w:t xml:space="preserve"> </w:t>
      </w:r>
      <w:r>
        <w:rPr>
          <w:rFonts w:hint="default"/>
          <w:color w:val="auto"/>
          <w:lang w:val="en-US" w:eastAsia="zh-CN"/>
        </w:rPr>
        <w:t>《住房和城乡建设部办公厅关于实施〈危险性较大的分部分项工程安全管理规定〉有关问题的通知》（建办质〔2018〕31 号）附件 2 规定：施工高度 50m 及以上的建筑幕墙安装工程，属于超危大工程，必须编制专项施工方案并组织专家论证，落实全过程专项安全管控、旁站监理</w:t>
      </w:r>
      <w:r>
        <w:rPr>
          <w:rFonts w:hint="eastAsia"/>
          <w:color w:val="auto"/>
          <w:lang w:val="en-US" w:eastAsia="zh-CN"/>
        </w:rPr>
        <w:t>。</w:t>
      </w:r>
    </w:p>
  </w:footnote>
  <w:footnote w:id="1">
    <w:p w14:paraId="24DD7DAC">
      <w:pPr>
        <w:pStyle w:val="8"/>
        <w:snapToGrid w:val="0"/>
      </w:pPr>
      <w:r>
        <w:rPr>
          <w:rStyle w:val="14"/>
        </w:rPr>
        <w:t>[</w:t>
      </w:r>
      <w:r>
        <w:rPr>
          <w:rStyle w:val="14"/>
        </w:rPr>
        <w:footnoteRef/>
      </w:r>
      <w:r>
        <w:rPr>
          <w:rStyle w:val="14"/>
        </w:rPr>
        <w:t>]</w:t>
      </w:r>
      <w:r>
        <w:t xml:space="preserve"> </w:t>
      </w:r>
      <w:r>
        <w:rPr>
          <w:rFonts w:hint="eastAsia"/>
          <w:lang w:val="en-US" w:eastAsia="zh-CN"/>
        </w:rPr>
        <w:t>《中华人民共和国安全生产法》（国家主席令第88号）</w:t>
      </w:r>
      <w:r>
        <w:t>第五十</w:t>
      </w:r>
      <w:r>
        <w:rPr>
          <w:rFonts w:hint="eastAsia"/>
          <w:lang w:val="en-US" w:eastAsia="zh-CN"/>
        </w:rPr>
        <w:t>七</w:t>
      </w:r>
      <w:r>
        <w:t>条</w:t>
      </w:r>
      <w:r>
        <w:rPr>
          <w:rFonts w:hint="eastAsia"/>
          <w:lang w:eastAsia="zh-CN"/>
        </w:rPr>
        <w:t>：从业人员在作业过程中，应当严格落实岗位安全责任，遵守本单位的安全生产规章制度和操作规程，服从管理，正确佩戴和使用劳动防护用品。</w:t>
      </w:r>
    </w:p>
  </w:footnote>
  <w:footnote w:id="2">
    <w:p w14:paraId="2905B7EF">
      <w:pPr>
        <w:pStyle w:val="8"/>
        <w:snapToGrid w:val="0"/>
        <w:jc w:val="left"/>
        <w:rPr>
          <w:rFonts w:hint="eastAsia"/>
          <w:lang w:val="en-US" w:eastAsia="zh-CN"/>
        </w:rPr>
      </w:pPr>
      <w:r>
        <w:rPr>
          <w:rStyle w:val="14"/>
        </w:rPr>
        <w:t>[</w:t>
      </w:r>
      <w:r>
        <w:rPr>
          <w:rStyle w:val="14"/>
        </w:rPr>
        <w:footnoteRef/>
      </w:r>
      <w:r>
        <w:rPr>
          <w:rStyle w:val="14"/>
        </w:rPr>
        <w:t>]</w:t>
      </w:r>
      <w:r>
        <w:t xml:space="preserve"> </w:t>
      </w:r>
      <w:r>
        <w:rPr>
          <w:rFonts w:hint="eastAsia"/>
          <w:lang w:val="en-US" w:eastAsia="zh-CN"/>
        </w:rPr>
        <w:t>《中华人民共和国安全生产法》（国家主席令第88号）第五十七条：从业人员在作业过程中，应当严格落实岗位安全责任，遵守本单位的安全生产规章制度和操作规程，服从管理，正确佩戴和使用劳动防护用品。</w:t>
      </w:r>
    </w:p>
  </w:footnote>
  <w:footnote w:id="3">
    <w:p w14:paraId="620125AC">
      <w:pPr>
        <w:pStyle w:val="8"/>
        <w:snapToGrid w:val="0"/>
      </w:pPr>
      <w:r>
        <w:rPr>
          <w:rStyle w:val="14"/>
        </w:rPr>
        <w:t>[</w:t>
      </w:r>
      <w:r>
        <w:rPr>
          <w:rStyle w:val="14"/>
        </w:rPr>
        <w:footnoteRef/>
      </w:r>
      <w:r>
        <w:rPr>
          <w:rStyle w:val="14"/>
        </w:rPr>
        <w:t>]</w:t>
      </w:r>
      <w:r>
        <w:t xml:space="preserve"> </w:t>
      </w:r>
      <w:r>
        <w:rPr>
          <w:rFonts w:hint="eastAsia"/>
          <w:lang w:val="en-US" w:eastAsia="zh-CN"/>
        </w:rPr>
        <w:t>《中华人民共和国安全生产法》（国家主席令第88号）</w:t>
      </w:r>
      <w:r>
        <w:t>第五十八条</w:t>
      </w:r>
      <w:r>
        <w:rPr>
          <w:rFonts w:hint="eastAsia"/>
          <w:lang w:eastAsia="zh-CN"/>
        </w:rPr>
        <w:t>：</w:t>
      </w:r>
      <w:r>
        <w:t>从业人员应当接受安全生产教育和培训，掌握本职工作所需的安全生产知识，提高安全生产技能，增强事故预防和应急处理能力。</w:t>
      </w:r>
    </w:p>
    <w:p w14:paraId="046E5863">
      <w:pPr>
        <w:pStyle w:val="8"/>
        <w:snapToGrid w:val="0"/>
        <w:ind w:firstLine="360" w:firstLineChars="200"/>
      </w:pPr>
      <w:r>
        <w:t>第五十九条</w:t>
      </w:r>
      <w:r>
        <w:rPr>
          <w:rFonts w:hint="eastAsia"/>
          <w:lang w:eastAsia="zh-CN"/>
        </w:rPr>
        <w:t>：</w:t>
      </w:r>
      <w:r>
        <w:t>从业人员发现事故隐患或者其他不安全因素，应当立即向现场安全生产管理人员或者本单位负责人报告；接到报告的人员应当及时予以处理。</w:t>
      </w:r>
    </w:p>
  </w:footnote>
  <w:footnote w:id="4">
    <w:p w14:paraId="4A300506">
      <w:pPr>
        <w:pStyle w:val="8"/>
        <w:snapToGrid w:val="0"/>
      </w:pPr>
      <w:r>
        <w:rPr>
          <w:rStyle w:val="14"/>
        </w:rPr>
        <w:t>[</w:t>
      </w:r>
      <w:r>
        <w:rPr>
          <w:rStyle w:val="14"/>
        </w:rPr>
        <w:footnoteRef/>
      </w:r>
      <w:r>
        <w:rPr>
          <w:rStyle w:val="14"/>
        </w:rPr>
        <w:t>]</w:t>
      </w:r>
      <w:r>
        <w:t xml:space="preserve"> </w:t>
      </w:r>
      <w:r>
        <w:rPr>
          <w:rFonts w:hint="eastAsia"/>
          <w:lang w:val="en-US" w:eastAsia="zh-CN"/>
        </w:rPr>
        <w:t>《中华人民共和国安全生产法》（国家主席令第88号）第一百零七条：生产经营单位的从业人员不落实岗位安全责任，不服从管理，违反安全生产规章制度或者操作规程的，由生产经营单位给予批评教育，依照有关规章制度给予处分；构成犯罪的，依照刑法有关规定追究刑事责任。</w:t>
      </w:r>
    </w:p>
  </w:footnote>
  <w:footnote w:id="5">
    <w:p w14:paraId="5BA42E37">
      <w:pPr>
        <w:pStyle w:val="8"/>
        <w:snapToGrid w:val="0"/>
        <w:rPr>
          <w:rFonts w:hint="eastAsia"/>
          <w:lang w:val="en-US" w:eastAsia="zh-CN"/>
        </w:rPr>
      </w:pPr>
      <w:r>
        <w:rPr>
          <w:rStyle w:val="14"/>
        </w:rPr>
        <w:t>[</w:t>
      </w:r>
      <w:r>
        <w:rPr>
          <w:rStyle w:val="14"/>
        </w:rPr>
        <w:footnoteRef/>
      </w:r>
      <w:r>
        <w:rPr>
          <w:rStyle w:val="14"/>
        </w:rPr>
        <w:t>]</w:t>
      </w:r>
      <w:r>
        <w:t xml:space="preserve"> </w:t>
      </w:r>
      <w:r>
        <w:rPr>
          <w:rFonts w:hint="eastAsia"/>
          <w:lang w:val="en-US" w:eastAsia="zh-CN"/>
        </w:rPr>
        <w:t>《中华人民共和国安全生产法》（国家主席令第88号）第二十五条：生产经营单位的安全生产管理机构以及安全生产管理人员履行下列职责：</w:t>
      </w:r>
    </w:p>
    <w:p w14:paraId="74A8551E">
      <w:pPr>
        <w:pStyle w:val="8"/>
        <w:snapToGrid w:val="0"/>
        <w:ind w:firstLine="360" w:firstLineChars="200"/>
        <w:rPr>
          <w:rFonts w:hint="eastAsia"/>
          <w:lang w:val="en-US" w:eastAsia="zh-CN"/>
        </w:rPr>
      </w:pPr>
      <w:r>
        <w:rPr>
          <w:rFonts w:hint="eastAsia"/>
          <w:lang w:val="en-US" w:eastAsia="zh-CN"/>
        </w:rPr>
        <w:t>（一）组织或者参与拟订本单位安全生产规章制度、操作规程和生产安全事故应急救援预案；</w:t>
      </w:r>
    </w:p>
    <w:p w14:paraId="27D34510">
      <w:pPr>
        <w:pStyle w:val="8"/>
        <w:snapToGrid w:val="0"/>
        <w:ind w:firstLine="360" w:firstLineChars="200"/>
        <w:rPr>
          <w:rFonts w:hint="eastAsia"/>
          <w:lang w:val="en-US" w:eastAsia="zh-CN"/>
        </w:rPr>
      </w:pPr>
      <w:r>
        <w:rPr>
          <w:rFonts w:hint="eastAsia"/>
          <w:lang w:val="en-US" w:eastAsia="zh-CN"/>
        </w:rPr>
        <w:t>（二）组织或者参与本单位安全生产教育和培训，如实记录安全生产教育和培训情况；</w:t>
      </w:r>
    </w:p>
    <w:p w14:paraId="6F5C8167">
      <w:pPr>
        <w:pStyle w:val="8"/>
        <w:snapToGrid w:val="0"/>
        <w:ind w:firstLine="360" w:firstLineChars="200"/>
        <w:rPr>
          <w:rFonts w:hint="eastAsia"/>
          <w:lang w:val="en-US" w:eastAsia="zh-CN"/>
        </w:rPr>
      </w:pPr>
      <w:r>
        <w:rPr>
          <w:rFonts w:hint="eastAsia"/>
          <w:lang w:val="en-US" w:eastAsia="zh-CN"/>
        </w:rPr>
        <w:t>（三）组织开展危险源辨识和评估，督促落实本单位重大危险源的安全管理措施；</w:t>
      </w:r>
    </w:p>
    <w:p w14:paraId="5F6C95EC">
      <w:pPr>
        <w:pStyle w:val="8"/>
        <w:snapToGrid w:val="0"/>
        <w:ind w:firstLine="360" w:firstLineChars="200"/>
        <w:rPr>
          <w:rFonts w:hint="eastAsia"/>
          <w:lang w:val="en-US" w:eastAsia="zh-CN"/>
        </w:rPr>
      </w:pPr>
      <w:r>
        <w:rPr>
          <w:rFonts w:hint="eastAsia"/>
          <w:lang w:val="en-US" w:eastAsia="zh-CN"/>
        </w:rPr>
        <w:t>（四）组织或者参与本单位应急救援演练；</w:t>
      </w:r>
    </w:p>
    <w:p w14:paraId="00FB2F10">
      <w:pPr>
        <w:pStyle w:val="8"/>
        <w:snapToGrid w:val="0"/>
        <w:ind w:firstLine="360" w:firstLineChars="200"/>
        <w:rPr>
          <w:rFonts w:hint="eastAsia"/>
          <w:lang w:val="en-US" w:eastAsia="zh-CN"/>
        </w:rPr>
      </w:pPr>
      <w:r>
        <w:rPr>
          <w:rFonts w:hint="eastAsia"/>
          <w:lang w:val="en-US" w:eastAsia="zh-CN"/>
        </w:rPr>
        <w:t>（五）检查本单位的安全生产状况，及时排查生产安全事故隐患，提出改进安全生产管理的建议；</w:t>
      </w:r>
    </w:p>
    <w:p w14:paraId="4E7224D3">
      <w:pPr>
        <w:pStyle w:val="8"/>
        <w:snapToGrid w:val="0"/>
        <w:ind w:firstLine="360" w:firstLineChars="200"/>
        <w:rPr>
          <w:rFonts w:hint="eastAsia"/>
          <w:lang w:val="en-US" w:eastAsia="zh-CN"/>
        </w:rPr>
      </w:pPr>
      <w:r>
        <w:rPr>
          <w:rFonts w:hint="eastAsia"/>
          <w:lang w:val="en-US" w:eastAsia="zh-CN"/>
        </w:rPr>
        <w:t>（六）制止和纠正违章指挥、强令冒险作业、违反操作规程的行为；</w:t>
      </w:r>
    </w:p>
    <w:p w14:paraId="15E2D5DF">
      <w:pPr>
        <w:pStyle w:val="8"/>
        <w:snapToGrid w:val="0"/>
        <w:ind w:firstLine="360" w:firstLineChars="200"/>
        <w:rPr>
          <w:rFonts w:hint="eastAsia"/>
          <w:lang w:val="en-US" w:eastAsia="zh-CN"/>
        </w:rPr>
      </w:pPr>
      <w:r>
        <w:rPr>
          <w:rFonts w:hint="eastAsia"/>
          <w:lang w:val="en-US" w:eastAsia="zh-CN"/>
        </w:rPr>
        <w:t>（七）督促落实本单位安全生产整改措施。</w:t>
      </w:r>
    </w:p>
    <w:p w14:paraId="12D18A03">
      <w:pPr>
        <w:pStyle w:val="8"/>
        <w:snapToGrid w:val="0"/>
        <w:ind w:firstLine="360" w:firstLineChars="200"/>
      </w:pPr>
      <w:r>
        <w:rPr>
          <w:rFonts w:hint="eastAsia"/>
          <w:lang w:val="en-US" w:eastAsia="zh-CN"/>
        </w:rPr>
        <w:t>生产经营单位可以设置专职安全生产分管负责人，协助本单位主要负责人履行安全生产管理职责。</w:t>
      </w:r>
    </w:p>
  </w:footnote>
  <w:footnote w:id="6">
    <w:p w14:paraId="0FC56D3D">
      <w:pPr>
        <w:pStyle w:val="8"/>
        <w:snapToGrid w:val="0"/>
        <w:rPr>
          <w:rFonts w:hint="eastAsia"/>
          <w:lang w:val="en-US" w:eastAsia="zh-CN"/>
        </w:rPr>
      </w:pPr>
      <w:r>
        <w:rPr>
          <w:rStyle w:val="14"/>
        </w:rPr>
        <w:t>[</w:t>
      </w:r>
      <w:r>
        <w:rPr>
          <w:rStyle w:val="14"/>
        </w:rPr>
        <w:footnoteRef/>
      </w:r>
      <w:r>
        <w:rPr>
          <w:rStyle w:val="14"/>
        </w:rPr>
        <w:t>]</w:t>
      </w:r>
      <w:r>
        <w:t xml:space="preserve"> </w:t>
      </w:r>
      <w:r>
        <w:rPr>
          <w:rFonts w:hint="eastAsia"/>
          <w:lang w:val="en-US" w:eastAsia="zh-CN"/>
        </w:rPr>
        <w:t>《中华人民共和国安全生产法》（国家主席令第88号）第四十六条：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p w14:paraId="0AA6747A">
      <w:pPr>
        <w:pStyle w:val="8"/>
        <w:snapToGrid w:val="0"/>
        <w:ind w:firstLine="360" w:firstLineChars="200"/>
        <w:rPr>
          <w:rFonts w:hint="eastAsia"/>
          <w:lang w:val="en-US" w:eastAsia="zh-CN"/>
        </w:rPr>
      </w:pPr>
      <w:r>
        <w:rPr>
          <w:rFonts w:hint="eastAsia"/>
          <w:lang w:val="en-US" w:eastAsia="zh-CN"/>
        </w:rPr>
        <w:t>生产经营单位的安全生产管理人员在检查中发现重大事故隐患，依照前款规定向本单位有关负责人报告，有关负责人不及时处理的，安全生产管理人员可以向主管的负有安全生产监督管理职责的部门报告，接到报告的部门应当依法及时处理。</w:t>
      </w:r>
    </w:p>
  </w:footnote>
  <w:footnote w:id="7">
    <w:p w14:paraId="0641C822">
      <w:pPr>
        <w:pStyle w:val="8"/>
        <w:snapToGrid w:val="0"/>
      </w:pPr>
      <w:r>
        <w:rPr>
          <w:rStyle w:val="14"/>
        </w:rPr>
        <w:t>[</w:t>
      </w:r>
      <w:r>
        <w:rPr>
          <w:rStyle w:val="14"/>
        </w:rPr>
        <w:footnoteRef/>
      </w:r>
      <w:r>
        <w:rPr>
          <w:rStyle w:val="14"/>
        </w:rPr>
        <w:t>]</w:t>
      </w:r>
      <w:r>
        <w:t xml:space="preserve"> </w:t>
      </w:r>
      <w:r>
        <w:rPr>
          <w:rFonts w:hint="eastAsia"/>
          <w:lang w:val="en-US" w:eastAsia="zh-CN"/>
        </w:rPr>
        <w:t>《中华人民共和国安全生产法》（国家主席令第88号）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8">
    <w:p w14:paraId="174DDAFD">
      <w:pPr>
        <w:pStyle w:val="8"/>
        <w:snapToGrid w:val="0"/>
      </w:pPr>
      <w:r>
        <w:rPr>
          <w:rStyle w:val="14"/>
        </w:rPr>
        <w:t>[</w:t>
      </w:r>
      <w:r>
        <w:rPr>
          <w:rStyle w:val="14"/>
        </w:rPr>
        <w:footnoteRef/>
      </w:r>
      <w:r>
        <w:rPr>
          <w:rStyle w:val="14"/>
        </w:rPr>
        <w:t>]</w:t>
      </w:r>
      <w:r>
        <w:t xml:space="preserve"> </w:t>
      </w:r>
      <w:r>
        <w:rPr>
          <w:rFonts w:hint="eastAsia"/>
          <w:lang w:val="en-US" w:eastAsia="zh-CN"/>
        </w:rPr>
        <w:t>《中华人民共和国安全生产法》（国家主席令第88号）</w:t>
      </w:r>
      <w:r>
        <w:t>第五条</w:t>
      </w:r>
      <w:r>
        <w:rPr>
          <w:rFonts w:hint="eastAsia"/>
          <w:lang w:eastAsia="zh-CN"/>
        </w:rPr>
        <w:t>：</w:t>
      </w:r>
      <w:r>
        <w:t>生产经营单位的主要负责人是本单位安全生产第一责任人，对本单位的安全生产工作全面负责。其他负责人对职责范围内的安全生产工作负责。</w:t>
      </w:r>
    </w:p>
  </w:footnote>
  <w:footnote w:id="9">
    <w:p w14:paraId="5D2A44C4">
      <w:pPr>
        <w:pStyle w:val="8"/>
        <w:snapToGrid w:val="0"/>
        <w:rPr>
          <w:rFonts w:hint="default"/>
        </w:rPr>
      </w:pPr>
      <w:r>
        <w:rPr>
          <w:rStyle w:val="14"/>
        </w:rPr>
        <w:t>[</w:t>
      </w:r>
      <w:r>
        <w:rPr>
          <w:rStyle w:val="14"/>
        </w:rPr>
        <w:footnoteRef/>
      </w:r>
      <w:r>
        <w:rPr>
          <w:rStyle w:val="14"/>
        </w:rPr>
        <w:t>]</w:t>
      </w:r>
      <w:r>
        <w:t xml:space="preserve"> </w:t>
      </w:r>
      <w:r>
        <w:rPr>
          <w:rFonts w:hint="eastAsia"/>
          <w:lang w:eastAsia="zh-CN"/>
        </w:rPr>
        <w:t>《</w:t>
      </w:r>
      <w:r>
        <w:rPr>
          <w:rFonts w:hint="eastAsia"/>
          <w:lang w:val="en-US" w:eastAsia="zh-CN"/>
        </w:rPr>
        <w:t>建设工程安全生产管理条例</w:t>
      </w:r>
      <w:r>
        <w:rPr>
          <w:rFonts w:hint="eastAsia"/>
          <w:lang w:eastAsia="zh-CN"/>
        </w:rPr>
        <w:t>》（</w:t>
      </w:r>
      <w:r>
        <w:rPr>
          <w:rFonts w:hint="eastAsia"/>
          <w:lang w:val="en-US" w:eastAsia="zh-CN"/>
        </w:rPr>
        <w:t>中华人民共和国国务院令第393号</w:t>
      </w:r>
      <w:r>
        <w:rPr>
          <w:rFonts w:hint="eastAsia"/>
          <w:lang w:eastAsia="zh-CN"/>
        </w:rPr>
        <w:t>）</w:t>
      </w:r>
      <w:r>
        <w:rPr>
          <w:rFonts w:hint="default"/>
          <w:lang w:val="en-US" w:eastAsia="zh-CN"/>
        </w:rPr>
        <w:t>第十四条</w:t>
      </w:r>
      <w:r>
        <w:rPr>
          <w:rFonts w:hint="eastAsia"/>
          <w:lang w:val="en-US" w:eastAsia="zh-CN"/>
        </w:rPr>
        <w:t>：</w:t>
      </w:r>
      <w:r>
        <w:rPr>
          <w:rFonts w:hint="default"/>
          <w:lang w:val="en-US" w:eastAsia="zh-CN"/>
        </w:rPr>
        <w:t>工程监理单位应当审查施工组织设计中的安全技术措施或者专项施工方案是否符合工程建设强制性标准。</w:t>
      </w:r>
    </w:p>
    <w:p w14:paraId="21575B00">
      <w:pPr>
        <w:pStyle w:val="8"/>
        <w:snapToGrid w:val="0"/>
        <w:ind w:firstLine="360" w:firstLineChars="200"/>
        <w:rPr>
          <w:rFonts w:hint="default"/>
        </w:rPr>
      </w:pPr>
      <w:r>
        <w:rPr>
          <w:rFonts w:hint="default"/>
          <w:lang w:val="en-US" w:eastAsia="zh-CN"/>
        </w:rPr>
        <w:t>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w:t>
      </w:r>
    </w:p>
    <w:p w14:paraId="5AC65062">
      <w:pPr>
        <w:pStyle w:val="8"/>
        <w:snapToGrid w:val="0"/>
        <w:ind w:firstLine="360" w:firstLineChars="200"/>
      </w:pPr>
      <w:r>
        <w:rPr>
          <w:rFonts w:hint="default"/>
          <w:lang w:val="en-US" w:eastAsia="zh-CN"/>
        </w:rPr>
        <w:t>工程监理单位和监理工程师应当按照法律、法规和工程建设强制性标准实施监理，并对建设工程安全生产承担监理责任。</w:t>
      </w:r>
    </w:p>
  </w:footnote>
  <w:footnote w:id="10">
    <w:p w14:paraId="7699B707">
      <w:pPr>
        <w:pStyle w:val="8"/>
        <w:snapToGrid w:val="0"/>
      </w:pPr>
      <w:r>
        <w:rPr>
          <w:rStyle w:val="14"/>
        </w:rPr>
        <w:t>[</w:t>
      </w:r>
      <w:r>
        <w:rPr>
          <w:rStyle w:val="14"/>
        </w:rPr>
        <w:footnoteRef/>
      </w:r>
      <w:r>
        <w:rPr>
          <w:rStyle w:val="14"/>
        </w:rPr>
        <w:t>]</w:t>
      </w:r>
      <w:r>
        <w:t xml:space="preserve"> </w:t>
      </w:r>
      <w:r>
        <w:rPr>
          <w:rFonts w:hint="eastAsia"/>
          <w:lang w:val="en-US" w:eastAsia="zh-CN"/>
        </w:rPr>
        <w:t>《危险性较大的分部分项工程安全管理规定》（中华人民共和国住房和城乡建设部令第37号）</w:t>
      </w:r>
      <w:r>
        <w:rPr>
          <w:rFonts w:hint="eastAsia"/>
        </w:rPr>
        <w:t>第十八条</w:t>
      </w:r>
      <w:r>
        <w:rPr>
          <w:rFonts w:hint="eastAsia"/>
          <w:lang w:eastAsia="zh-CN"/>
        </w:rPr>
        <w:t>：</w:t>
      </w:r>
      <w:r>
        <w:rPr>
          <w:rFonts w:hint="eastAsia"/>
        </w:rPr>
        <w:t>监理单位应当结合危大工程专项施工方案编制监理实施细则，并对危大工程施工实施专项巡视检查。</w:t>
      </w:r>
    </w:p>
  </w:footnote>
  <w:footnote w:id="11">
    <w:p w14:paraId="25678085">
      <w:pPr>
        <w:pStyle w:val="8"/>
        <w:snapToGrid w:val="0"/>
        <w:rPr>
          <w:rFonts w:hint="eastAsia"/>
        </w:rPr>
      </w:pPr>
      <w:r>
        <w:rPr>
          <w:rStyle w:val="14"/>
        </w:rPr>
        <w:t>[</w:t>
      </w:r>
      <w:r>
        <w:rPr>
          <w:rStyle w:val="14"/>
        </w:rPr>
        <w:footnoteRef/>
      </w:r>
      <w:r>
        <w:rPr>
          <w:rStyle w:val="14"/>
        </w:rPr>
        <w:t>]</w:t>
      </w:r>
      <w:r>
        <w:t xml:space="preserve"> </w:t>
      </w:r>
      <w:r>
        <w:rPr>
          <w:rFonts w:hint="eastAsia"/>
          <w:lang w:val="en-US" w:eastAsia="zh-CN"/>
        </w:rPr>
        <w:t>《危险性较大的分部分项工程安全管理规定》（中华人民共和国住房和城乡建设部令第37号）</w:t>
      </w:r>
      <w:r>
        <w:rPr>
          <w:rFonts w:hint="eastAsia"/>
        </w:rPr>
        <w:t>第三十七条</w:t>
      </w:r>
      <w:r>
        <w:rPr>
          <w:rFonts w:hint="eastAsia"/>
          <w:lang w:eastAsia="zh-CN"/>
        </w:rPr>
        <w:t>：</w:t>
      </w:r>
      <w:r>
        <w:rPr>
          <w:rFonts w:hint="eastAsia"/>
        </w:rPr>
        <w:t>监理单位有下列行为之一的，责令限期改正，并处1万元以上3万元以下的罚款；对直接负责的主管人员和其他直接责任人员处1000元以上5000元以下的罚款：</w:t>
      </w:r>
    </w:p>
    <w:p w14:paraId="09CA7D19">
      <w:pPr>
        <w:pStyle w:val="8"/>
        <w:snapToGrid w:val="0"/>
        <w:ind w:firstLine="360" w:firstLineChars="200"/>
        <w:rPr>
          <w:rFonts w:hint="eastAsia"/>
        </w:rPr>
      </w:pPr>
      <w:r>
        <w:rPr>
          <w:rFonts w:hint="eastAsia"/>
        </w:rPr>
        <w:t>（一）未按照本规定编制监理实施细则的；</w:t>
      </w:r>
    </w:p>
    <w:p w14:paraId="6CEFCC8C">
      <w:pPr>
        <w:pStyle w:val="8"/>
        <w:snapToGrid w:val="0"/>
        <w:ind w:firstLine="360" w:firstLineChars="200"/>
        <w:rPr>
          <w:rFonts w:hint="eastAsia"/>
        </w:rPr>
      </w:pPr>
      <w:r>
        <w:rPr>
          <w:rFonts w:hint="eastAsia"/>
        </w:rPr>
        <w:t>（二）未对危大工程施工实施专项巡视检查的；</w:t>
      </w:r>
    </w:p>
    <w:p w14:paraId="08BC61D3">
      <w:pPr>
        <w:pStyle w:val="8"/>
        <w:snapToGrid w:val="0"/>
        <w:ind w:firstLine="360" w:firstLineChars="200"/>
        <w:rPr>
          <w:rFonts w:hint="eastAsia"/>
        </w:rPr>
      </w:pPr>
      <w:r>
        <w:rPr>
          <w:rFonts w:hint="eastAsia"/>
        </w:rPr>
        <w:t>（三）未按照本规定参与组织危大工程验收的；</w:t>
      </w:r>
    </w:p>
    <w:p w14:paraId="276A3EB6">
      <w:pPr>
        <w:pStyle w:val="8"/>
        <w:snapToGrid w:val="0"/>
        <w:ind w:firstLine="360" w:firstLineChars="200"/>
      </w:pPr>
      <w:r>
        <w:rPr>
          <w:rFonts w:hint="eastAsia"/>
        </w:rPr>
        <w:t>（四）未按照本规定建立危大工程安全管理档案的。</w:t>
      </w:r>
    </w:p>
  </w:footnote>
  <w:footnote w:id="12">
    <w:p w14:paraId="34935C56">
      <w:pPr>
        <w:pStyle w:val="8"/>
        <w:snapToGrid w:val="0"/>
        <w:rPr>
          <w:rFonts w:hint="eastAsia"/>
          <w:lang w:val="en-US" w:eastAsia="zh-CN"/>
        </w:rPr>
      </w:pPr>
      <w:r>
        <w:rPr>
          <w:rStyle w:val="14"/>
        </w:rPr>
        <w:t>[</w:t>
      </w:r>
      <w:r>
        <w:rPr>
          <w:rStyle w:val="14"/>
        </w:rPr>
        <w:footnoteRef/>
      </w:r>
      <w:r>
        <w:rPr>
          <w:rStyle w:val="14"/>
        </w:rPr>
        <w:t>]</w:t>
      </w:r>
      <w:r>
        <w:t xml:space="preserve"> </w:t>
      </w:r>
      <w:r>
        <w:rPr>
          <w:rFonts w:hint="eastAsia"/>
          <w:lang w:val="en-US" w:eastAsia="zh-CN"/>
        </w:rPr>
        <w:t>《中华人民共和国安全生产法》（国家主席令第88号）第二十一条：生产经营单位的主要负责人对本单位安全生产工作负有下列职责：</w:t>
      </w:r>
    </w:p>
    <w:p w14:paraId="7BAEAA24">
      <w:pPr>
        <w:pStyle w:val="8"/>
        <w:snapToGrid w:val="0"/>
        <w:ind w:firstLine="360" w:firstLineChars="200"/>
        <w:rPr>
          <w:rFonts w:hint="eastAsia"/>
          <w:lang w:val="en-US" w:eastAsia="zh-CN"/>
        </w:rPr>
      </w:pPr>
      <w:r>
        <w:rPr>
          <w:rFonts w:hint="eastAsia"/>
          <w:lang w:val="en-US" w:eastAsia="zh-CN"/>
        </w:rPr>
        <w:t>（一）建立健全并落实本单位全员安全生产责任制，加强安全生产标准化建设；</w:t>
      </w:r>
    </w:p>
    <w:p w14:paraId="518621F9">
      <w:pPr>
        <w:pStyle w:val="8"/>
        <w:snapToGrid w:val="0"/>
        <w:ind w:firstLine="360" w:firstLineChars="200"/>
        <w:rPr>
          <w:rFonts w:hint="eastAsia"/>
          <w:lang w:val="en-US" w:eastAsia="zh-CN"/>
        </w:rPr>
      </w:pPr>
      <w:r>
        <w:rPr>
          <w:rFonts w:hint="eastAsia"/>
          <w:lang w:val="en-US" w:eastAsia="zh-CN"/>
        </w:rPr>
        <w:t>（二）组织制定并实施本单位安全生产规章制度和操作规程；</w:t>
      </w:r>
    </w:p>
    <w:p w14:paraId="4D06F740">
      <w:pPr>
        <w:pStyle w:val="8"/>
        <w:snapToGrid w:val="0"/>
        <w:ind w:firstLine="360" w:firstLineChars="200"/>
        <w:rPr>
          <w:rFonts w:hint="eastAsia"/>
          <w:lang w:val="en-US" w:eastAsia="zh-CN"/>
        </w:rPr>
      </w:pPr>
      <w:r>
        <w:rPr>
          <w:rFonts w:hint="eastAsia"/>
          <w:lang w:val="en-US" w:eastAsia="zh-CN"/>
        </w:rPr>
        <w:t>（三）组织制定并实施本单位安全生产教育和培训计划；</w:t>
      </w:r>
    </w:p>
    <w:p w14:paraId="400AE3B3">
      <w:pPr>
        <w:pStyle w:val="8"/>
        <w:snapToGrid w:val="0"/>
        <w:ind w:firstLine="360" w:firstLineChars="200"/>
        <w:rPr>
          <w:rFonts w:hint="eastAsia"/>
          <w:lang w:val="en-US" w:eastAsia="zh-CN"/>
        </w:rPr>
      </w:pPr>
      <w:r>
        <w:rPr>
          <w:rFonts w:hint="eastAsia"/>
          <w:lang w:val="en-US" w:eastAsia="zh-CN"/>
        </w:rPr>
        <w:t>（四）保证本单位安全生产投入的有效实施；</w:t>
      </w:r>
    </w:p>
    <w:p w14:paraId="31A63575">
      <w:pPr>
        <w:pStyle w:val="8"/>
        <w:snapToGrid w:val="0"/>
        <w:ind w:firstLine="360" w:firstLineChars="200"/>
        <w:rPr>
          <w:rFonts w:hint="eastAsia"/>
          <w:lang w:val="en-US" w:eastAsia="zh-CN"/>
        </w:rPr>
      </w:pPr>
      <w:r>
        <w:rPr>
          <w:rFonts w:hint="eastAsia"/>
          <w:lang w:val="en-US" w:eastAsia="zh-CN"/>
        </w:rPr>
        <w:t>（五）组织建立并落实安全风险分级管控和隐患排查治理双重预防工作机制，督促、检查本单位的安全生产工作，及时消除生产安全事故隐患；</w:t>
      </w:r>
    </w:p>
    <w:p w14:paraId="5C516EFB">
      <w:pPr>
        <w:pStyle w:val="8"/>
        <w:snapToGrid w:val="0"/>
        <w:ind w:firstLine="360" w:firstLineChars="200"/>
        <w:rPr>
          <w:rFonts w:hint="eastAsia"/>
          <w:lang w:val="en-US" w:eastAsia="zh-CN"/>
        </w:rPr>
      </w:pPr>
      <w:r>
        <w:rPr>
          <w:rFonts w:hint="eastAsia"/>
          <w:lang w:val="en-US" w:eastAsia="zh-CN"/>
        </w:rPr>
        <w:t>（六）组织制定并实施本单位的生产安全事故应急救援预案；</w:t>
      </w:r>
    </w:p>
    <w:p w14:paraId="197F098D">
      <w:pPr>
        <w:pStyle w:val="8"/>
        <w:snapToGrid w:val="0"/>
        <w:ind w:firstLine="360" w:firstLineChars="200"/>
        <w:rPr>
          <w:rFonts w:hint="eastAsia"/>
          <w:lang w:val="en-US" w:eastAsia="zh-CN"/>
        </w:rPr>
      </w:pPr>
      <w:r>
        <w:rPr>
          <w:rFonts w:hint="eastAsia"/>
          <w:lang w:val="en-US" w:eastAsia="zh-CN"/>
        </w:rPr>
        <w:t>（七）及时、如实报告生产安全事故。</w:t>
      </w:r>
    </w:p>
  </w:footnote>
  <w:footnote w:id="13">
    <w:p w14:paraId="713B017F">
      <w:pPr>
        <w:pStyle w:val="8"/>
        <w:snapToGrid w:val="0"/>
        <w:rPr>
          <w:rFonts w:hint="eastAsia"/>
          <w:lang w:val="en-US" w:eastAsia="zh-CN"/>
        </w:rPr>
      </w:pPr>
      <w:r>
        <w:rPr>
          <w:rStyle w:val="14"/>
        </w:rPr>
        <w:t>[</w:t>
      </w:r>
      <w:r>
        <w:rPr>
          <w:rStyle w:val="14"/>
        </w:rPr>
        <w:footnoteRef/>
      </w:r>
      <w:r>
        <w:rPr>
          <w:rStyle w:val="14"/>
        </w:rPr>
        <w:t>]</w:t>
      </w:r>
      <w:r>
        <w:t xml:space="preserve"> </w:t>
      </w:r>
      <w:r>
        <w:rPr>
          <w:rFonts w:hint="eastAsia"/>
          <w:lang w:val="en-US" w:eastAsia="zh-CN"/>
        </w:rPr>
        <w:t>《中华人民共和国安全生产法》（国家主席令第88号）第九十五条：生产经营单位的主要负责人未履行本法规定的安全生产管理职责，导致发生生产安全事故的，由应急管理部门依照下列规定处以罚款：</w:t>
      </w:r>
    </w:p>
    <w:p w14:paraId="6931FD7A">
      <w:pPr>
        <w:pStyle w:val="8"/>
        <w:snapToGrid w:val="0"/>
        <w:ind w:firstLine="360" w:firstLineChars="200"/>
        <w:rPr>
          <w:rFonts w:hint="eastAsia"/>
          <w:lang w:val="en-US" w:eastAsia="zh-CN"/>
        </w:rPr>
      </w:pPr>
      <w:r>
        <w:rPr>
          <w:rFonts w:hint="eastAsia"/>
          <w:lang w:val="en-US" w:eastAsia="zh-CN"/>
        </w:rPr>
        <w:t>（一）发生一般事故的，处上一年年收入百分之四十的罚款；</w:t>
      </w:r>
    </w:p>
    <w:p w14:paraId="0150F38E">
      <w:pPr>
        <w:pStyle w:val="8"/>
        <w:snapToGrid w:val="0"/>
        <w:ind w:firstLine="360" w:firstLineChars="200"/>
        <w:rPr>
          <w:rFonts w:hint="eastAsia"/>
          <w:lang w:val="en-US" w:eastAsia="zh-CN"/>
        </w:rPr>
      </w:pPr>
      <w:r>
        <w:rPr>
          <w:rFonts w:hint="eastAsia"/>
          <w:lang w:val="en-US" w:eastAsia="zh-CN"/>
        </w:rPr>
        <w:t>（二）发生较大事故的，处上一年年收入百分之六十的罚款；</w:t>
      </w:r>
    </w:p>
    <w:p w14:paraId="525144F9">
      <w:pPr>
        <w:pStyle w:val="8"/>
        <w:snapToGrid w:val="0"/>
        <w:ind w:firstLine="360" w:firstLineChars="200"/>
        <w:rPr>
          <w:rFonts w:hint="eastAsia"/>
          <w:lang w:val="en-US" w:eastAsia="zh-CN"/>
        </w:rPr>
      </w:pPr>
      <w:r>
        <w:rPr>
          <w:rFonts w:hint="eastAsia"/>
          <w:lang w:val="en-US" w:eastAsia="zh-CN"/>
        </w:rPr>
        <w:t>（三）发生重大事故的，处上一年年收入百分之八十的罚款；</w:t>
      </w:r>
    </w:p>
    <w:p w14:paraId="1CEBFD49">
      <w:pPr>
        <w:pStyle w:val="8"/>
        <w:snapToGrid w:val="0"/>
        <w:ind w:firstLine="360" w:firstLineChars="200"/>
      </w:pPr>
      <w:r>
        <w:rPr>
          <w:rFonts w:hint="eastAsia"/>
          <w:lang w:val="en-US" w:eastAsia="zh-CN"/>
        </w:rPr>
        <w:t>（四）发生特别重大事故的，处上一年年收入百分之一百的罚款。</w:t>
      </w:r>
    </w:p>
  </w:footnote>
  <w:footnote w:id="14">
    <w:p w14:paraId="190088CF">
      <w:pPr>
        <w:pStyle w:val="8"/>
        <w:snapToGrid w:val="0"/>
      </w:pPr>
      <w:r>
        <w:rPr>
          <w:rStyle w:val="14"/>
        </w:rPr>
        <w:t>[</w:t>
      </w:r>
      <w:r>
        <w:rPr>
          <w:rStyle w:val="14"/>
        </w:rPr>
        <w:footnoteRef/>
      </w:r>
      <w:r>
        <w:rPr>
          <w:rStyle w:val="14"/>
        </w:rPr>
        <w:t>]</w:t>
      </w:r>
      <w:r>
        <w:t xml:space="preserve"> </w:t>
      </w:r>
      <w:r>
        <w:rPr>
          <w:rFonts w:hint="eastAsia"/>
          <w:lang w:val="en-US" w:eastAsia="zh-CN"/>
        </w:rPr>
        <w:t>《中华人民共和国安全生产法》（国家主席令第88号）</w:t>
      </w:r>
      <w:r>
        <w:t>第四条</w:t>
      </w:r>
      <w:r>
        <w:rPr>
          <w:rFonts w:hint="eastAsia"/>
          <w:lang w:eastAsia="zh-CN"/>
        </w:rPr>
        <w:t>：</w:t>
      </w:r>
      <w:r>
        <w:t>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14:paraId="0AE01E9E">
      <w:pPr>
        <w:pStyle w:val="8"/>
        <w:snapToGrid w:val="0"/>
        <w:ind w:firstLine="360" w:firstLineChars="200"/>
      </w:pPr>
      <w:r>
        <w:t>平台经济等新兴行业、领域的生产经营单位应当根据本行业、领域的特点，建立健全并落实全员安全生产责任制，加强从业人员安全生产教育和培训，履行本法和其他法律、法规规定的有关安全生产义务。</w:t>
      </w:r>
    </w:p>
    <w:p w14:paraId="1FC678AD">
      <w:pPr>
        <w:pStyle w:val="8"/>
        <w:snapToGrid w:val="0"/>
        <w:ind w:firstLine="360" w:firstLineChars="200"/>
      </w:pPr>
      <w:r>
        <w:t>第二十八条</w:t>
      </w:r>
      <w:r>
        <w:rPr>
          <w:rFonts w:hint="eastAsia"/>
          <w:lang w:eastAsia="zh-CN"/>
        </w:rPr>
        <w:t>：</w:t>
      </w:r>
      <w: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14:paraId="6F1EF351">
      <w:pPr>
        <w:pStyle w:val="8"/>
        <w:snapToGrid w:val="0"/>
        <w:ind w:firstLine="360" w:firstLineChars="200"/>
      </w:pPr>
      <w:r>
        <w:t>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p w14:paraId="411C9481">
      <w:pPr>
        <w:pStyle w:val="8"/>
        <w:snapToGrid w:val="0"/>
        <w:ind w:firstLine="360" w:firstLineChars="200"/>
      </w:pPr>
      <w:r>
        <w:t>生产经营单位接收中等职业学校、高等学校学生实习的，应当对实习学生进行相应的安全生产教育和培训，提供必要的劳动防护用品。学校应当协助生产经营单位对实习学生进行安全生产教育和培训。</w:t>
      </w:r>
    </w:p>
    <w:p w14:paraId="5357427F">
      <w:pPr>
        <w:pStyle w:val="8"/>
        <w:snapToGrid w:val="0"/>
        <w:ind w:firstLine="360" w:firstLineChars="200"/>
      </w:pPr>
      <w:r>
        <w:t>生产经营单位应当建立安全生产教育和培训档案，如实记录安全生产教育和培训的时间、内容、参加人员以及考核结果等情况。</w:t>
      </w:r>
    </w:p>
    <w:p w14:paraId="755D7B44">
      <w:pPr>
        <w:pStyle w:val="8"/>
        <w:snapToGrid w:val="0"/>
        <w:ind w:firstLine="360" w:firstLineChars="200"/>
      </w:pPr>
      <w:r>
        <w:t>第四十一条</w:t>
      </w:r>
      <w:r>
        <w:rPr>
          <w:rFonts w:hint="eastAsia"/>
          <w:lang w:eastAsia="zh-CN"/>
        </w:rPr>
        <w:t>：</w:t>
      </w:r>
      <w:r>
        <w:t>生产经营单位应当建立安全风险分级管控制度，按照安全风险分级采取相应的管控措施。</w:t>
      </w:r>
    </w:p>
    <w:p w14:paraId="1FA2560B">
      <w:pPr>
        <w:pStyle w:val="8"/>
        <w:snapToGrid w:val="0"/>
        <w:ind w:firstLine="360" w:firstLineChars="200"/>
      </w:pPr>
      <w: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14:paraId="698A34E7">
      <w:pPr>
        <w:pStyle w:val="8"/>
        <w:snapToGrid w:val="0"/>
        <w:ind w:firstLine="360" w:firstLineChars="200"/>
      </w:pPr>
      <w:r>
        <w:t>县级以上地方各级人民政府负有安全生产监督管理职责的部门应当将重大事故隐患纳入相关信息系统，建立健全重大事故隐患治理督办制度，督促生产经营单位消除重大事故隐患。</w:t>
      </w:r>
    </w:p>
  </w:footnote>
  <w:footnote w:id="15">
    <w:p w14:paraId="70FC245B">
      <w:pPr>
        <w:pStyle w:val="8"/>
        <w:snapToGrid w:val="0"/>
        <w:rPr>
          <w:rFonts w:hint="eastAsia"/>
          <w:lang w:eastAsia="zh-CN"/>
        </w:rPr>
      </w:pPr>
      <w:r>
        <w:rPr>
          <w:rStyle w:val="14"/>
        </w:rPr>
        <w:t>[</w:t>
      </w:r>
      <w:r>
        <w:rPr>
          <w:rStyle w:val="14"/>
        </w:rPr>
        <w:footnoteRef/>
      </w:r>
      <w:r>
        <w:rPr>
          <w:rStyle w:val="14"/>
        </w:rPr>
        <w:t>]</w:t>
      </w:r>
      <w:r>
        <w:t xml:space="preserve"> </w:t>
      </w:r>
      <w:r>
        <w:rPr>
          <w:rFonts w:hint="eastAsia"/>
          <w:lang w:val="en-US" w:eastAsia="zh-CN"/>
        </w:rPr>
        <w:t>《中华人民共和国安全生产法》（国家主席令第88号）</w:t>
      </w:r>
      <w:r>
        <w:t>第一百一十四条</w:t>
      </w:r>
      <w:r>
        <w:rPr>
          <w:rFonts w:hint="eastAsia"/>
          <w:lang w:eastAsia="zh-CN"/>
        </w:rPr>
        <w:t>：</w:t>
      </w:r>
      <w:r>
        <w:t>发生生产安全事故，对负有责任的生产经营单位除要求其依法承担相应的赔偿等责任外，由应急管理部门依照下列规定处以罚款</w:t>
      </w:r>
      <w:r>
        <w:rPr>
          <w:rFonts w:hint="eastAsia"/>
          <w:lang w:eastAsia="zh-CN"/>
        </w:rPr>
        <w:t>：</w:t>
      </w:r>
    </w:p>
    <w:p w14:paraId="4A3E2201">
      <w:pPr>
        <w:pStyle w:val="8"/>
        <w:snapToGrid w:val="0"/>
        <w:ind w:firstLine="360" w:firstLineChars="200"/>
      </w:pPr>
      <w:r>
        <w:t>（一）发生一般事故的，处三十万元以上一百万元以下的罚款；</w:t>
      </w:r>
    </w:p>
    <w:p w14:paraId="4C8474A2">
      <w:pPr>
        <w:pStyle w:val="8"/>
        <w:snapToGrid w:val="0"/>
        <w:ind w:firstLine="360" w:firstLineChars="200"/>
      </w:pPr>
      <w:r>
        <w:t>（二）发生较大事故的，处一百万元以上二百万元以下的罚款；</w:t>
      </w:r>
    </w:p>
    <w:p w14:paraId="7B8552B0">
      <w:pPr>
        <w:pStyle w:val="8"/>
        <w:snapToGrid w:val="0"/>
        <w:ind w:firstLine="360" w:firstLineChars="200"/>
      </w:pPr>
      <w:r>
        <w:t>（三）发生重大事故的，处二百万元以上一千万元以下的罚款；</w:t>
      </w:r>
    </w:p>
    <w:p w14:paraId="48639A32">
      <w:pPr>
        <w:pStyle w:val="8"/>
        <w:snapToGrid w:val="0"/>
        <w:ind w:firstLine="360" w:firstLineChars="200"/>
      </w:pPr>
      <w:r>
        <w:t>（四）发生特别重大事故的，处一千万元以上二千万元以下的罚款。</w:t>
      </w:r>
    </w:p>
    <w:p w14:paraId="02B98D30">
      <w:pPr>
        <w:pStyle w:val="8"/>
        <w:snapToGrid w:val="0"/>
        <w:ind w:firstLine="360" w:firstLineChars="200"/>
      </w:pPr>
      <w:r>
        <w:t>发生生产安全事故，情节特别严重、影响特别恶劣的，应急管理部门可以按照前款罚款数额的二倍以上五倍以下对负有责任的生产经营单位处以罚款。</w:t>
      </w:r>
    </w:p>
  </w:footnote>
  <w:footnote w:id="16">
    <w:p w14:paraId="620903C7">
      <w:pPr>
        <w:pStyle w:val="8"/>
        <w:snapToGrid w:val="0"/>
        <w:rPr>
          <w:rFonts w:hint="default"/>
        </w:rPr>
      </w:pPr>
      <w:r>
        <w:rPr>
          <w:rStyle w:val="14"/>
        </w:rPr>
        <w:t>[</w:t>
      </w:r>
      <w:r>
        <w:rPr>
          <w:rStyle w:val="14"/>
        </w:rPr>
        <w:footnoteRef/>
      </w:r>
      <w:r>
        <w:rPr>
          <w:rStyle w:val="14"/>
        </w:rPr>
        <w:t>]</w:t>
      </w:r>
      <w:r>
        <w:t xml:space="preserve"> </w:t>
      </w:r>
      <w:r>
        <w:rPr>
          <w:rFonts w:hint="eastAsia"/>
          <w:lang w:eastAsia="zh-CN"/>
        </w:rPr>
        <w:t>《</w:t>
      </w:r>
      <w:r>
        <w:rPr>
          <w:rFonts w:hint="eastAsia"/>
          <w:lang w:val="en-US" w:eastAsia="zh-CN"/>
        </w:rPr>
        <w:t>建设工程安全生产管理条例</w:t>
      </w:r>
      <w:r>
        <w:rPr>
          <w:rFonts w:hint="eastAsia"/>
          <w:lang w:eastAsia="zh-CN"/>
        </w:rPr>
        <w:t>》（</w:t>
      </w:r>
      <w:r>
        <w:rPr>
          <w:rFonts w:hint="eastAsia"/>
          <w:lang w:val="en-US" w:eastAsia="zh-CN"/>
        </w:rPr>
        <w:t>中华人民共和国国务院令第393号</w:t>
      </w:r>
      <w:r>
        <w:rPr>
          <w:rFonts w:hint="eastAsia"/>
          <w:lang w:eastAsia="zh-CN"/>
        </w:rPr>
        <w:t>）</w:t>
      </w:r>
      <w:r>
        <w:rPr>
          <w:rFonts w:hint="default"/>
          <w:lang w:val="en-US" w:eastAsia="zh-CN"/>
        </w:rPr>
        <w:t>第十四条</w:t>
      </w:r>
      <w:r>
        <w:rPr>
          <w:rFonts w:hint="eastAsia"/>
          <w:lang w:val="en-US" w:eastAsia="zh-CN"/>
        </w:rPr>
        <w:t>：</w:t>
      </w:r>
      <w:r>
        <w:rPr>
          <w:rFonts w:hint="default"/>
          <w:lang w:val="en-US" w:eastAsia="zh-CN"/>
        </w:rPr>
        <w:t>工程监理单位应当审查施工组织设计中的安全技术措施或者专项施工方案是否符合工程建设强制性标准。</w:t>
      </w:r>
    </w:p>
    <w:p w14:paraId="6DD16E74">
      <w:pPr>
        <w:pStyle w:val="8"/>
        <w:snapToGrid w:val="0"/>
        <w:ind w:firstLine="360" w:firstLineChars="200"/>
        <w:rPr>
          <w:rFonts w:hint="default"/>
        </w:rPr>
      </w:pPr>
      <w:r>
        <w:rPr>
          <w:rFonts w:hint="default"/>
          <w:lang w:val="en-US" w:eastAsia="zh-CN"/>
        </w:rPr>
        <w:t>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w:t>
      </w:r>
    </w:p>
    <w:p w14:paraId="2B249A5B">
      <w:pPr>
        <w:pStyle w:val="8"/>
        <w:snapToGrid w:val="0"/>
        <w:ind w:firstLine="360" w:firstLineChars="200"/>
      </w:pPr>
      <w:r>
        <w:rPr>
          <w:rFonts w:hint="default"/>
          <w:lang w:val="en-US" w:eastAsia="zh-CN"/>
        </w:rPr>
        <w:t>工程监理单位和监理工程师应当按照法律、法规和工程建设强制性标准实施监理，并对建设工程安全生产承担监理责任。</w:t>
      </w:r>
    </w:p>
  </w:footnote>
  <w:footnote w:id="17">
    <w:p w14:paraId="0243A366">
      <w:pPr>
        <w:pStyle w:val="8"/>
        <w:snapToGrid w:val="0"/>
        <w:rPr>
          <w:rFonts w:hint="default"/>
        </w:rPr>
      </w:pPr>
      <w:r>
        <w:rPr>
          <w:rStyle w:val="14"/>
        </w:rPr>
        <w:t>[</w:t>
      </w:r>
      <w:r>
        <w:rPr>
          <w:rStyle w:val="14"/>
        </w:rPr>
        <w:footnoteRef/>
      </w:r>
      <w:r>
        <w:rPr>
          <w:rStyle w:val="14"/>
        </w:rPr>
        <w:t>]</w:t>
      </w:r>
      <w:r>
        <w:t xml:space="preserve"> </w:t>
      </w:r>
      <w:r>
        <w:rPr>
          <w:rFonts w:hint="eastAsia"/>
          <w:lang w:eastAsia="zh-CN"/>
        </w:rPr>
        <w:t>《</w:t>
      </w:r>
      <w:r>
        <w:rPr>
          <w:rFonts w:hint="eastAsia"/>
          <w:lang w:val="en-US" w:eastAsia="zh-CN"/>
        </w:rPr>
        <w:t>建设工程安全生产管理条例</w:t>
      </w:r>
      <w:r>
        <w:rPr>
          <w:rFonts w:hint="eastAsia"/>
          <w:lang w:eastAsia="zh-CN"/>
        </w:rPr>
        <w:t>》（</w:t>
      </w:r>
      <w:r>
        <w:rPr>
          <w:rFonts w:hint="eastAsia"/>
          <w:lang w:val="en-US" w:eastAsia="zh-CN"/>
        </w:rPr>
        <w:t>中华人民共和国国务院令第393号</w:t>
      </w:r>
      <w:r>
        <w:rPr>
          <w:rFonts w:hint="eastAsia"/>
          <w:lang w:eastAsia="zh-CN"/>
        </w:rPr>
        <w:t>）</w:t>
      </w:r>
      <w:r>
        <w:rPr>
          <w:rFonts w:hint="default"/>
          <w:lang w:val="en-US" w:eastAsia="zh-CN"/>
        </w:rPr>
        <w:t>第五十七条</w:t>
      </w:r>
      <w:r>
        <w:rPr>
          <w:rFonts w:hint="eastAsia"/>
          <w:lang w:val="en-US" w:eastAsia="zh-CN"/>
        </w:rPr>
        <w:t>：</w:t>
      </w:r>
      <w:r>
        <w:rPr>
          <w:rFonts w:hint="default"/>
          <w:lang w:val="en-US" w:eastAsia="zh-CN"/>
        </w:rPr>
        <w:t>违反本条例的规定，工程监理单位有下列行为之一的，责令限期改正；逾期未改正的，责令停业整顿，并处10万元以上30万元以下的罚款；情节严重的，降</w:t>
      </w:r>
      <w:r>
        <w:rPr>
          <w:rFonts w:hint="eastAsia"/>
          <w:lang w:val="en-US" w:eastAsia="zh-CN"/>
        </w:rPr>
        <w:t>低</w:t>
      </w:r>
      <w:r>
        <w:rPr>
          <w:rFonts w:hint="default"/>
          <w:lang w:val="en-US" w:eastAsia="zh-CN"/>
        </w:rPr>
        <w:t>资质等级，直至吊销资质证书；造成重大安全事故，构成犯罪的，对直接责任人员，依照刑法有关规定追究刑事责任；造成损失的，依法承担赔偿责任：</w:t>
      </w:r>
    </w:p>
    <w:p w14:paraId="5E854F33">
      <w:pPr>
        <w:pStyle w:val="8"/>
        <w:snapToGrid w:val="0"/>
        <w:ind w:firstLine="360" w:firstLineChars="200"/>
        <w:rPr>
          <w:rFonts w:hint="default"/>
        </w:rPr>
      </w:pPr>
      <w:r>
        <w:rPr>
          <w:rFonts w:hint="eastAsia"/>
          <w:lang w:val="en-US" w:eastAsia="zh-CN"/>
        </w:rPr>
        <w:t>（</w:t>
      </w:r>
      <w:r>
        <w:rPr>
          <w:rFonts w:hint="default"/>
          <w:lang w:val="en-US" w:eastAsia="zh-CN"/>
        </w:rPr>
        <w:t>一</w:t>
      </w:r>
      <w:r>
        <w:rPr>
          <w:rFonts w:hint="eastAsia"/>
          <w:lang w:val="en-US" w:eastAsia="zh-CN"/>
        </w:rPr>
        <w:t>）</w:t>
      </w:r>
      <w:r>
        <w:rPr>
          <w:rFonts w:hint="default"/>
          <w:lang w:val="en-US" w:eastAsia="zh-CN"/>
        </w:rPr>
        <w:t>未对施工组织设计中的安全技术措施或者专项施工方案进行审查的；</w:t>
      </w:r>
    </w:p>
    <w:p w14:paraId="04960A6C">
      <w:pPr>
        <w:pStyle w:val="8"/>
        <w:snapToGrid w:val="0"/>
        <w:ind w:firstLine="360" w:firstLineChars="200"/>
        <w:rPr>
          <w:rFonts w:hint="default"/>
        </w:rPr>
      </w:pPr>
      <w:r>
        <w:rPr>
          <w:rFonts w:hint="eastAsia"/>
          <w:lang w:val="en-US" w:eastAsia="zh-CN"/>
        </w:rPr>
        <w:t>（</w:t>
      </w:r>
      <w:r>
        <w:rPr>
          <w:rFonts w:hint="default"/>
          <w:lang w:val="en-US" w:eastAsia="zh-CN"/>
        </w:rPr>
        <w:t>二</w:t>
      </w:r>
      <w:r>
        <w:rPr>
          <w:rFonts w:hint="eastAsia"/>
          <w:lang w:val="en-US" w:eastAsia="zh-CN"/>
        </w:rPr>
        <w:t>）</w:t>
      </w:r>
      <w:r>
        <w:rPr>
          <w:rFonts w:hint="default"/>
          <w:lang w:val="en-US" w:eastAsia="zh-CN"/>
        </w:rPr>
        <w:t>发现安全事故隐患未及时要求施工单位整改或者暂时停止施工的；</w:t>
      </w:r>
    </w:p>
    <w:p w14:paraId="6B6E26BA">
      <w:pPr>
        <w:pStyle w:val="8"/>
        <w:snapToGrid w:val="0"/>
        <w:ind w:firstLine="360" w:firstLineChars="200"/>
        <w:rPr>
          <w:rFonts w:hint="default"/>
        </w:rPr>
      </w:pPr>
      <w:r>
        <w:rPr>
          <w:rFonts w:hint="eastAsia"/>
          <w:lang w:val="en-US" w:eastAsia="zh-CN"/>
        </w:rPr>
        <w:t>（</w:t>
      </w:r>
      <w:r>
        <w:rPr>
          <w:rFonts w:hint="default"/>
          <w:lang w:val="en-US" w:eastAsia="zh-CN"/>
        </w:rPr>
        <w:t>三</w:t>
      </w:r>
      <w:r>
        <w:rPr>
          <w:rFonts w:hint="eastAsia"/>
          <w:lang w:val="en-US" w:eastAsia="zh-CN"/>
        </w:rPr>
        <w:t>）</w:t>
      </w:r>
      <w:r>
        <w:rPr>
          <w:rFonts w:hint="default"/>
          <w:lang w:val="en-US" w:eastAsia="zh-CN"/>
        </w:rPr>
        <w:t>施工单位拒不整改或者不停止施工，未及时向有关主管部门报告的；</w:t>
      </w:r>
    </w:p>
    <w:p w14:paraId="71148552">
      <w:pPr>
        <w:pStyle w:val="8"/>
        <w:snapToGrid w:val="0"/>
        <w:ind w:firstLine="360" w:firstLineChars="200"/>
      </w:pPr>
      <w:r>
        <w:rPr>
          <w:rFonts w:hint="eastAsia"/>
          <w:lang w:val="en-US" w:eastAsia="zh-CN"/>
        </w:rPr>
        <w:t>（</w:t>
      </w:r>
      <w:r>
        <w:rPr>
          <w:rFonts w:hint="default"/>
          <w:lang w:val="en-US" w:eastAsia="zh-CN"/>
        </w:rPr>
        <w:t>四</w:t>
      </w:r>
      <w:r>
        <w:rPr>
          <w:rFonts w:hint="eastAsia"/>
          <w:lang w:val="en-US" w:eastAsia="zh-CN"/>
        </w:rPr>
        <w:t>）</w:t>
      </w:r>
      <w:r>
        <w:rPr>
          <w:rFonts w:hint="default"/>
          <w:lang w:val="en-US" w:eastAsia="zh-CN"/>
        </w:rPr>
        <w:t>未依照法律、法规和工程建设强制性标准实施监理的。</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36"/>
    <w:footnote w:id="37"/>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13E18"/>
    <w:rsid w:val="000F5645"/>
    <w:rsid w:val="0013730E"/>
    <w:rsid w:val="002F5345"/>
    <w:rsid w:val="00593E6F"/>
    <w:rsid w:val="006733C2"/>
    <w:rsid w:val="00891D5E"/>
    <w:rsid w:val="009C0167"/>
    <w:rsid w:val="00BD2A29"/>
    <w:rsid w:val="00FC3E1B"/>
    <w:rsid w:val="010A29DC"/>
    <w:rsid w:val="01233096"/>
    <w:rsid w:val="013171D3"/>
    <w:rsid w:val="01796751"/>
    <w:rsid w:val="019860E9"/>
    <w:rsid w:val="019E4ED3"/>
    <w:rsid w:val="01DB2C49"/>
    <w:rsid w:val="023F66B6"/>
    <w:rsid w:val="02594EFF"/>
    <w:rsid w:val="0295339B"/>
    <w:rsid w:val="029702A0"/>
    <w:rsid w:val="029A094C"/>
    <w:rsid w:val="030E4A8B"/>
    <w:rsid w:val="033D3C4A"/>
    <w:rsid w:val="038D51FF"/>
    <w:rsid w:val="03BA027C"/>
    <w:rsid w:val="03E414FE"/>
    <w:rsid w:val="03EC6F99"/>
    <w:rsid w:val="048A165D"/>
    <w:rsid w:val="04B96508"/>
    <w:rsid w:val="04C42EA2"/>
    <w:rsid w:val="04E15802"/>
    <w:rsid w:val="04FF1830"/>
    <w:rsid w:val="05055969"/>
    <w:rsid w:val="052C2F85"/>
    <w:rsid w:val="05C25634"/>
    <w:rsid w:val="05F9301F"/>
    <w:rsid w:val="061A6353"/>
    <w:rsid w:val="062260D2"/>
    <w:rsid w:val="0640109F"/>
    <w:rsid w:val="064C75F3"/>
    <w:rsid w:val="064E3298"/>
    <w:rsid w:val="06E05782"/>
    <w:rsid w:val="07043A2A"/>
    <w:rsid w:val="07844F83"/>
    <w:rsid w:val="07A64AE1"/>
    <w:rsid w:val="07F57C61"/>
    <w:rsid w:val="07FE07EC"/>
    <w:rsid w:val="08801E7F"/>
    <w:rsid w:val="089A5D8F"/>
    <w:rsid w:val="08A90D2D"/>
    <w:rsid w:val="08AC4379"/>
    <w:rsid w:val="091066B6"/>
    <w:rsid w:val="09260AFA"/>
    <w:rsid w:val="0926412B"/>
    <w:rsid w:val="092959CA"/>
    <w:rsid w:val="09305432"/>
    <w:rsid w:val="094445B2"/>
    <w:rsid w:val="09562954"/>
    <w:rsid w:val="098620DD"/>
    <w:rsid w:val="09C556F2"/>
    <w:rsid w:val="09CE3585"/>
    <w:rsid w:val="09CE449D"/>
    <w:rsid w:val="09E0601E"/>
    <w:rsid w:val="0A140428"/>
    <w:rsid w:val="0A1C108A"/>
    <w:rsid w:val="0A522784"/>
    <w:rsid w:val="0A6D3260"/>
    <w:rsid w:val="0A7D1345"/>
    <w:rsid w:val="0A99282A"/>
    <w:rsid w:val="0A9D041D"/>
    <w:rsid w:val="0AA417AC"/>
    <w:rsid w:val="0AD11E75"/>
    <w:rsid w:val="0AD54F78"/>
    <w:rsid w:val="0B163D2C"/>
    <w:rsid w:val="0B3C7C36"/>
    <w:rsid w:val="0B403661"/>
    <w:rsid w:val="0B770C6E"/>
    <w:rsid w:val="0BB7042D"/>
    <w:rsid w:val="0BF4406D"/>
    <w:rsid w:val="0C3F0282"/>
    <w:rsid w:val="0C707C14"/>
    <w:rsid w:val="0CC31C91"/>
    <w:rsid w:val="0CD04079"/>
    <w:rsid w:val="0D183D8B"/>
    <w:rsid w:val="0D951880"/>
    <w:rsid w:val="0DA0296C"/>
    <w:rsid w:val="0DA12EF0"/>
    <w:rsid w:val="0DA27AF9"/>
    <w:rsid w:val="0DA90E87"/>
    <w:rsid w:val="0E034675"/>
    <w:rsid w:val="0E1529C0"/>
    <w:rsid w:val="0E5E6115"/>
    <w:rsid w:val="0E6A4ABA"/>
    <w:rsid w:val="0E803373"/>
    <w:rsid w:val="0EEB4673"/>
    <w:rsid w:val="0EED1247"/>
    <w:rsid w:val="0EFF6616"/>
    <w:rsid w:val="0F1715AC"/>
    <w:rsid w:val="0F205C72"/>
    <w:rsid w:val="0F2904D1"/>
    <w:rsid w:val="0F2C2258"/>
    <w:rsid w:val="0F2F360E"/>
    <w:rsid w:val="0F7F929D"/>
    <w:rsid w:val="0F8B4CE8"/>
    <w:rsid w:val="0FDC6129"/>
    <w:rsid w:val="0FE3034B"/>
    <w:rsid w:val="1003424E"/>
    <w:rsid w:val="1043306C"/>
    <w:rsid w:val="104D4694"/>
    <w:rsid w:val="105570A4"/>
    <w:rsid w:val="106043C7"/>
    <w:rsid w:val="10A13334"/>
    <w:rsid w:val="10A87B1C"/>
    <w:rsid w:val="11302747"/>
    <w:rsid w:val="115C401D"/>
    <w:rsid w:val="115E2610"/>
    <w:rsid w:val="117439BB"/>
    <w:rsid w:val="117F6ACF"/>
    <w:rsid w:val="11C624BE"/>
    <w:rsid w:val="11D72983"/>
    <w:rsid w:val="12045226"/>
    <w:rsid w:val="121466E6"/>
    <w:rsid w:val="12235B83"/>
    <w:rsid w:val="12DA2B3E"/>
    <w:rsid w:val="12DF0227"/>
    <w:rsid w:val="12EB3CF0"/>
    <w:rsid w:val="12FB2185"/>
    <w:rsid w:val="13201BEB"/>
    <w:rsid w:val="13260758"/>
    <w:rsid w:val="13BE5F5E"/>
    <w:rsid w:val="13C056FE"/>
    <w:rsid w:val="13CB5FFB"/>
    <w:rsid w:val="13CF716E"/>
    <w:rsid w:val="13DC5D90"/>
    <w:rsid w:val="13DD15D1"/>
    <w:rsid w:val="14083304"/>
    <w:rsid w:val="146961E6"/>
    <w:rsid w:val="14BB1D84"/>
    <w:rsid w:val="14CD18FF"/>
    <w:rsid w:val="14D750D5"/>
    <w:rsid w:val="14E40E91"/>
    <w:rsid w:val="14FC7645"/>
    <w:rsid w:val="14FD00E7"/>
    <w:rsid w:val="1517701E"/>
    <w:rsid w:val="15204125"/>
    <w:rsid w:val="152E2457"/>
    <w:rsid w:val="1544009F"/>
    <w:rsid w:val="155070B7"/>
    <w:rsid w:val="155142DE"/>
    <w:rsid w:val="155D0ED5"/>
    <w:rsid w:val="1584296E"/>
    <w:rsid w:val="159254CD"/>
    <w:rsid w:val="1593009E"/>
    <w:rsid w:val="159F0AB9"/>
    <w:rsid w:val="15A06B24"/>
    <w:rsid w:val="15F27012"/>
    <w:rsid w:val="15FB70AD"/>
    <w:rsid w:val="163D20FF"/>
    <w:rsid w:val="165F2A2B"/>
    <w:rsid w:val="1675224E"/>
    <w:rsid w:val="167D1103"/>
    <w:rsid w:val="169E083D"/>
    <w:rsid w:val="16A23677"/>
    <w:rsid w:val="16CC48B4"/>
    <w:rsid w:val="16EF3DAF"/>
    <w:rsid w:val="17424753"/>
    <w:rsid w:val="174C1201"/>
    <w:rsid w:val="17793FC0"/>
    <w:rsid w:val="17BB0AD0"/>
    <w:rsid w:val="180E64B6"/>
    <w:rsid w:val="1835515B"/>
    <w:rsid w:val="184B0543"/>
    <w:rsid w:val="18B74DA0"/>
    <w:rsid w:val="19061883"/>
    <w:rsid w:val="19341F4D"/>
    <w:rsid w:val="194303E2"/>
    <w:rsid w:val="198509FA"/>
    <w:rsid w:val="19B117EF"/>
    <w:rsid w:val="19C02579"/>
    <w:rsid w:val="19FE633C"/>
    <w:rsid w:val="1A805D4E"/>
    <w:rsid w:val="1AF04599"/>
    <w:rsid w:val="1B360EA2"/>
    <w:rsid w:val="1B3C158C"/>
    <w:rsid w:val="1BBF5ABB"/>
    <w:rsid w:val="1BF03765"/>
    <w:rsid w:val="1C4E5A1B"/>
    <w:rsid w:val="1C550284"/>
    <w:rsid w:val="1C71170A"/>
    <w:rsid w:val="1C963239"/>
    <w:rsid w:val="1CE123EB"/>
    <w:rsid w:val="1CFE4675"/>
    <w:rsid w:val="1D0B525D"/>
    <w:rsid w:val="1D1D5176"/>
    <w:rsid w:val="1D757205"/>
    <w:rsid w:val="1D7C0366"/>
    <w:rsid w:val="1D7C2635"/>
    <w:rsid w:val="1D7E1232"/>
    <w:rsid w:val="1D807380"/>
    <w:rsid w:val="1D8254C7"/>
    <w:rsid w:val="1DA63635"/>
    <w:rsid w:val="1DC424A8"/>
    <w:rsid w:val="1DC941B4"/>
    <w:rsid w:val="1DE75D86"/>
    <w:rsid w:val="1E022F67"/>
    <w:rsid w:val="1E2F5465"/>
    <w:rsid w:val="1E481832"/>
    <w:rsid w:val="1E511B3A"/>
    <w:rsid w:val="1E6B7438"/>
    <w:rsid w:val="1E89232D"/>
    <w:rsid w:val="1ED02718"/>
    <w:rsid w:val="1EE325A8"/>
    <w:rsid w:val="1EEE0DF0"/>
    <w:rsid w:val="1F0F46CF"/>
    <w:rsid w:val="1F130856"/>
    <w:rsid w:val="1F1C2711"/>
    <w:rsid w:val="1F623498"/>
    <w:rsid w:val="1FA15E62"/>
    <w:rsid w:val="1FB61771"/>
    <w:rsid w:val="208A5D6D"/>
    <w:rsid w:val="20987A7B"/>
    <w:rsid w:val="20E51DCF"/>
    <w:rsid w:val="20EC135F"/>
    <w:rsid w:val="211D3C0E"/>
    <w:rsid w:val="212A600B"/>
    <w:rsid w:val="217A2E0F"/>
    <w:rsid w:val="219536BB"/>
    <w:rsid w:val="21D84004"/>
    <w:rsid w:val="225A39EF"/>
    <w:rsid w:val="2265358A"/>
    <w:rsid w:val="228A7CE8"/>
    <w:rsid w:val="228B0582"/>
    <w:rsid w:val="22C759AB"/>
    <w:rsid w:val="22D64075"/>
    <w:rsid w:val="2322593E"/>
    <w:rsid w:val="23627FFE"/>
    <w:rsid w:val="236B2A0F"/>
    <w:rsid w:val="23A40CFC"/>
    <w:rsid w:val="23A457AD"/>
    <w:rsid w:val="24082954"/>
    <w:rsid w:val="24154F22"/>
    <w:rsid w:val="24332189"/>
    <w:rsid w:val="243613A8"/>
    <w:rsid w:val="24661428"/>
    <w:rsid w:val="2491323A"/>
    <w:rsid w:val="24AE34FB"/>
    <w:rsid w:val="24CC1BD3"/>
    <w:rsid w:val="24E24F53"/>
    <w:rsid w:val="253D61BE"/>
    <w:rsid w:val="25C52D32"/>
    <w:rsid w:val="25D24FC7"/>
    <w:rsid w:val="25D35A02"/>
    <w:rsid w:val="25FA1F98"/>
    <w:rsid w:val="26712CE6"/>
    <w:rsid w:val="2674607E"/>
    <w:rsid w:val="26760048"/>
    <w:rsid w:val="268F15A4"/>
    <w:rsid w:val="269E5BF6"/>
    <w:rsid w:val="26B15A9F"/>
    <w:rsid w:val="26DF07A7"/>
    <w:rsid w:val="272975C1"/>
    <w:rsid w:val="27430817"/>
    <w:rsid w:val="280B0A8F"/>
    <w:rsid w:val="281573ED"/>
    <w:rsid w:val="281B4440"/>
    <w:rsid w:val="284D4DD9"/>
    <w:rsid w:val="28517B0A"/>
    <w:rsid w:val="28941D46"/>
    <w:rsid w:val="28996B80"/>
    <w:rsid w:val="28AF1D7A"/>
    <w:rsid w:val="28DD27C1"/>
    <w:rsid w:val="29034682"/>
    <w:rsid w:val="290E2EC2"/>
    <w:rsid w:val="29106E69"/>
    <w:rsid w:val="29153EDA"/>
    <w:rsid w:val="291A315C"/>
    <w:rsid w:val="296C6D10"/>
    <w:rsid w:val="29D137E8"/>
    <w:rsid w:val="2A463335"/>
    <w:rsid w:val="2ABB7112"/>
    <w:rsid w:val="2ABE034B"/>
    <w:rsid w:val="2AC179D0"/>
    <w:rsid w:val="2ACF7D27"/>
    <w:rsid w:val="2AD0584D"/>
    <w:rsid w:val="2AD73080"/>
    <w:rsid w:val="2B2775AA"/>
    <w:rsid w:val="2B2F2E4F"/>
    <w:rsid w:val="2B453A1B"/>
    <w:rsid w:val="2BDF75EF"/>
    <w:rsid w:val="2C0622E9"/>
    <w:rsid w:val="2C4209CD"/>
    <w:rsid w:val="2C7C3EDF"/>
    <w:rsid w:val="2CD73969"/>
    <w:rsid w:val="2D3D1A0A"/>
    <w:rsid w:val="2D4927FA"/>
    <w:rsid w:val="2D6A5059"/>
    <w:rsid w:val="2D796490"/>
    <w:rsid w:val="2D992836"/>
    <w:rsid w:val="2DAA6942"/>
    <w:rsid w:val="2DDBB301"/>
    <w:rsid w:val="2E3B6286"/>
    <w:rsid w:val="2E5C4A13"/>
    <w:rsid w:val="2E7E49CF"/>
    <w:rsid w:val="2E8513D6"/>
    <w:rsid w:val="2EE575D9"/>
    <w:rsid w:val="2F1B31BF"/>
    <w:rsid w:val="2F2214C8"/>
    <w:rsid w:val="2FAC4ADB"/>
    <w:rsid w:val="2FAF45CB"/>
    <w:rsid w:val="2FED3DE1"/>
    <w:rsid w:val="30081E4E"/>
    <w:rsid w:val="3015041B"/>
    <w:rsid w:val="303B1FA2"/>
    <w:rsid w:val="30596773"/>
    <w:rsid w:val="305B3E0B"/>
    <w:rsid w:val="308A10EC"/>
    <w:rsid w:val="310C0203"/>
    <w:rsid w:val="311F752F"/>
    <w:rsid w:val="3131421F"/>
    <w:rsid w:val="31545645"/>
    <w:rsid w:val="317038E6"/>
    <w:rsid w:val="31745184"/>
    <w:rsid w:val="319B646B"/>
    <w:rsid w:val="31A6487A"/>
    <w:rsid w:val="31DB0698"/>
    <w:rsid w:val="31DF17DC"/>
    <w:rsid w:val="31F940AB"/>
    <w:rsid w:val="31FA4E26"/>
    <w:rsid w:val="32193F7E"/>
    <w:rsid w:val="323C02EE"/>
    <w:rsid w:val="326C2300"/>
    <w:rsid w:val="32877139"/>
    <w:rsid w:val="32935E77"/>
    <w:rsid w:val="329B4993"/>
    <w:rsid w:val="32A72D83"/>
    <w:rsid w:val="32AE4FCE"/>
    <w:rsid w:val="32C0264B"/>
    <w:rsid w:val="32C83002"/>
    <w:rsid w:val="32D419CF"/>
    <w:rsid w:val="32EC3440"/>
    <w:rsid w:val="32F347CF"/>
    <w:rsid w:val="33192F4E"/>
    <w:rsid w:val="33216732"/>
    <w:rsid w:val="33265EB1"/>
    <w:rsid w:val="335356E2"/>
    <w:rsid w:val="335C76C1"/>
    <w:rsid w:val="33A1247D"/>
    <w:rsid w:val="33A53D1B"/>
    <w:rsid w:val="3409704A"/>
    <w:rsid w:val="34164165"/>
    <w:rsid w:val="34284367"/>
    <w:rsid w:val="342E38B2"/>
    <w:rsid w:val="345C0152"/>
    <w:rsid w:val="34CE091C"/>
    <w:rsid w:val="34DD5737"/>
    <w:rsid w:val="3503452D"/>
    <w:rsid w:val="35167112"/>
    <w:rsid w:val="35246EC1"/>
    <w:rsid w:val="353A66E5"/>
    <w:rsid w:val="355E7074"/>
    <w:rsid w:val="357D4824"/>
    <w:rsid w:val="357E4195"/>
    <w:rsid w:val="358A766C"/>
    <w:rsid w:val="358E1D0D"/>
    <w:rsid w:val="35AB7BFD"/>
    <w:rsid w:val="35B429B2"/>
    <w:rsid w:val="365A6A30"/>
    <w:rsid w:val="37010B47"/>
    <w:rsid w:val="375872F6"/>
    <w:rsid w:val="376443BB"/>
    <w:rsid w:val="376E7D7C"/>
    <w:rsid w:val="378B7CA4"/>
    <w:rsid w:val="379E7A8F"/>
    <w:rsid w:val="37A0313B"/>
    <w:rsid w:val="37CE1DAE"/>
    <w:rsid w:val="37E1553E"/>
    <w:rsid w:val="37FD76FE"/>
    <w:rsid w:val="38054847"/>
    <w:rsid w:val="38095862"/>
    <w:rsid w:val="383218F5"/>
    <w:rsid w:val="3839770B"/>
    <w:rsid w:val="38551E53"/>
    <w:rsid w:val="387463B2"/>
    <w:rsid w:val="387A675B"/>
    <w:rsid w:val="38B90269"/>
    <w:rsid w:val="38DCE55C"/>
    <w:rsid w:val="392E2B2A"/>
    <w:rsid w:val="3988038C"/>
    <w:rsid w:val="39F9503D"/>
    <w:rsid w:val="3A2D05C6"/>
    <w:rsid w:val="3A4C2E2C"/>
    <w:rsid w:val="3AA27206"/>
    <w:rsid w:val="3ADB5B41"/>
    <w:rsid w:val="3B0532F1"/>
    <w:rsid w:val="3B59761E"/>
    <w:rsid w:val="3BAE1BDB"/>
    <w:rsid w:val="3BDB4052"/>
    <w:rsid w:val="3C0B0B36"/>
    <w:rsid w:val="3C172DA2"/>
    <w:rsid w:val="3C3003FC"/>
    <w:rsid w:val="3C624ED4"/>
    <w:rsid w:val="3CB21484"/>
    <w:rsid w:val="3CB61E3C"/>
    <w:rsid w:val="3CBC0846"/>
    <w:rsid w:val="3D314D64"/>
    <w:rsid w:val="3D421A9A"/>
    <w:rsid w:val="3D6C4847"/>
    <w:rsid w:val="3D962926"/>
    <w:rsid w:val="3E0E38C3"/>
    <w:rsid w:val="3E3D0FF4"/>
    <w:rsid w:val="3E3E7246"/>
    <w:rsid w:val="3E4509F4"/>
    <w:rsid w:val="3E910235"/>
    <w:rsid w:val="3F055FB6"/>
    <w:rsid w:val="3F2475F2"/>
    <w:rsid w:val="3F312907"/>
    <w:rsid w:val="3F8F3AD1"/>
    <w:rsid w:val="3FA23468"/>
    <w:rsid w:val="3FCC33C2"/>
    <w:rsid w:val="3FCE45FA"/>
    <w:rsid w:val="3FCF3C34"/>
    <w:rsid w:val="3FDB7A11"/>
    <w:rsid w:val="3FEC2AF0"/>
    <w:rsid w:val="40573FD4"/>
    <w:rsid w:val="405966D5"/>
    <w:rsid w:val="408D323F"/>
    <w:rsid w:val="409316FF"/>
    <w:rsid w:val="40B977E5"/>
    <w:rsid w:val="40E37C31"/>
    <w:rsid w:val="410D2F00"/>
    <w:rsid w:val="414D26DE"/>
    <w:rsid w:val="41780CC1"/>
    <w:rsid w:val="41790DF8"/>
    <w:rsid w:val="41960106"/>
    <w:rsid w:val="41E43F89"/>
    <w:rsid w:val="42051E29"/>
    <w:rsid w:val="4297506C"/>
    <w:rsid w:val="42AE618F"/>
    <w:rsid w:val="4321493A"/>
    <w:rsid w:val="43252782"/>
    <w:rsid w:val="435968D0"/>
    <w:rsid w:val="43765413"/>
    <w:rsid w:val="43A41F82"/>
    <w:rsid w:val="43B03E7E"/>
    <w:rsid w:val="43BC2C7F"/>
    <w:rsid w:val="43C024AB"/>
    <w:rsid w:val="43C26194"/>
    <w:rsid w:val="43CD4BC8"/>
    <w:rsid w:val="43D8262B"/>
    <w:rsid w:val="44325B66"/>
    <w:rsid w:val="4492209A"/>
    <w:rsid w:val="449D2578"/>
    <w:rsid w:val="44A040E0"/>
    <w:rsid w:val="44EE3048"/>
    <w:rsid w:val="454F7F8B"/>
    <w:rsid w:val="4552724E"/>
    <w:rsid w:val="45587E13"/>
    <w:rsid w:val="459D0BA1"/>
    <w:rsid w:val="45D81DE2"/>
    <w:rsid w:val="46396545"/>
    <w:rsid w:val="46FB74FD"/>
    <w:rsid w:val="4703102D"/>
    <w:rsid w:val="470E1780"/>
    <w:rsid w:val="47484C91"/>
    <w:rsid w:val="479E0D55"/>
    <w:rsid w:val="47AF4D11"/>
    <w:rsid w:val="47DC187E"/>
    <w:rsid w:val="47E341E2"/>
    <w:rsid w:val="47EB502E"/>
    <w:rsid w:val="47F32559"/>
    <w:rsid w:val="47F6293F"/>
    <w:rsid w:val="47FD6DE6"/>
    <w:rsid w:val="483F42E6"/>
    <w:rsid w:val="48651873"/>
    <w:rsid w:val="486A79A9"/>
    <w:rsid w:val="48A0105D"/>
    <w:rsid w:val="48C702D6"/>
    <w:rsid w:val="48F13107"/>
    <w:rsid w:val="49241801"/>
    <w:rsid w:val="4928477D"/>
    <w:rsid w:val="4970795B"/>
    <w:rsid w:val="497D499A"/>
    <w:rsid w:val="49A86F75"/>
    <w:rsid w:val="49AB4441"/>
    <w:rsid w:val="49D942C7"/>
    <w:rsid w:val="4A205A52"/>
    <w:rsid w:val="4A3C51B1"/>
    <w:rsid w:val="4A58343D"/>
    <w:rsid w:val="4ABD1AD2"/>
    <w:rsid w:val="4AC22FAD"/>
    <w:rsid w:val="4B35377F"/>
    <w:rsid w:val="4B386DCB"/>
    <w:rsid w:val="4B684422"/>
    <w:rsid w:val="4B806DF8"/>
    <w:rsid w:val="4B8A64C8"/>
    <w:rsid w:val="4B952D7E"/>
    <w:rsid w:val="4B9C57F5"/>
    <w:rsid w:val="4BCD6084"/>
    <w:rsid w:val="4C1B2975"/>
    <w:rsid w:val="4C2F5DA0"/>
    <w:rsid w:val="4C463CC8"/>
    <w:rsid w:val="4C501913"/>
    <w:rsid w:val="4C8D179C"/>
    <w:rsid w:val="4C9C3E50"/>
    <w:rsid w:val="4CA02E7A"/>
    <w:rsid w:val="4CC31472"/>
    <w:rsid w:val="4CE2665F"/>
    <w:rsid w:val="4CE91A44"/>
    <w:rsid w:val="4D0039E7"/>
    <w:rsid w:val="4D007DBC"/>
    <w:rsid w:val="4D302E27"/>
    <w:rsid w:val="4D317F76"/>
    <w:rsid w:val="4D7F0CE1"/>
    <w:rsid w:val="4D812CAB"/>
    <w:rsid w:val="4EA523BC"/>
    <w:rsid w:val="4ED30F8C"/>
    <w:rsid w:val="4EE8375F"/>
    <w:rsid w:val="4EE96D5A"/>
    <w:rsid w:val="4F0F2539"/>
    <w:rsid w:val="4F147549"/>
    <w:rsid w:val="4F293FC3"/>
    <w:rsid w:val="4F3B332E"/>
    <w:rsid w:val="50033115"/>
    <w:rsid w:val="502276A2"/>
    <w:rsid w:val="50406E4E"/>
    <w:rsid w:val="505521CD"/>
    <w:rsid w:val="50775082"/>
    <w:rsid w:val="509908C6"/>
    <w:rsid w:val="50D47596"/>
    <w:rsid w:val="50F639B0"/>
    <w:rsid w:val="5104077A"/>
    <w:rsid w:val="51330760"/>
    <w:rsid w:val="51D841E7"/>
    <w:rsid w:val="525D6F40"/>
    <w:rsid w:val="52EF8A8F"/>
    <w:rsid w:val="53084200"/>
    <w:rsid w:val="5359222A"/>
    <w:rsid w:val="53690469"/>
    <w:rsid w:val="537A6849"/>
    <w:rsid w:val="537C375A"/>
    <w:rsid w:val="539574B0"/>
    <w:rsid w:val="53CE7B91"/>
    <w:rsid w:val="53EC1340"/>
    <w:rsid w:val="541C512A"/>
    <w:rsid w:val="544016A4"/>
    <w:rsid w:val="546767BB"/>
    <w:rsid w:val="548D4512"/>
    <w:rsid w:val="549B7CA5"/>
    <w:rsid w:val="54B8027F"/>
    <w:rsid w:val="55216B22"/>
    <w:rsid w:val="553D40E7"/>
    <w:rsid w:val="55911EF9"/>
    <w:rsid w:val="55B36931"/>
    <w:rsid w:val="55BB0D24"/>
    <w:rsid w:val="55E40DAC"/>
    <w:rsid w:val="56196483"/>
    <w:rsid w:val="566C2869"/>
    <w:rsid w:val="56B440F1"/>
    <w:rsid w:val="56F463E3"/>
    <w:rsid w:val="57012BCC"/>
    <w:rsid w:val="573827E4"/>
    <w:rsid w:val="57454D4A"/>
    <w:rsid w:val="57721191"/>
    <w:rsid w:val="578A4E52"/>
    <w:rsid w:val="57913BB1"/>
    <w:rsid w:val="57C641F3"/>
    <w:rsid w:val="57D83E10"/>
    <w:rsid w:val="58A75590"/>
    <w:rsid w:val="58C61EBA"/>
    <w:rsid w:val="58FE503E"/>
    <w:rsid w:val="59123351"/>
    <w:rsid w:val="59A04973"/>
    <w:rsid w:val="59DA62AE"/>
    <w:rsid w:val="59DF345D"/>
    <w:rsid w:val="59E7307A"/>
    <w:rsid w:val="59F673FD"/>
    <w:rsid w:val="5A3B0686"/>
    <w:rsid w:val="5A6776CD"/>
    <w:rsid w:val="5A7B51D3"/>
    <w:rsid w:val="5A973EF7"/>
    <w:rsid w:val="5ABF6EB9"/>
    <w:rsid w:val="5ACF1D70"/>
    <w:rsid w:val="5B24736C"/>
    <w:rsid w:val="5B3A093D"/>
    <w:rsid w:val="5B3C6133"/>
    <w:rsid w:val="5B516E1D"/>
    <w:rsid w:val="5B6D579F"/>
    <w:rsid w:val="5BD364E5"/>
    <w:rsid w:val="5BFE3780"/>
    <w:rsid w:val="5C2A09B2"/>
    <w:rsid w:val="5C8F2446"/>
    <w:rsid w:val="5CBA1D36"/>
    <w:rsid w:val="5CCD510D"/>
    <w:rsid w:val="5CEED739"/>
    <w:rsid w:val="5CFD5561"/>
    <w:rsid w:val="5D05119C"/>
    <w:rsid w:val="5D280E34"/>
    <w:rsid w:val="5D41665C"/>
    <w:rsid w:val="5D681E78"/>
    <w:rsid w:val="5DB3F144"/>
    <w:rsid w:val="5DDA3913"/>
    <w:rsid w:val="5DFC0AE8"/>
    <w:rsid w:val="5E11656F"/>
    <w:rsid w:val="5E167440"/>
    <w:rsid w:val="5E391380"/>
    <w:rsid w:val="5E7E4DA5"/>
    <w:rsid w:val="5E880FA4"/>
    <w:rsid w:val="5E9DCE57"/>
    <w:rsid w:val="5EBF3EA5"/>
    <w:rsid w:val="5ED35331"/>
    <w:rsid w:val="5EFD5F0A"/>
    <w:rsid w:val="5F011E9E"/>
    <w:rsid w:val="5F3C0936"/>
    <w:rsid w:val="5F4678B1"/>
    <w:rsid w:val="5F630848"/>
    <w:rsid w:val="5F7704F1"/>
    <w:rsid w:val="5F870252"/>
    <w:rsid w:val="5FA10F8B"/>
    <w:rsid w:val="5FB172A3"/>
    <w:rsid w:val="5FB43FE5"/>
    <w:rsid w:val="5FE326FD"/>
    <w:rsid w:val="60077078"/>
    <w:rsid w:val="601975C1"/>
    <w:rsid w:val="60335542"/>
    <w:rsid w:val="60A24FBB"/>
    <w:rsid w:val="60B93098"/>
    <w:rsid w:val="60BA44D4"/>
    <w:rsid w:val="60C96203"/>
    <w:rsid w:val="611264F8"/>
    <w:rsid w:val="611539DF"/>
    <w:rsid w:val="61AD7142"/>
    <w:rsid w:val="61EB0897"/>
    <w:rsid w:val="6258182C"/>
    <w:rsid w:val="629D3C5C"/>
    <w:rsid w:val="630D181D"/>
    <w:rsid w:val="63860BC4"/>
    <w:rsid w:val="639C18F4"/>
    <w:rsid w:val="63AC6266"/>
    <w:rsid w:val="648F3AA8"/>
    <w:rsid w:val="64B90B25"/>
    <w:rsid w:val="64D01601"/>
    <w:rsid w:val="64EFB7A7"/>
    <w:rsid w:val="653F3F71"/>
    <w:rsid w:val="654D1197"/>
    <w:rsid w:val="657D6D2D"/>
    <w:rsid w:val="65E87914"/>
    <w:rsid w:val="65FA23AE"/>
    <w:rsid w:val="662C66AE"/>
    <w:rsid w:val="66325962"/>
    <w:rsid w:val="66592A75"/>
    <w:rsid w:val="66716C77"/>
    <w:rsid w:val="66B141AA"/>
    <w:rsid w:val="66C220ED"/>
    <w:rsid w:val="66CC2D91"/>
    <w:rsid w:val="66DB1226"/>
    <w:rsid w:val="66E37976"/>
    <w:rsid w:val="67024A05"/>
    <w:rsid w:val="670D4B76"/>
    <w:rsid w:val="672C1A82"/>
    <w:rsid w:val="6736645D"/>
    <w:rsid w:val="67811331"/>
    <w:rsid w:val="67872DBE"/>
    <w:rsid w:val="67AA4CC9"/>
    <w:rsid w:val="67CB34E6"/>
    <w:rsid w:val="68A94281"/>
    <w:rsid w:val="68B8069D"/>
    <w:rsid w:val="69046E4F"/>
    <w:rsid w:val="69224EEB"/>
    <w:rsid w:val="693A39DA"/>
    <w:rsid w:val="693E08F7"/>
    <w:rsid w:val="698A536A"/>
    <w:rsid w:val="69BD5CAE"/>
    <w:rsid w:val="69D35536"/>
    <w:rsid w:val="69EC374B"/>
    <w:rsid w:val="6A2B4273"/>
    <w:rsid w:val="6A8F4802"/>
    <w:rsid w:val="6AA45574"/>
    <w:rsid w:val="6ABE3B1C"/>
    <w:rsid w:val="6AC5264F"/>
    <w:rsid w:val="6ADD0169"/>
    <w:rsid w:val="6AE306AA"/>
    <w:rsid w:val="6AFB0793"/>
    <w:rsid w:val="6B3C600C"/>
    <w:rsid w:val="6B6C1481"/>
    <w:rsid w:val="6BCA7826"/>
    <w:rsid w:val="6BF16C8A"/>
    <w:rsid w:val="6C0C59DE"/>
    <w:rsid w:val="6C644542"/>
    <w:rsid w:val="6C8E3869"/>
    <w:rsid w:val="6CA72DDC"/>
    <w:rsid w:val="6CAB169B"/>
    <w:rsid w:val="6CBD33A5"/>
    <w:rsid w:val="6CD40BF2"/>
    <w:rsid w:val="6CFA637E"/>
    <w:rsid w:val="6D544AB7"/>
    <w:rsid w:val="6DA91ED9"/>
    <w:rsid w:val="6DAC3E03"/>
    <w:rsid w:val="6DDE7E85"/>
    <w:rsid w:val="6EB85889"/>
    <w:rsid w:val="6EBE775E"/>
    <w:rsid w:val="6F082DD5"/>
    <w:rsid w:val="6F190B3E"/>
    <w:rsid w:val="6F1C062E"/>
    <w:rsid w:val="6F264090"/>
    <w:rsid w:val="6F2E0A8A"/>
    <w:rsid w:val="6F7A6736"/>
    <w:rsid w:val="6FBE3493"/>
    <w:rsid w:val="6FC467FA"/>
    <w:rsid w:val="7036260E"/>
    <w:rsid w:val="70605E21"/>
    <w:rsid w:val="70A34665"/>
    <w:rsid w:val="70FF4240"/>
    <w:rsid w:val="71156879"/>
    <w:rsid w:val="71374018"/>
    <w:rsid w:val="71385DE0"/>
    <w:rsid w:val="71442403"/>
    <w:rsid w:val="7148570A"/>
    <w:rsid w:val="714B0200"/>
    <w:rsid w:val="715F4802"/>
    <w:rsid w:val="71681909"/>
    <w:rsid w:val="716F0361"/>
    <w:rsid w:val="71771B4C"/>
    <w:rsid w:val="71813AE6"/>
    <w:rsid w:val="71956476"/>
    <w:rsid w:val="71E44E55"/>
    <w:rsid w:val="721F290F"/>
    <w:rsid w:val="724D041D"/>
    <w:rsid w:val="726B4173"/>
    <w:rsid w:val="727951AB"/>
    <w:rsid w:val="72941106"/>
    <w:rsid w:val="72BD1480"/>
    <w:rsid w:val="72F4733C"/>
    <w:rsid w:val="73042B43"/>
    <w:rsid w:val="73092C77"/>
    <w:rsid w:val="73151EB8"/>
    <w:rsid w:val="73335F46"/>
    <w:rsid w:val="73B331AE"/>
    <w:rsid w:val="73C31078"/>
    <w:rsid w:val="73C372CA"/>
    <w:rsid w:val="73D84D52"/>
    <w:rsid w:val="743D29F5"/>
    <w:rsid w:val="745B39A7"/>
    <w:rsid w:val="745D41D9"/>
    <w:rsid w:val="746217A5"/>
    <w:rsid w:val="748527D2"/>
    <w:rsid w:val="74A731A8"/>
    <w:rsid w:val="750C4CA1"/>
    <w:rsid w:val="751B6E71"/>
    <w:rsid w:val="75295853"/>
    <w:rsid w:val="75322959"/>
    <w:rsid w:val="7589009F"/>
    <w:rsid w:val="75A31161"/>
    <w:rsid w:val="75E874BC"/>
    <w:rsid w:val="76057F79"/>
    <w:rsid w:val="763C0907"/>
    <w:rsid w:val="76DF45C6"/>
    <w:rsid w:val="77163BB5"/>
    <w:rsid w:val="771A3517"/>
    <w:rsid w:val="77543022"/>
    <w:rsid w:val="77732DB5"/>
    <w:rsid w:val="77A422D7"/>
    <w:rsid w:val="77AF64E3"/>
    <w:rsid w:val="77BC77E7"/>
    <w:rsid w:val="77D26005"/>
    <w:rsid w:val="78485F24"/>
    <w:rsid w:val="789607FB"/>
    <w:rsid w:val="789F0530"/>
    <w:rsid w:val="79180BB4"/>
    <w:rsid w:val="79206F6D"/>
    <w:rsid w:val="794B2E20"/>
    <w:rsid w:val="799C0739"/>
    <w:rsid w:val="79BF17C4"/>
    <w:rsid w:val="79C45B4A"/>
    <w:rsid w:val="7A21473D"/>
    <w:rsid w:val="7A2F4586"/>
    <w:rsid w:val="7A5404F2"/>
    <w:rsid w:val="7A9B68AB"/>
    <w:rsid w:val="7AA04AB0"/>
    <w:rsid w:val="7AB710B8"/>
    <w:rsid w:val="7ADE05CD"/>
    <w:rsid w:val="7AFAAEB7"/>
    <w:rsid w:val="7AFF4689"/>
    <w:rsid w:val="7B560A24"/>
    <w:rsid w:val="7B69ED50"/>
    <w:rsid w:val="7B6C1133"/>
    <w:rsid w:val="7B841A35"/>
    <w:rsid w:val="7BA378A4"/>
    <w:rsid w:val="7BAD6B85"/>
    <w:rsid w:val="7BCA02FE"/>
    <w:rsid w:val="7BF53A3A"/>
    <w:rsid w:val="7BF926BA"/>
    <w:rsid w:val="7BFC5A6F"/>
    <w:rsid w:val="7C041078"/>
    <w:rsid w:val="7C0F7158"/>
    <w:rsid w:val="7C975798"/>
    <w:rsid w:val="7CAF4890"/>
    <w:rsid w:val="7D2D1C58"/>
    <w:rsid w:val="7D5316BF"/>
    <w:rsid w:val="7D7358BD"/>
    <w:rsid w:val="7D960C66"/>
    <w:rsid w:val="7D9F62B9"/>
    <w:rsid w:val="7DA82F1F"/>
    <w:rsid w:val="7DE2231B"/>
    <w:rsid w:val="7E1352F2"/>
    <w:rsid w:val="7E22287F"/>
    <w:rsid w:val="7E6911E4"/>
    <w:rsid w:val="7E9F0934"/>
    <w:rsid w:val="7EA30E4D"/>
    <w:rsid w:val="7EA94884"/>
    <w:rsid w:val="7EB41794"/>
    <w:rsid w:val="7EC9775F"/>
    <w:rsid w:val="7EEE7FFF"/>
    <w:rsid w:val="7EF67C0C"/>
    <w:rsid w:val="7F213B20"/>
    <w:rsid w:val="7F74591C"/>
    <w:rsid w:val="7F792E5F"/>
    <w:rsid w:val="7F7F3E3E"/>
    <w:rsid w:val="7FB2482F"/>
    <w:rsid w:val="7FB977D3"/>
    <w:rsid w:val="7FEF1124"/>
    <w:rsid w:val="7FF44931"/>
    <w:rsid w:val="7FFF7AFF"/>
    <w:rsid w:val="8E788955"/>
    <w:rsid w:val="9EBDA84D"/>
    <w:rsid w:val="A9B73622"/>
    <w:rsid w:val="AF2D9283"/>
    <w:rsid w:val="AFFC3EC1"/>
    <w:rsid w:val="B5FFD168"/>
    <w:rsid w:val="B7DAD0EE"/>
    <w:rsid w:val="B9F78897"/>
    <w:rsid w:val="BFFF9995"/>
    <w:rsid w:val="C7FE0287"/>
    <w:rsid w:val="D7FFA306"/>
    <w:rsid w:val="DEF91BE0"/>
    <w:rsid w:val="ED3F4E67"/>
    <w:rsid w:val="EEEF6DFE"/>
    <w:rsid w:val="F3F6995B"/>
    <w:rsid w:val="F657950D"/>
    <w:rsid w:val="F7DF2CB9"/>
    <w:rsid w:val="FAFEB20A"/>
    <w:rsid w:val="FBFE8BA0"/>
    <w:rsid w:val="FFEE8B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link w:val="15"/>
    <w:unhideWhenUsed/>
    <w:qFormat/>
    <w:uiPriority w:val="0"/>
    <w:pPr>
      <w:keepNext/>
      <w:keepLines/>
      <w:spacing w:before="260" w:after="260" w:line="413" w:lineRule="auto"/>
      <w:outlineLvl w:val="1"/>
    </w:pPr>
    <w:rPr>
      <w:rFonts w:eastAsia="黑体"/>
      <w:b/>
      <w:sz w:val="32"/>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footnote text"/>
    <w:basedOn w:val="1"/>
    <w:qFormat/>
    <w:uiPriority w:val="0"/>
    <w:pPr>
      <w:snapToGrid w:val="0"/>
      <w:jc w:val="left"/>
    </w:pPr>
    <w:rPr>
      <w:sz w:val="18"/>
    </w:rPr>
  </w:style>
  <w:style w:type="paragraph" w:styleId="9">
    <w:name w:val="toc 2"/>
    <w:basedOn w:val="1"/>
    <w:next w:val="1"/>
    <w:qFormat/>
    <w:uiPriority w:val="0"/>
    <w:pPr>
      <w:ind w:left="420" w:leftChars="200"/>
    </w:p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3">
    <w:name w:val="Strong"/>
    <w:basedOn w:val="12"/>
    <w:qFormat/>
    <w:uiPriority w:val="0"/>
    <w:rPr>
      <w:b/>
    </w:rPr>
  </w:style>
  <w:style w:type="character" w:styleId="14">
    <w:name w:val="footnote reference"/>
    <w:basedOn w:val="12"/>
    <w:qFormat/>
    <w:uiPriority w:val="0"/>
    <w:rPr>
      <w:vertAlign w:val="superscript"/>
    </w:rPr>
  </w:style>
  <w:style w:type="character" w:customStyle="1" w:styleId="15">
    <w:name w:val="标题 2 字符"/>
    <w:link w:val="2"/>
    <w:qFormat/>
    <w:uiPriority w:val="0"/>
    <w:rPr>
      <w:rFonts w:eastAsia="黑体"/>
      <w:b/>
      <w:sz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35</Pages>
  <Words>15905</Words>
  <Characters>16933</Characters>
  <Lines>0</Lines>
  <Paragraphs>0</Paragraphs>
  <TotalTime>80</TotalTime>
  <ScaleCrop>false</ScaleCrop>
  <LinksUpToDate>false</LinksUpToDate>
  <CharactersWithSpaces>17238</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2026-07-09T01:58:00Z</dcterms:created>
  <dc:creator>zb</dc:creator>
  <cp:lastModifiedBy>Lenovo</cp:lastModifiedBy>
  <cp:lastPrinted>2026-07-09T02:16:00Z</cp:lastPrinted>
  <dcterms:modified xsi:type="dcterms:W3CDTF">2026-09-22T16:44:54Z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KSOTemplateDocerSaveRecord">
    <vt:lpwstr>eyJoZGlkIjoiNDgzYjE1MzNmZDAyNGJmZjdmOGIxZjViNzMxYzIxMzciLCJ1c2VySWQiOiI0Mzk4NjkzMjkifQ==</vt:lpwstr>
  </property>
  <property fmtid="{D5CDD505-2E9C-101B-9397-08002B2CF9AE}" pid="4" name="ICV">
    <vt:lpwstr>631BCAB5FBB1C3BE05FFAC6A06FF10F4_43</vt:lpwstr>
  </property>
</Properties>
</file>