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9ACA97">
      <w:pPr>
        <w:keepNext w:val="0"/>
        <w:keepLines w:val="0"/>
        <w:pageBreakBefore w:val="0"/>
        <w:widowControl w:val="0"/>
        <w:kinsoku/>
        <w:wordWrap/>
        <w:overflowPunct/>
        <w:topLinePunct/>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snapToGrid w:val="0"/>
          <w:color w:val="auto"/>
          <w:kern w:val="0"/>
          <w:sz w:val="44"/>
          <w:szCs w:val="21"/>
          <w:lang w:val="en-US" w:eastAsia="zh-CN"/>
        </w:rPr>
      </w:pPr>
    </w:p>
    <w:p w14:paraId="03856A5F">
      <w:pPr>
        <w:keepNext w:val="0"/>
        <w:keepLines w:val="0"/>
        <w:pageBreakBefore w:val="0"/>
        <w:widowControl w:val="0"/>
        <w:kinsoku/>
        <w:wordWrap/>
        <w:overflowPunct/>
        <w:topLinePunct/>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snapToGrid w:val="0"/>
          <w:color w:val="auto"/>
          <w:kern w:val="0"/>
          <w:sz w:val="44"/>
          <w:szCs w:val="21"/>
          <w:lang w:val="en-US" w:eastAsia="zh-CN"/>
        </w:rPr>
      </w:pPr>
    </w:p>
    <w:p w14:paraId="0F3C8234">
      <w:pPr>
        <w:keepNext w:val="0"/>
        <w:keepLines w:val="0"/>
        <w:pageBreakBefore w:val="0"/>
        <w:widowControl w:val="0"/>
        <w:kinsoku/>
        <w:wordWrap/>
        <w:overflowPunct/>
        <w:topLinePunct w:val="0"/>
        <w:autoSpaceDE/>
        <w:autoSpaceDN/>
        <w:bidi w:val="0"/>
        <w:adjustRightInd/>
        <w:snapToGrid/>
        <w:spacing w:line="578" w:lineRule="exact"/>
        <w:ind w:left="0" w:leftChars="0" w:right="0" w:rightChars="0"/>
        <w:jc w:val="center"/>
        <w:textAlignment w:val="auto"/>
        <w:outlineLvl w:val="9"/>
        <w:rPr>
          <w:rFonts w:hint="eastAsia" w:ascii="方正小标宋简体" w:hAnsi="方正小标宋简体" w:eastAsia="方正小标宋简体" w:cs="方正小标宋简体"/>
          <w:snapToGrid w:val="0"/>
          <w:color w:val="auto"/>
          <w:kern w:val="0"/>
          <w:sz w:val="44"/>
          <w:szCs w:val="21"/>
          <w:lang w:val="en-US" w:eastAsia="zh-CN"/>
        </w:rPr>
      </w:pPr>
      <w:r>
        <w:rPr>
          <w:rFonts w:hint="eastAsia" w:ascii="方正小标宋简体" w:hAnsi="方正小标宋简体" w:eastAsia="方正小标宋简体" w:cs="方正小标宋简体"/>
          <w:sz w:val="44"/>
          <w:szCs w:val="44"/>
          <w:lang w:eastAsia="zh-CN"/>
        </w:rPr>
        <w:t>吉阳津海建材市场</w:t>
      </w:r>
      <w:r>
        <w:rPr>
          <w:rFonts w:hint="eastAsia" w:ascii="方正小标宋简体" w:hAnsi="方正小标宋简体" w:eastAsia="方正小标宋简体" w:cs="方正小标宋简体"/>
          <w:sz w:val="44"/>
          <w:szCs w:val="44"/>
          <w:lang w:val="en-US" w:eastAsia="zh-CN"/>
        </w:rPr>
        <w:t>K歌沐足店室内拆墙清运工程</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lang w:val="en-US" w:eastAsia="zh-CN"/>
        </w:rPr>
        <w:t>8·25”一般打击事故调查报告</w:t>
      </w:r>
    </w:p>
    <w:p w14:paraId="42D59D12">
      <w:pPr>
        <w:keepNext w:val="0"/>
        <w:keepLines w:val="0"/>
        <w:pageBreakBefore w:val="0"/>
        <w:widowControl w:val="0"/>
        <w:kinsoku/>
        <w:wordWrap/>
        <w:overflowPunct/>
        <w:topLinePunct/>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snapToGrid w:val="0"/>
          <w:color w:val="auto"/>
          <w:kern w:val="0"/>
          <w:sz w:val="44"/>
          <w:szCs w:val="21"/>
          <w:lang w:val="en-US" w:eastAsia="zh-CN"/>
        </w:rPr>
      </w:pPr>
      <w:bookmarkStart w:id="0" w:name="heading_0"/>
    </w:p>
    <w:p w14:paraId="16DEEE8A">
      <w:pPr>
        <w:keepNext w:val="0"/>
        <w:keepLines w:val="0"/>
        <w:pageBreakBefore w:val="0"/>
        <w:widowControl w:val="0"/>
        <w:kinsoku/>
        <w:wordWrap/>
        <w:overflowPunct/>
        <w:topLinePunct/>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snapToGrid w:val="0"/>
          <w:color w:val="auto"/>
          <w:kern w:val="0"/>
          <w:sz w:val="44"/>
          <w:szCs w:val="21"/>
          <w:lang w:val="en-US" w:eastAsia="zh-CN"/>
        </w:rPr>
      </w:pPr>
    </w:p>
    <w:p w14:paraId="40269DD8">
      <w:pPr>
        <w:keepNext w:val="0"/>
        <w:keepLines w:val="0"/>
        <w:pageBreakBefore w:val="0"/>
        <w:widowControl w:val="0"/>
        <w:kinsoku/>
        <w:wordWrap/>
        <w:overflowPunct/>
        <w:topLinePunct/>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snapToGrid w:val="0"/>
          <w:color w:val="auto"/>
          <w:kern w:val="0"/>
          <w:sz w:val="44"/>
          <w:szCs w:val="21"/>
          <w:lang w:val="en-US" w:eastAsia="zh-CN"/>
        </w:rPr>
      </w:pPr>
    </w:p>
    <w:p w14:paraId="4BBB4075">
      <w:pPr>
        <w:keepNext w:val="0"/>
        <w:keepLines w:val="0"/>
        <w:pageBreakBefore w:val="0"/>
        <w:widowControl w:val="0"/>
        <w:kinsoku/>
        <w:wordWrap/>
        <w:overflowPunct/>
        <w:topLinePunct/>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snapToGrid w:val="0"/>
          <w:color w:val="auto"/>
          <w:kern w:val="0"/>
          <w:sz w:val="44"/>
          <w:szCs w:val="21"/>
          <w:lang w:val="en-US" w:eastAsia="zh-CN"/>
        </w:rPr>
      </w:pPr>
    </w:p>
    <w:p w14:paraId="2CE939D2">
      <w:pPr>
        <w:keepNext w:val="0"/>
        <w:keepLines w:val="0"/>
        <w:pageBreakBefore w:val="0"/>
        <w:widowControl w:val="0"/>
        <w:kinsoku/>
        <w:wordWrap/>
        <w:overflowPunct/>
        <w:topLinePunct/>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snapToGrid w:val="0"/>
          <w:color w:val="auto"/>
          <w:kern w:val="0"/>
          <w:sz w:val="44"/>
          <w:szCs w:val="21"/>
          <w:lang w:val="en-US" w:eastAsia="zh-CN"/>
        </w:rPr>
      </w:pPr>
    </w:p>
    <w:p w14:paraId="6D576A71">
      <w:pPr>
        <w:keepNext w:val="0"/>
        <w:keepLines w:val="0"/>
        <w:pageBreakBefore w:val="0"/>
        <w:widowControl w:val="0"/>
        <w:kinsoku/>
        <w:wordWrap/>
        <w:overflowPunct/>
        <w:topLinePunct/>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snapToGrid w:val="0"/>
          <w:color w:val="auto"/>
          <w:kern w:val="0"/>
          <w:sz w:val="44"/>
          <w:szCs w:val="21"/>
          <w:lang w:val="en-US" w:eastAsia="zh-CN"/>
        </w:rPr>
      </w:pPr>
    </w:p>
    <w:p w14:paraId="61F5608C">
      <w:pPr>
        <w:keepNext w:val="0"/>
        <w:keepLines w:val="0"/>
        <w:pageBreakBefore w:val="0"/>
        <w:widowControl w:val="0"/>
        <w:kinsoku/>
        <w:wordWrap/>
        <w:overflowPunct/>
        <w:topLinePunct/>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snapToGrid w:val="0"/>
          <w:color w:val="auto"/>
          <w:kern w:val="0"/>
          <w:sz w:val="44"/>
          <w:szCs w:val="21"/>
          <w:lang w:val="en-US" w:eastAsia="zh-CN"/>
        </w:rPr>
      </w:pPr>
    </w:p>
    <w:p w14:paraId="4BD0B5B9">
      <w:pPr>
        <w:keepNext w:val="0"/>
        <w:keepLines w:val="0"/>
        <w:pageBreakBefore w:val="0"/>
        <w:widowControl w:val="0"/>
        <w:kinsoku/>
        <w:wordWrap/>
        <w:overflowPunct/>
        <w:topLinePunct/>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snapToGrid w:val="0"/>
          <w:color w:val="auto"/>
          <w:kern w:val="0"/>
          <w:sz w:val="44"/>
          <w:szCs w:val="21"/>
          <w:lang w:val="en-US" w:eastAsia="zh-CN"/>
        </w:rPr>
      </w:pPr>
    </w:p>
    <w:p w14:paraId="3956D63F">
      <w:pPr>
        <w:keepNext w:val="0"/>
        <w:keepLines w:val="0"/>
        <w:pageBreakBefore w:val="0"/>
        <w:widowControl w:val="0"/>
        <w:kinsoku/>
        <w:wordWrap/>
        <w:overflowPunct/>
        <w:topLinePunct/>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snapToGrid w:val="0"/>
          <w:color w:val="auto"/>
          <w:kern w:val="0"/>
          <w:sz w:val="44"/>
          <w:szCs w:val="21"/>
          <w:lang w:val="en-US" w:eastAsia="zh-CN"/>
        </w:rPr>
      </w:pPr>
    </w:p>
    <w:p w14:paraId="1E793F18">
      <w:pPr>
        <w:keepNext w:val="0"/>
        <w:keepLines w:val="0"/>
        <w:pageBreakBefore w:val="0"/>
        <w:widowControl w:val="0"/>
        <w:kinsoku/>
        <w:wordWrap/>
        <w:overflowPunct/>
        <w:topLinePunct/>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snapToGrid w:val="0"/>
          <w:color w:val="auto"/>
          <w:kern w:val="0"/>
          <w:sz w:val="44"/>
          <w:szCs w:val="21"/>
          <w:lang w:val="en-US" w:eastAsia="zh-CN"/>
        </w:rPr>
      </w:pPr>
    </w:p>
    <w:p w14:paraId="54767556">
      <w:pPr>
        <w:keepNext w:val="0"/>
        <w:keepLines w:val="0"/>
        <w:pageBreakBefore w:val="0"/>
        <w:widowControl w:val="0"/>
        <w:kinsoku/>
        <w:wordWrap/>
        <w:overflowPunct/>
        <w:topLinePunct/>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snapToGrid w:val="0"/>
          <w:color w:val="auto"/>
          <w:kern w:val="0"/>
          <w:sz w:val="44"/>
          <w:szCs w:val="21"/>
          <w:lang w:val="en-US" w:eastAsia="zh-CN"/>
        </w:rPr>
      </w:pPr>
    </w:p>
    <w:p w14:paraId="4FD5DAA6">
      <w:pPr>
        <w:keepNext w:val="0"/>
        <w:keepLines w:val="0"/>
        <w:pageBreakBefore w:val="0"/>
        <w:widowControl w:val="0"/>
        <w:kinsoku/>
        <w:wordWrap/>
        <w:overflowPunct/>
        <w:topLinePunct/>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snapToGrid w:val="0"/>
          <w:color w:val="auto"/>
          <w:kern w:val="0"/>
          <w:sz w:val="44"/>
          <w:szCs w:val="21"/>
          <w:lang w:val="en-US" w:eastAsia="zh-CN"/>
        </w:rPr>
      </w:pPr>
    </w:p>
    <w:p w14:paraId="400FA0D6">
      <w:pPr>
        <w:keepNext w:val="0"/>
        <w:keepLines w:val="0"/>
        <w:pageBreakBefore w:val="0"/>
        <w:widowControl w:val="0"/>
        <w:kinsoku/>
        <w:wordWrap/>
        <w:overflowPunct/>
        <w:topLinePunct/>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snapToGrid w:val="0"/>
          <w:color w:val="auto"/>
          <w:kern w:val="0"/>
          <w:sz w:val="44"/>
          <w:szCs w:val="21"/>
          <w:lang w:val="en-US" w:eastAsia="zh-CN"/>
        </w:rPr>
      </w:pPr>
    </w:p>
    <w:p w14:paraId="47296F75">
      <w:pPr>
        <w:keepNext w:val="0"/>
        <w:keepLines w:val="0"/>
        <w:pageBreakBefore w:val="0"/>
        <w:widowControl w:val="0"/>
        <w:kinsoku/>
        <w:wordWrap/>
        <w:overflowPunct/>
        <w:topLinePunct/>
        <w:autoSpaceDE/>
        <w:autoSpaceDN/>
        <w:bidi w:val="0"/>
        <w:adjustRightInd/>
        <w:snapToGrid/>
        <w:spacing w:line="560" w:lineRule="exact"/>
        <w:ind w:left="0" w:leftChars="0" w:right="0"/>
        <w:jc w:val="both"/>
        <w:textAlignment w:val="auto"/>
        <w:rPr>
          <w:rFonts w:hint="eastAsia" w:ascii="方正小标宋简体" w:hAnsi="方正小标宋简体" w:eastAsia="方正小标宋简体" w:cs="方正小标宋简体"/>
          <w:snapToGrid w:val="0"/>
          <w:color w:val="auto"/>
          <w:kern w:val="0"/>
          <w:sz w:val="44"/>
          <w:szCs w:val="21"/>
          <w:lang w:val="en-US" w:eastAsia="zh-CN"/>
        </w:rPr>
      </w:pPr>
    </w:p>
    <w:p w14:paraId="015D5B48">
      <w:pPr>
        <w:keepNext w:val="0"/>
        <w:keepLines w:val="0"/>
        <w:pageBreakBefore w:val="0"/>
        <w:widowControl w:val="0"/>
        <w:kinsoku/>
        <w:wordWrap/>
        <w:overflowPunct/>
        <w:topLinePunct/>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color w:val="auto"/>
          <w:sz w:val="44"/>
          <w:lang w:val="en-US" w:eastAsia="zh-CN"/>
        </w:rPr>
      </w:pPr>
      <w:r>
        <w:rPr>
          <w:rFonts w:hint="eastAsia" w:ascii="方正小标宋简体" w:hAnsi="方正小标宋简体" w:eastAsia="方正小标宋简体" w:cs="方正小标宋简体"/>
          <w:color w:val="auto"/>
          <w:sz w:val="44"/>
          <w:lang w:val="en-US" w:eastAsia="zh-CN"/>
        </w:rPr>
        <w:t>三亚市吉阳区政府事故调查组</w:t>
      </w:r>
    </w:p>
    <w:p w14:paraId="7FA4F2D9">
      <w:pPr>
        <w:keepNext w:val="0"/>
        <w:keepLines w:val="0"/>
        <w:pageBreakBefore w:val="0"/>
        <w:widowControl w:val="0"/>
        <w:kinsoku/>
        <w:wordWrap/>
        <w:overflowPunct/>
        <w:bidi w:val="0"/>
        <w:spacing w:line="560" w:lineRule="exact"/>
        <w:ind w:left="0" w:leftChars="0" w:right="0"/>
        <w:jc w:val="center"/>
        <w:rPr>
          <w:rFonts w:hint="eastAsia" w:ascii="方正小标宋简体" w:hAnsi="方正小标宋简体" w:eastAsia="方正小标宋简体" w:cs="方正小标宋简体"/>
          <w:color w:val="auto"/>
          <w:sz w:val="44"/>
          <w:lang w:val="en-US" w:eastAsia="zh-CN"/>
        </w:rPr>
      </w:pPr>
      <w:r>
        <w:rPr>
          <w:rFonts w:hint="eastAsia" w:ascii="方正小标宋简体" w:hAnsi="方正小标宋简体" w:eastAsia="方正小标宋简体" w:cs="方正小标宋简体"/>
          <w:color w:val="auto"/>
          <w:sz w:val="44"/>
          <w:lang w:val="en-US" w:eastAsia="zh-CN"/>
        </w:rPr>
        <w:t>2026年8月31日</w:t>
      </w:r>
    </w:p>
    <w:p w14:paraId="2EC4E95A">
      <w:pPr>
        <w:keepNext w:val="0"/>
        <w:keepLines w:val="0"/>
        <w:pageBreakBefore w:val="0"/>
        <w:widowControl w:val="0"/>
        <w:kinsoku/>
        <w:wordWrap/>
        <w:overflowPunct/>
        <w:bidi w:val="0"/>
        <w:spacing w:line="560" w:lineRule="exact"/>
        <w:ind w:left="0" w:leftChars="0" w:right="0"/>
        <w:jc w:val="center"/>
        <w:rPr>
          <w:rFonts w:hint="eastAsia" w:ascii="方正小标宋简体" w:hAnsi="方正小标宋简体" w:eastAsia="方正小标宋简体" w:cs="方正小标宋简体"/>
          <w:color w:val="auto"/>
          <w:sz w:val="44"/>
          <w:lang w:val="en-US" w:eastAsia="zh-CN"/>
        </w:rPr>
      </w:pPr>
    </w:p>
    <w:p w14:paraId="76F52FDE">
      <w:pPr>
        <w:keepNext w:val="0"/>
        <w:keepLines w:val="0"/>
        <w:pageBreakBefore w:val="0"/>
        <w:widowControl w:val="0"/>
        <w:kinsoku/>
        <w:wordWrap/>
        <w:overflowPunct/>
        <w:bidi w:val="0"/>
        <w:spacing w:line="560" w:lineRule="exact"/>
        <w:ind w:left="0" w:leftChars="0" w:right="0"/>
        <w:jc w:val="center"/>
        <w:rPr>
          <w:rFonts w:hint="eastAsia" w:ascii="方正小标宋简体" w:hAnsi="方正小标宋简体" w:eastAsia="方正小标宋简体" w:cs="方正小标宋简体"/>
          <w:color w:val="auto"/>
          <w:sz w:val="44"/>
          <w:lang w:val="en-US" w:eastAsia="zh-CN"/>
        </w:rPr>
      </w:pPr>
    </w:p>
    <w:sdt>
      <w:sdtPr>
        <w:rPr>
          <w:rFonts w:ascii="宋体" w:hAnsi="宋体" w:eastAsia="宋体" w:cstheme="minorBidi"/>
          <w:kern w:val="2"/>
          <w:sz w:val="21"/>
          <w:szCs w:val="24"/>
          <w:lang w:val="en-US" w:eastAsia="zh-CN" w:bidi="ar-SA"/>
        </w:rPr>
        <w:id w:val="147453313"/>
        <w15:color w:val="DBDBDB"/>
        <w:docPartObj>
          <w:docPartGallery w:val="Table of Contents"/>
          <w:docPartUnique/>
        </w:docPartObj>
      </w:sdtPr>
      <w:sdtEndPr>
        <w:rPr>
          <w:rFonts w:hint="eastAsia" w:asciiTheme="minorHAnsi" w:hAnsiTheme="minorHAnsi" w:eastAsiaTheme="minorEastAsia" w:cstheme="minorBidi"/>
          <w:bCs/>
          <w:kern w:val="2"/>
          <w:sz w:val="21"/>
          <w:szCs w:val="32"/>
          <w:lang w:val="en-US" w:eastAsia="zh-CN" w:bidi="ar-SA"/>
        </w:rPr>
      </w:sdtEndPr>
      <w:sdtContent>
        <w:p w14:paraId="7FF43107">
          <w:pPr>
            <w:keepNext w:val="0"/>
            <w:keepLines w:val="0"/>
            <w:pageBreakBefore w:val="0"/>
            <w:widowControl w:val="0"/>
            <w:wordWrap/>
            <w:overflowPunct/>
            <w:bidi w:val="0"/>
            <w:spacing w:after="0" w:line="560" w:lineRule="exact"/>
            <w:ind w:left="0" w:leftChars="0" w:right="0" w:rightChars="0" w:firstLine="0" w:firstLineChars="0"/>
            <w:jc w:val="center"/>
            <w:rPr>
              <w:rFonts w:hint="eastAsia" w:asciiTheme="majorEastAsia" w:hAnsiTheme="majorEastAsia" w:eastAsiaTheme="majorEastAsia" w:cstheme="majorEastAsia"/>
              <w:b/>
              <w:bCs/>
              <w:color w:val="auto"/>
              <w:sz w:val="32"/>
              <w:szCs w:val="32"/>
              <w:lang w:val="en-US" w:eastAsia="zh-CN"/>
            </w:rPr>
          </w:pPr>
          <w:r>
            <w:rPr>
              <w:rFonts w:hint="eastAsia" w:asciiTheme="majorEastAsia" w:hAnsiTheme="majorEastAsia" w:eastAsiaTheme="majorEastAsia" w:cstheme="majorEastAsia"/>
              <w:b/>
              <w:bCs/>
              <w:color w:val="auto"/>
              <w:sz w:val="32"/>
              <w:szCs w:val="32"/>
              <w:lang w:val="en-US" w:eastAsia="zh-CN"/>
            </w:rPr>
            <w:t>目 录</w:t>
          </w:r>
        </w:p>
        <w:p w14:paraId="2A2CE71A">
          <w:pPr>
            <w:pStyle w:val="6"/>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 w:val="21"/>
              <w:szCs w:val="32"/>
              <w:lang w:val="en-US" w:eastAsia="zh-CN" w:bidi="ar-SA"/>
            </w:rPr>
            <w:fldChar w:fldCharType="begin"/>
          </w:r>
          <w:r>
            <w:rPr>
              <w:rFonts w:hint="eastAsia" w:asciiTheme="minorHAnsi" w:hAnsiTheme="minorHAnsi" w:eastAsiaTheme="minorEastAsia" w:cstheme="minorBidi"/>
              <w:bCs/>
              <w:kern w:val="2"/>
              <w:sz w:val="21"/>
              <w:szCs w:val="32"/>
              <w:lang w:val="en-US" w:eastAsia="zh-CN" w:bidi="ar-SA"/>
            </w:rPr>
            <w:instrText xml:space="preserve">TOC \o "1-2" \h \u </w:instrText>
          </w:r>
          <w:r>
            <w:rPr>
              <w:rFonts w:hint="eastAsia" w:asciiTheme="minorHAnsi" w:hAnsiTheme="minorHAnsi" w:eastAsiaTheme="minorEastAsia" w:cstheme="minorBidi"/>
              <w:bCs/>
              <w:kern w:val="2"/>
              <w:sz w:val="21"/>
              <w:szCs w:val="32"/>
              <w:lang w:val="en-US" w:eastAsia="zh-CN" w:bidi="ar-SA"/>
            </w:rPr>
            <w:fldChar w:fldCharType="separate"/>
          </w: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_Toc3210 </w:instrText>
          </w:r>
          <w:r>
            <w:rPr>
              <w:rFonts w:hint="eastAsia" w:asciiTheme="minorHAnsi" w:hAnsiTheme="minorHAnsi" w:eastAsiaTheme="minorEastAsia" w:cstheme="minorBidi"/>
              <w:bCs/>
              <w:kern w:val="2"/>
              <w:szCs w:val="32"/>
              <w:lang w:val="en-US" w:eastAsia="zh-CN" w:bidi="ar-SA"/>
            </w:rPr>
            <w:fldChar w:fldCharType="separate"/>
          </w:r>
          <w:r>
            <w:rPr>
              <w:rFonts w:hint="eastAsia" w:ascii="黑体" w:hAnsi="黑体" w:eastAsia="黑体" w:cs="黑体"/>
              <w:bCs w:val="0"/>
              <w:snapToGrid w:val="0"/>
              <w:kern w:val="0"/>
              <w:szCs w:val="32"/>
              <w:lang w:val="en-US" w:eastAsia="zh-CN"/>
            </w:rPr>
            <w:t>一、事故基本情况</w:t>
          </w:r>
          <w:r>
            <w:tab/>
          </w:r>
          <w:r>
            <w:fldChar w:fldCharType="begin"/>
          </w:r>
          <w:r>
            <w:instrText xml:space="preserve"> PAGEREF _Toc3210 \h </w:instrText>
          </w:r>
          <w:r>
            <w:fldChar w:fldCharType="separate"/>
          </w:r>
          <w:r>
            <w:t>4</w:t>
          </w:r>
          <w:r>
            <w:fldChar w:fldCharType="end"/>
          </w:r>
          <w:r>
            <w:rPr>
              <w:rFonts w:hint="eastAsia" w:asciiTheme="minorHAnsi" w:hAnsiTheme="minorHAnsi" w:eastAsiaTheme="minorEastAsia" w:cstheme="minorBidi"/>
              <w:bCs/>
              <w:kern w:val="2"/>
              <w:szCs w:val="32"/>
              <w:lang w:val="en-US" w:eastAsia="zh-CN" w:bidi="ar-SA"/>
            </w:rPr>
            <w:fldChar w:fldCharType="end"/>
          </w:r>
        </w:p>
        <w:p w14:paraId="0AB7F140">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_Toc11701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（一）事故发生单位概况</w:t>
          </w:r>
          <w:r>
            <w:tab/>
          </w:r>
          <w:r>
            <w:fldChar w:fldCharType="begin"/>
          </w:r>
          <w:r>
            <w:instrText xml:space="preserve"> PAGEREF _Toc11701 \h </w:instrText>
          </w:r>
          <w:r>
            <w:fldChar w:fldCharType="separate"/>
          </w:r>
          <w:r>
            <w:t>4</w:t>
          </w:r>
          <w:r>
            <w:fldChar w:fldCharType="end"/>
          </w:r>
          <w:r>
            <w:rPr>
              <w:rFonts w:hint="eastAsia" w:asciiTheme="minorHAnsi" w:hAnsiTheme="minorHAnsi" w:eastAsiaTheme="minorEastAsia" w:cstheme="minorBidi"/>
              <w:bCs/>
              <w:kern w:val="2"/>
              <w:szCs w:val="32"/>
              <w:lang w:val="en-US" w:eastAsia="zh-CN" w:bidi="ar-SA"/>
            </w:rPr>
            <w:fldChar w:fldCharType="end"/>
          </w:r>
        </w:p>
        <w:p w14:paraId="51962B50">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_Toc28834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（二）事故发生单位安全管理情况</w:t>
          </w:r>
          <w:r>
            <w:tab/>
          </w:r>
          <w:r>
            <w:fldChar w:fldCharType="begin"/>
          </w:r>
          <w:r>
            <w:instrText xml:space="preserve"> PAGEREF _Toc28834 \h </w:instrText>
          </w:r>
          <w:r>
            <w:fldChar w:fldCharType="separate"/>
          </w:r>
          <w:r>
            <w:t>6</w:t>
          </w:r>
          <w:r>
            <w:fldChar w:fldCharType="end"/>
          </w:r>
          <w:r>
            <w:rPr>
              <w:rFonts w:hint="eastAsia" w:asciiTheme="minorHAnsi" w:hAnsiTheme="minorHAnsi" w:eastAsiaTheme="minorEastAsia" w:cstheme="minorBidi"/>
              <w:bCs/>
              <w:kern w:val="2"/>
              <w:szCs w:val="32"/>
              <w:lang w:val="en-US" w:eastAsia="zh-CN" w:bidi="ar-SA"/>
            </w:rPr>
            <w:fldChar w:fldCharType="end"/>
          </w:r>
        </w:p>
        <w:p w14:paraId="5C2A5670">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_Toc3069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（三）事故发生经过</w:t>
          </w:r>
          <w:r>
            <w:tab/>
          </w:r>
          <w:r>
            <w:fldChar w:fldCharType="begin"/>
          </w:r>
          <w:r>
            <w:instrText xml:space="preserve"> PAGEREF _Toc3069 \h </w:instrText>
          </w:r>
          <w:r>
            <w:fldChar w:fldCharType="separate"/>
          </w:r>
          <w:r>
            <w:t>7</w:t>
          </w:r>
          <w:r>
            <w:fldChar w:fldCharType="end"/>
          </w:r>
          <w:r>
            <w:rPr>
              <w:rFonts w:hint="eastAsia" w:asciiTheme="minorHAnsi" w:hAnsiTheme="minorHAnsi" w:eastAsiaTheme="minorEastAsia" w:cstheme="minorBidi"/>
              <w:bCs/>
              <w:kern w:val="2"/>
              <w:szCs w:val="32"/>
              <w:lang w:val="en-US" w:eastAsia="zh-CN" w:bidi="ar-SA"/>
            </w:rPr>
            <w:fldChar w:fldCharType="end"/>
          </w:r>
        </w:p>
        <w:p w14:paraId="1374E2F4">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_Toc18230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（四）事故现场情况</w:t>
          </w:r>
          <w:r>
            <w:tab/>
          </w:r>
          <w:r>
            <w:fldChar w:fldCharType="begin"/>
          </w:r>
          <w:r>
            <w:instrText xml:space="preserve"> PAGEREF _Toc18230 \h </w:instrText>
          </w:r>
          <w:r>
            <w:fldChar w:fldCharType="separate"/>
          </w:r>
          <w:r>
            <w:t>8</w:t>
          </w:r>
          <w:r>
            <w:fldChar w:fldCharType="end"/>
          </w:r>
          <w:r>
            <w:rPr>
              <w:rFonts w:hint="eastAsia" w:asciiTheme="minorHAnsi" w:hAnsiTheme="minorHAnsi" w:eastAsiaTheme="minorEastAsia" w:cstheme="minorBidi"/>
              <w:bCs/>
              <w:kern w:val="2"/>
              <w:szCs w:val="32"/>
              <w:lang w:val="en-US" w:eastAsia="zh-CN" w:bidi="ar-SA"/>
            </w:rPr>
            <w:fldChar w:fldCharType="end"/>
          </w:r>
        </w:p>
        <w:p w14:paraId="3478DF9B">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_Toc163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（五）事故造成的人员伤亡和直接经济损失</w:t>
          </w:r>
          <w:r>
            <w:tab/>
          </w:r>
          <w:r>
            <w:fldChar w:fldCharType="begin"/>
          </w:r>
          <w:r>
            <w:instrText xml:space="preserve"> PAGEREF _Toc163 \h </w:instrText>
          </w:r>
          <w:r>
            <w:fldChar w:fldCharType="separate"/>
          </w:r>
          <w:r>
            <w:t>8</w:t>
          </w:r>
          <w:r>
            <w:fldChar w:fldCharType="end"/>
          </w:r>
          <w:r>
            <w:rPr>
              <w:rFonts w:hint="eastAsia" w:asciiTheme="minorHAnsi" w:hAnsiTheme="minorHAnsi" w:eastAsiaTheme="minorEastAsia" w:cstheme="minorBidi"/>
              <w:bCs/>
              <w:kern w:val="2"/>
              <w:szCs w:val="32"/>
              <w:lang w:val="en-US" w:eastAsia="zh-CN" w:bidi="ar-SA"/>
            </w:rPr>
            <w:fldChar w:fldCharType="end"/>
          </w:r>
        </w:p>
        <w:p w14:paraId="1D71CE1B">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_Toc6723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（六）其他情况</w:t>
          </w:r>
          <w:r>
            <w:tab/>
          </w:r>
          <w:r>
            <w:fldChar w:fldCharType="begin"/>
          </w:r>
          <w:r>
            <w:instrText xml:space="preserve"> PAGEREF _Toc6723 \h </w:instrText>
          </w:r>
          <w:r>
            <w:fldChar w:fldCharType="separate"/>
          </w:r>
          <w:r>
            <w:t>9</w:t>
          </w:r>
          <w:r>
            <w:fldChar w:fldCharType="end"/>
          </w:r>
          <w:r>
            <w:rPr>
              <w:rFonts w:hint="eastAsia" w:asciiTheme="minorHAnsi" w:hAnsiTheme="minorHAnsi" w:eastAsiaTheme="minorEastAsia" w:cstheme="minorBidi"/>
              <w:bCs/>
              <w:kern w:val="2"/>
              <w:szCs w:val="32"/>
              <w:lang w:val="en-US" w:eastAsia="zh-CN" w:bidi="ar-SA"/>
            </w:rPr>
            <w:fldChar w:fldCharType="end"/>
          </w:r>
        </w:p>
        <w:p w14:paraId="2FDA1617">
          <w:pPr>
            <w:pStyle w:val="6"/>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_Toc9755 </w:instrText>
          </w:r>
          <w:r>
            <w:rPr>
              <w:rFonts w:hint="eastAsia" w:asciiTheme="minorHAnsi" w:hAnsiTheme="minorHAnsi" w:eastAsiaTheme="minorEastAsia" w:cstheme="minorBidi"/>
              <w:bCs/>
              <w:kern w:val="2"/>
              <w:szCs w:val="32"/>
              <w:lang w:val="en-US" w:eastAsia="zh-CN" w:bidi="ar-SA"/>
            </w:rPr>
            <w:fldChar w:fldCharType="separate"/>
          </w:r>
          <w:r>
            <w:rPr>
              <w:rFonts w:hint="eastAsia" w:ascii="黑体" w:hAnsi="黑体" w:eastAsia="黑体" w:cs="黑体"/>
              <w:bCs w:val="0"/>
              <w:snapToGrid w:val="0"/>
              <w:kern w:val="0"/>
              <w:szCs w:val="32"/>
              <w:lang w:val="en-US" w:eastAsia="zh-CN"/>
            </w:rPr>
            <w:t>二、事故应急处置及评估情况</w:t>
          </w:r>
          <w:r>
            <w:tab/>
          </w:r>
          <w:r>
            <w:fldChar w:fldCharType="begin"/>
          </w:r>
          <w:r>
            <w:instrText xml:space="preserve"> PAGEREF _Toc9755 \h </w:instrText>
          </w:r>
          <w:r>
            <w:fldChar w:fldCharType="separate"/>
          </w:r>
          <w:r>
            <w:t>10</w:t>
          </w:r>
          <w:r>
            <w:fldChar w:fldCharType="end"/>
          </w:r>
          <w:r>
            <w:rPr>
              <w:rFonts w:hint="eastAsia" w:asciiTheme="minorHAnsi" w:hAnsiTheme="minorHAnsi" w:eastAsiaTheme="minorEastAsia" w:cstheme="minorBidi"/>
              <w:bCs/>
              <w:kern w:val="2"/>
              <w:szCs w:val="32"/>
              <w:lang w:val="en-US" w:eastAsia="zh-CN" w:bidi="ar-SA"/>
            </w:rPr>
            <w:fldChar w:fldCharType="end"/>
          </w:r>
        </w:p>
        <w:p w14:paraId="78B832D7">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_Toc14618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（一）事故信息接报及响应情况</w:t>
          </w:r>
          <w:r>
            <w:tab/>
          </w:r>
          <w:r>
            <w:fldChar w:fldCharType="begin"/>
          </w:r>
          <w:r>
            <w:instrText xml:space="preserve"> PAGEREF _Toc14618 \h </w:instrText>
          </w:r>
          <w:r>
            <w:fldChar w:fldCharType="separate"/>
          </w:r>
          <w:r>
            <w:t>10</w:t>
          </w:r>
          <w:r>
            <w:fldChar w:fldCharType="end"/>
          </w:r>
          <w:r>
            <w:rPr>
              <w:rFonts w:hint="eastAsia" w:asciiTheme="minorHAnsi" w:hAnsiTheme="minorHAnsi" w:eastAsiaTheme="minorEastAsia" w:cstheme="minorBidi"/>
              <w:bCs/>
              <w:kern w:val="2"/>
              <w:szCs w:val="32"/>
              <w:lang w:val="en-US" w:eastAsia="zh-CN" w:bidi="ar-SA"/>
            </w:rPr>
            <w:fldChar w:fldCharType="end"/>
          </w:r>
        </w:p>
        <w:p w14:paraId="25BB7593">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_Toc23162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（二）事故现场应急处置情况</w:t>
          </w:r>
          <w:r>
            <w:tab/>
          </w:r>
          <w:r>
            <w:fldChar w:fldCharType="begin"/>
          </w:r>
          <w:r>
            <w:instrText xml:space="preserve"> PAGEREF _Toc23162 \h </w:instrText>
          </w:r>
          <w:r>
            <w:fldChar w:fldCharType="separate"/>
          </w:r>
          <w:r>
            <w:t>10</w:t>
          </w:r>
          <w:r>
            <w:fldChar w:fldCharType="end"/>
          </w:r>
          <w:r>
            <w:rPr>
              <w:rFonts w:hint="eastAsia" w:asciiTheme="minorHAnsi" w:hAnsiTheme="minorHAnsi" w:eastAsiaTheme="minorEastAsia" w:cstheme="minorBidi"/>
              <w:bCs/>
              <w:kern w:val="2"/>
              <w:szCs w:val="32"/>
              <w:lang w:val="en-US" w:eastAsia="zh-CN" w:bidi="ar-SA"/>
            </w:rPr>
            <w:fldChar w:fldCharType="end"/>
          </w:r>
        </w:p>
        <w:p w14:paraId="068BC6F8">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_Toc11637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（三）医疗救治和善后情况</w:t>
          </w:r>
          <w:r>
            <w:tab/>
          </w:r>
          <w:r>
            <w:fldChar w:fldCharType="begin"/>
          </w:r>
          <w:r>
            <w:instrText xml:space="preserve"> PAGEREF _Toc11637 \h </w:instrText>
          </w:r>
          <w:r>
            <w:fldChar w:fldCharType="separate"/>
          </w:r>
          <w:r>
            <w:t>10</w:t>
          </w:r>
          <w:r>
            <w:fldChar w:fldCharType="end"/>
          </w:r>
          <w:r>
            <w:rPr>
              <w:rFonts w:hint="eastAsia" w:asciiTheme="minorHAnsi" w:hAnsiTheme="minorHAnsi" w:eastAsiaTheme="minorEastAsia" w:cstheme="minorBidi"/>
              <w:bCs/>
              <w:kern w:val="2"/>
              <w:szCs w:val="32"/>
              <w:lang w:val="en-US" w:eastAsia="zh-CN" w:bidi="ar-SA"/>
            </w:rPr>
            <w:fldChar w:fldCharType="end"/>
          </w:r>
        </w:p>
        <w:p w14:paraId="157F0C30">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_Toc31902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（四）事故应急处置评估</w:t>
          </w:r>
          <w:r>
            <w:tab/>
          </w:r>
          <w:r>
            <w:fldChar w:fldCharType="begin"/>
          </w:r>
          <w:r>
            <w:instrText xml:space="preserve"> PAGEREF _Toc31902 \h </w:instrText>
          </w:r>
          <w:r>
            <w:fldChar w:fldCharType="separate"/>
          </w:r>
          <w:r>
            <w:t>10</w:t>
          </w:r>
          <w:r>
            <w:fldChar w:fldCharType="end"/>
          </w:r>
          <w:r>
            <w:rPr>
              <w:rFonts w:hint="eastAsia" w:asciiTheme="minorHAnsi" w:hAnsiTheme="minorHAnsi" w:eastAsiaTheme="minorEastAsia" w:cstheme="minorBidi"/>
              <w:bCs/>
              <w:kern w:val="2"/>
              <w:szCs w:val="32"/>
              <w:lang w:val="en-US" w:eastAsia="zh-CN" w:bidi="ar-SA"/>
            </w:rPr>
            <w:fldChar w:fldCharType="end"/>
          </w:r>
        </w:p>
        <w:p w14:paraId="78EE6640">
          <w:pPr>
            <w:pStyle w:val="6"/>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_Toc11908 </w:instrText>
          </w:r>
          <w:r>
            <w:rPr>
              <w:rFonts w:hint="eastAsia" w:asciiTheme="minorHAnsi" w:hAnsiTheme="minorHAnsi" w:eastAsiaTheme="minorEastAsia" w:cstheme="minorBidi"/>
              <w:bCs/>
              <w:kern w:val="2"/>
              <w:szCs w:val="32"/>
              <w:lang w:val="en-US" w:eastAsia="zh-CN" w:bidi="ar-SA"/>
            </w:rPr>
            <w:fldChar w:fldCharType="separate"/>
          </w:r>
          <w:r>
            <w:rPr>
              <w:rFonts w:hint="eastAsia" w:ascii="黑体" w:hAnsi="黑体" w:eastAsia="黑体" w:cs="黑体"/>
              <w:bCs w:val="0"/>
              <w:snapToGrid w:val="0"/>
              <w:kern w:val="0"/>
              <w:szCs w:val="32"/>
              <w:lang w:val="en-US" w:eastAsia="zh-CN"/>
            </w:rPr>
            <w:t>三、事故原因分析</w:t>
          </w:r>
          <w:r>
            <w:tab/>
          </w:r>
          <w:r>
            <w:fldChar w:fldCharType="begin"/>
          </w:r>
          <w:r>
            <w:instrText xml:space="preserve"> PAGEREF _Toc11908 \h </w:instrText>
          </w:r>
          <w:r>
            <w:fldChar w:fldCharType="separate"/>
          </w:r>
          <w:r>
            <w:t>11</w:t>
          </w:r>
          <w:r>
            <w:fldChar w:fldCharType="end"/>
          </w:r>
          <w:r>
            <w:rPr>
              <w:rFonts w:hint="eastAsia" w:asciiTheme="minorHAnsi" w:hAnsiTheme="minorHAnsi" w:eastAsiaTheme="minorEastAsia" w:cstheme="minorBidi"/>
              <w:bCs/>
              <w:kern w:val="2"/>
              <w:szCs w:val="32"/>
              <w:lang w:val="en-US" w:eastAsia="zh-CN" w:bidi="ar-SA"/>
            </w:rPr>
            <w:fldChar w:fldCharType="end"/>
          </w:r>
        </w:p>
        <w:p w14:paraId="7914F09B">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_Toc5021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（一）直接原因分析</w:t>
          </w:r>
          <w:r>
            <w:tab/>
          </w:r>
          <w:r>
            <w:fldChar w:fldCharType="begin"/>
          </w:r>
          <w:r>
            <w:instrText xml:space="preserve"> PAGEREF _Toc5021 \h </w:instrText>
          </w:r>
          <w:r>
            <w:fldChar w:fldCharType="separate"/>
          </w:r>
          <w:r>
            <w:t>11</w:t>
          </w:r>
          <w:r>
            <w:fldChar w:fldCharType="end"/>
          </w:r>
          <w:r>
            <w:rPr>
              <w:rFonts w:hint="eastAsia" w:asciiTheme="minorHAnsi" w:hAnsiTheme="minorHAnsi" w:eastAsiaTheme="minorEastAsia" w:cstheme="minorBidi"/>
              <w:bCs/>
              <w:kern w:val="2"/>
              <w:szCs w:val="32"/>
              <w:lang w:val="en-US" w:eastAsia="zh-CN" w:bidi="ar-SA"/>
            </w:rPr>
            <w:fldChar w:fldCharType="end"/>
          </w:r>
        </w:p>
        <w:p w14:paraId="4383930F">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_Toc10528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（二）事故相关检验检测和鉴定情况</w:t>
          </w:r>
          <w:r>
            <w:tab/>
          </w:r>
          <w:r>
            <w:fldChar w:fldCharType="begin"/>
          </w:r>
          <w:r>
            <w:instrText xml:space="preserve"> PAGEREF _Toc10528 \h </w:instrText>
          </w:r>
          <w:r>
            <w:fldChar w:fldCharType="separate"/>
          </w:r>
          <w:r>
            <w:t>11</w:t>
          </w:r>
          <w:r>
            <w:fldChar w:fldCharType="end"/>
          </w:r>
          <w:r>
            <w:rPr>
              <w:rFonts w:hint="eastAsia" w:asciiTheme="minorHAnsi" w:hAnsiTheme="minorHAnsi" w:eastAsiaTheme="minorEastAsia" w:cstheme="minorBidi"/>
              <w:bCs/>
              <w:kern w:val="2"/>
              <w:szCs w:val="32"/>
              <w:lang w:val="en-US" w:eastAsia="zh-CN" w:bidi="ar-SA"/>
            </w:rPr>
            <w:fldChar w:fldCharType="end"/>
          </w:r>
        </w:p>
        <w:p w14:paraId="2FCA1293">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_Toc15007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（三）其他可能因素排除</w:t>
          </w:r>
          <w:r>
            <w:tab/>
          </w:r>
          <w:r>
            <w:fldChar w:fldCharType="begin"/>
          </w:r>
          <w:r>
            <w:instrText xml:space="preserve"> PAGEREF _Toc15007 \h </w:instrText>
          </w:r>
          <w:r>
            <w:fldChar w:fldCharType="separate"/>
          </w:r>
          <w:r>
            <w:t>11</w:t>
          </w:r>
          <w:r>
            <w:fldChar w:fldCharType="end"/>
          </w:r>
          <w:r>
            <w:rPr>
              <w:rFonts w:hint="eastAsia" w:asciiTheme="minorHAnsi" w:hAnsiTheme="minorHAnsi" w:eastAsiaTheme="minorEastAsia" w:cstheme="minorBidi"/>
              <w:bCs/>
              <w:kern w:val="2"/>
              <w:szCs w:val="32"/>
              <w:lang w:val="en-US" w:eastAsia="zh-CN" w:bidi="ar-SA"/>
            </w:rPr>
            <w:fldChar w:fldCharType="end"/>
          </w:r>
        </w:p>
        <w:p w14:paraId="4E3FBFB9">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_Toc28348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（四）间接原因分析</w:t>
          </w:r>
          <w:r>
            <w:tab/>
          </w:r>
          <w:r>
            <w:fldChar w:fldCharType="begin"/>
          </w:r>
          <w:r>
            <w:instrText xml:space="preserve"> PAGEREF _Toc28348 \h </w:instrText>
          </w:r>
          <w:r>
            <w:fldChar w:fldCharType="separate"/>
          </w:r>
          <w:r>
            <w:t>11</w:t>
          </w:r>
          <w:r>
            <w:fldChar w:fldCharType="end"/>
          </w:r>
          <w:r>
            <w:rPr>
              <w:rFonts w:hint="eastAsia" w:asciiTheme="minorHAnsi" w:hAnsiTheme="minorHAnsi" w:eastAsiaTheme="minorEastAsia" w:cstheme="minorBidi"/>
              <w:bCs/>
              <w:kern w:val="2"/>
              <w:szCs w:val="32"/>
              <w:lang w:val="en-US" w:eastAsia="zh-CN" w:bidi="ar-SA"/>
            </w:rPr>
            <w:fldChar w:fldCharType="end"/>
          </w:r>
        </w:p>
        <w:p w14:paraId="147E349A">
          <w:pPr>
            <w:pStyle w:val="6"/>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_Toc15500 </w:instrText>
          </w:r>
          <w:r>
            <w:rPr>
              <w:rFonts w:hint="eastAsia" w:asciiTheme="minorHAnsi" w:hAnsiTheme="minorHAnsi" w:eastAsiaTheme="minorEastAsia" w:cstheme="minorBidi"/>
              <w:bCs/>
              <w:kern w:val="2"/>
              <w:szCs w:val="32"/>
              <w:lang w:val="en-US" w:eastAsia="zh-CN" w:bidi="ar-SA"/>
            </w:rPr>
            <w:fldChar w:fldCharType="separate"/>
          </w:r>
          <w:r>
            <w:rPr>
              <w:rFonts w:hint="eastAsia" w:ascii="黑体" w:hAnsi="黑体" w:eastAsia="黑体" w:cs="黑体"/>
              <w:bCs w:val="0"/>
              <w:snapToGrid w:val="0"/>
              <w:kern w:val="0"/>
              <w:szCs w:val="32"/>
              <w:lang w:val="en-US" w:eastAsia="zh-CN"/>
            </w:rPr>
            <w:t>四、有关责任单位存在的主要问题</w:t>
          </w:r>
          <w:r>
            <w:tab/>
          </w:r>
          <w:r>
            <w:fldChar w:fldCharType="begin"/>
          </w:r>
          <w:r>
            <w:instrText xml:space="preserve"> PAGEREF _Toc15500 \h </w:instrText>
          </w:r>
          <w:r>
            <w:fldChar w:fldCharType="separate"/>
          </w:r>
          <w:r>
            <w:t>11</w:t>
          </w:r>
          <w:r>
            <w:fldChar w:fldCharType="end"/>
          </w:r>
          <w:r>
            <w:rPr>
              <w:rFonts w:hint="eastAsia" w:asciiTheme="minorHAnsi" w:hAnsiTheme="minorHAnsi" w:eastAsiaTheme="minorEastAsia" w:cstheme="minorBidi"/>
              <w:bCs/>
              <w:kern w:val="2"/>
              <w:szCs w:val="32"/>
              <w:lang w:val="en-US" w:eastAsia="zh-CN" w:bidi="ar-SA"/>
            </w:rPr>
            <w:fldChar w:fldCharType="end"/>
          </w:r>
        </w:p>
        <w:p w14:paraId="69C9FCA4">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_Toc26837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（一）事故单位</w:t>
          </w:r>
          <w:r>
            <w:tab/>
          </w:r>
          <w:r>
            <w:fldChar w:fldCharType="begin"/>
          </w:r>
          <w:r>
            <w:instrText xml:space="preserve"> PAGEREF _Toc26837 \h </w:instrText>
          </w:r>
          <w:r>
            <w:fldChar w:fldCharType="separate"/>
          </w:r>
          <w:r>
            <w:t>12</w:t>
          </w:r>
          <w:r>
            <w:fldChar w:fldCharType="end"/>
          </w:r>
          <w:r>
            <w:rPr>
              <w:rFonts w:hint="eastAsia" w:asciiTheme="minorHAnsi" w:hAnsiTheme="minorHAnsi" w:eastAsiaTheme="minorEastAsia" w:cstheme="minorBidi"/>
              <w:bCs/>
              <w:kern w:val="2"/>
              <w:szCs w:val="32"/>
              <w:lang w:val="en-US" w:eastAsia="zh-CN" w:bidi="ar-SA"/>
            </w:rPr>
            <w:fldChar w:fldCharType="end"/>
          </w:r>
        </w:p>
        <w:p w14:paraId="1252B231">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_Toc26173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（二）有关监管部门</w:t>
          </w:r>
          <w:r>
            <w:tab/>
          </w:r>
          <w:r>
            <w:fldChar w:fldCharType="begin"/>
          </w:r>
          <w:r>
            <w:instrText xml:space="preserve"> PAGEREF _Toc26173 \h </w:instrText>
          </w:r>
          <w:r>
            <w:fldChar w:fldCharType="separate"/>
          </w:r>
          <w:r>
            <w:t>13</w:t>
          </w:r>
          <w:r>
            <w:fldChar w:fldCharType="end"/>
          </w:r>
          <w:r>
            <w:rPr>
              <w:rFonts w:hint="eastAsia" w:asciiTheme="minorHAnsi" w:hAnsiTheme="minorHAnsi" w:eastAsiaTheme="minorEastAsia" w:cstheme="minorBidi"/>
              <w:bCs/>
              <w:kern w:val="2"/>
              <w:szCs w:val="32"/>
              <w:lang w:val="en-US" w:eastAsia="zh-CN" w:bidi="ar-SA"/>
            </w:rPr>
            <w:fldChar w:fldCharType="end"/>
          </w:r>
        </w:p>
        <w:p w14:paraId="0C47E266">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_Toc23791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（三）地方党委政府</w:t>
          </w:r>
          <w:r>
            <w:tab/>
          </w:r>
          <w:r>
            <w:fldChar w:fldCharType="begin"/>
          </w:r>
          <w:r>
            <w:instrText xml:space="preserve"> PAGEREF _Toc23791 \h </w:instrText>
          </w:r>
          <w:r>
            <w:fldChar w:fldCharType="separate"/>
          </w:r>
          <w:r>
            <w:t>13</w:t>
          </w:r>
          <w:r>
            <w:fldChar w:fldCharType="end"/>
          </w:r>
          <w:r>
            <w:rPr>
              <w:rFonts w:hint="eastAsia" w:asciiTheme="minorHAnsi" w:hAnsiTheme="minorHAnsi" w:eastAsiaTheme="minorEastAsia" w:cstheme="minorBidi"/>
              <w:bCs/>
              <w:kern w:val="2"/>
              <w:szCs w:val="32"/>
              <w:lang w:val="en-US" w:eastAsia="zh-CN" w:bidi="ar-SA"/>
            </w:rPr>
            <w:fldChar w:fldCharType="end"/>
          </w:r>
        </w:p>
        <w:p w14:paraId="207DDD16">
          <w:pPr>
            <w:pStyle w:val="6"/>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_Toc2825 </w:instrText>
          </w:r>
          <w:r>
            <w:rPr>
              <w:rFonts w:hint="eastAsia" w:asciiTheme="minorHAnsi" w:hAnsiTheme="minorHAnsi" w:eastAsiaTheme="minorEastAsia" w:cstheme="minorBidi"/>
              <w:bCs/>
              <w:kern w:val="2"/>
              <w:szCs w:val="32"/>
              <w:lang w:val="en-US" w:eastAsia="zh-CN" w:bidi="ar-SA"/>
            </w:rPr>
            <w:fldChar w:fldCharType="separate"/>
          </w:r>
          <w:r>
            <w:rPr>
              <w:rFonts w:hint="eastAsia" w:ascii="黑体" w:hAnsi="黑体" w:eastAsia="黑体" w:cs="黑体"/>
              <w:bCs w:val="0"/>
              <w:snapToGrid w:val="0"/>
              <w:kern w:val="0"/>
              <w:szCs w:val="32"/>
              <w:lang w:val="en-US" w:eastAsia="zh-CN"/>
            </w:rPr>
            <w:t>五、对有关责任人员和责任单位的处理建议</w:t>
          </w:r>
          <w:r>
            <w:tab/>
          </w:r>
          <w:r>
            <w:fldChar w:fldCharType="begin"/>
          </w:r>
          <w:r>
            <w:instrText xml:space="preserve"> PAGEREF _Toc2825 \h </w:instrText>
          </w:r>
          <w:r>
            <w:fldChar w:fldCharType="separate"/>
          </w:r>
          <w:r>
            <w:t>13</w:t>
          </w:r>
          <w:r>
            <w:fldChar w:fldCharType="end"/>
          </w:r>
          <w:r>
            <w:rPr>
              <w:rFonts w:hint="eastAsia" w:asciiTheme="minorHAnsi" w:hAnsiTheme="minorHAnsi" w:eastAsiaTheme="minorEastAsia" w:cstheme="minorBidi"/>
              <w:bCs/>
              <w:kern w:val="2"/>
              <w:szCs w:val="32"/>
              <w:lang w:val="en-US" w:eastAsia="zh-CN" w:bidi="ar-SA"/>
            </w:rPr>
            <w:fldChar w:fldCharType="end"/>
          </w:r>
        </w:p>
        <w:p w14:paraId="016EF13C">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_Toc27998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（一）因在事故中死亡免予或不予追究责任人员</w:t>
          </w:r>
          <w:r>
            <w:tab/>
          </w:r>
          <w:r>
            <w:fldChar w:fldCharType="begin"/>
          </w:r>
          <w:r>
            <w:instrText xml:space="preserve"> PAGEREF _Toc27998 \h </w:instrText>
          </w:r>
          <w:r>
            <w:fldChar w:fldCharType="separate"/>
          </w:r>
          <w:r>
            <w:t>13</w:t>
          </w:r>
          <w:r>
            <w:fldChar w:fldCharType="end"/>
          </w:r>
          <w:r>
            <w:rPr>
              <w:rFonts w:hint="eastAsia" w:asciiTheme="minorHAnsi" w:hAnsiTheme="minorHAnsi" w:eastAsiaTheme="minorEastAsia" w:cstheme="minorBidi"/>
              <w:bCs/>
              <w:kern w:val="2"/>
              <w:szCs w:val="32"/>
              <w:lang w:val="en-US" w:eastAsia="zh-CN" w:bidi="ar-SA"/>
            </w:rPr>
            <w:fldChar w:fldCharType="end"/>
          </w:r>
        </w:p>
        <w:p w14:paraId="7C26A04E">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_Toc22244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（二）已被司法机关采取强制措施人员</w:t>
          </w:r>
          <w:r>
            <w:tab/>
          </w:r>
          <w:r>
            <w:fldChar w:fldCharType="begin"/>
          </w:r>
          <w:r>
            <w:instrText xml:space="preserve"> PAGEREF _Toc22244 \h </w:instrText>
          </w:r>
          <w:r>
            <w:fldChar w:fldCharType="separate"/>
          </w:r>
          <w:r>
            <w:t>13</w:t>
          </w:r>
          <w:r>
            <w:fldChar w:fldCharType="end"/>
          </w:r>
          <w:r>
            <w:rPr>
              <w:rFonts w:hint="eastAsia" w:asciiTheme="minorHAnsi" w:hAnsiTheme="minorHAnsi" w:eastAsiaTheme="minorEastAsia" w:cstheme="minorBidi"/>
              <w:bCs/>
              <w:kern w:val="2"/>
              <w:szCs w:val="32"/>
              <w:lang w:val="en-US" w:eastAsia="zh-CN" w:bidi="ar-SA"/>
            </w:rPr>
            <w:fldChar w:fldCharType="end"/>
          </w:r>
        </w:p>
        <w:p w14:paraId="60D63951">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_Toc9580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 （三）建议移送司法机关处理的人员</w:t>
          </w:r>
          <w:r>
            <w:tab/>
          </w:r>
          <w:r>
            <w:fldChar w:fldCharType="begin"/>
          </w:r>
          <w:r>
            <w:instrText xml:space="preserve"> PAGEREF _Toc9580 \h </w:instrText>
          </w:r>
          <w:r>
            <w:fldChar w:fldCharType="separate"/>
          </w:r>
          <w:r>
            <w:t>14</w:t>
          </w:r>
          <w:r>
            <w:fldChar w:fldCharType="end"/>
          </w:r>
          <w:r>
            <w:rPr>
              <w:rFonts w:hint="eastAsia" w:asciiTheme="minorHAnsi" w:hAnsiTheme="minorHAnsi" w:eastAsiaTheme="minorEastAsia" w:cstheme="minorBidi"/>
              <w:bCs/>
              <w:kern w:val="2"/>
              <w:szCs w:val="32"/>
              <w:lang w:val="en-US" w:eastAsia="zh-CN" w:bidi="ar-SA"/>
            </w:rPr>
            <w:fldChar w:fldCharType="end"/>
          </w:r>
        </w:p>
        <w:p w14:paraId="50E5EDC5">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_Toc8825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（四）对事故有关责任人员和责任单位的行政处罚建议</w:t>
          </w:r>
          <w:r>
            <w:tab/>
          </w:r>
          <w:r>
            <w:fldChar w:fldCharType="begin"/>
          </w:r>
          <w:r>
            <w:instrText xml:space="preserve"> PAGEREF _Toc8825 \h </w:instrText>
          </w:r>
          <w:r>
            <w:fldChar w:fldCharType="separate"/>
          </w:r>
          <w:r>
            <w:t>14</w:t>
          </w:r>
          <w:r>
            <w:fldChar w:fldCharType="end"/>
          </w:r>
          <w:r>
            <w:rPr>
              <w:rFonts w:hint="eastAsia" w:asciiTheme="minorHAnsi" w:hAnsiTheme="minorHAnsi" w:eastAsiaTheme="minorEastAsia" w:cstheme="minorBidi"/>
              <w:bCs/>
              <w:kern w:val="2"/>
              <w:szCs w:val="32"/>
              <w:lang w:val="en-US" w:eastAsia="zh-CN" w:bidi="ar-SA"/>
            </w:rPr>
            <w:fldChar w:fldCharType="end"/>
          </w:r>
        </w:p>
        <w:p w14:paraId="14889C8D">
          <w:pPr>
            <w:pStyle w:val="6"/>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_Toc24784 </w:instrText>
          </w:r>
          <w:r>
            <w:rPr>
              <w:rFonts w:hint="eastAsia" w:asciiTheme="minorHAnsi" w:hAnsiTheme="minorHAnsi" w:eastAsiaTheme="minorEastAsia" w:cstheme="minorBidi"/>
              <w:bCs/>
              <w:kern w:val="2"/>
              <w:szCs w:val="32"/>
              <w:lang w:val="en-US" w:eastAsia="zh-CN" w:bidi="ar-SA"/>
            </w:rPr>
            <w:fldChar w:fldCharType="separate"/>
          </w:r>
          <w:r>
            <w:rPr>
              <w:rFonts w:hint="eastAsia" w:ascii="黑体" w:hAnsi="黑体" w:eastAsia="黑体" w:cs="黑体"/>
              <w:bCs w:val="0"/>
              <w:snapToGrid w:val="0"/>
              <w:kern w:val="0"/>
              <w:szCs w:val="32"/>
              <w:lang w:val="en-US" w:eastAsia="zh-CN"/>
            </w:rPr>
            <w:t>六、事故主要教训</w:t>
          </w:r>
          <w:r>
            <w:tab/>
          </w:r>
          <w:r>
            <w:fldChar w:fldCharType="begin"/>
          </w:r>
          <w:r>
            <w:instrText xml:space="preserve"> PAGEREF _Toc24784 \h </w:instrText>
          </w:r>
          <w:r>
            <w:fldChar w:fldCharType="separate"/>
          </w:r>
          <w:r>
            <w:t>17</w:t>
          </w:r>
          <w:r>
            <w:fldChar w:fldCharType="end"/>
          </w:r>
          <w:r>
            <w:rPr>
              <w:rFonts w:hint="eastAsia" w:asciiTheme="minorHAnsi" w:hAnsiTheme="minorHAnsi" w:eastAsiaTheme="minorEastAsia" w:cstheme="minorBidi"/>
              <w:bCs/>
              <w:kern w:val="2"/>
              <w:szCs w:val="32"/>
              <w:lang w:val="en-US" w:eastAsia="zh-CN" w:bidi="ar-SA"/>
            </w:rPr>
            <w:fldChar w:fldCharType="end"/>
          </w:r>
        </w:p>
        <w:p w14:paraId="49452385">
          <w:pPr>
            <w:pStyle w:val="6"/>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_Toc19219 </w:instrText>
          </w:r>
          <w:r>
            <w:rPr>
              <w:rFonts w:hint="eastAsia" w:asciiTheme="minorHAnsi" w:hAnsiTheme="minorHAnsi" w:eastAsiaTheme="minorEastAsia" w:cstheme="minorBidi"/>
              <w:bCs/>
              <w:kern w:val="2"/>
              <w:szCs w:val="32"/>
              <w:lang w:val="en-US" w:eastAsia="zh-CN" w:bidi="ar-SA"/>
            </w:rPr>
            <w:fldChar w:fldCharType="separate"/>
          </w:r>
          <w:r>
            <w:rPr>
              <w:rFonts w:hint="eastAsia" w:ascii="黑体" w:hAnsi="黑体" w:eastAsia="黑体" w:cs="黑体"/>
              <w:bCs w:val="0"/>
              <w:snapToGrid w:val="0"/>
              <w:kern w:val="0"/>
              <w:szCs w:val="32"/>
              <w:lang w:val="en-US" w:eastAsia="zh-CN"/>
            </w:rPr>
            <w:t>七、事故整改和防范措施</w:t>
          </w:r>
          <w:r>
            <w:tab/>
          </w:r>
          <w:r>
            <w:fldChar w:fldCharType="begin"/>
          </w:r>
          <w:r>
            <w:instrText xml:space="preserve"> PAGEREF _Toc19219 \h </w:instrText>
          </w:r>
          <w:r>
            <w:fldChar w:fldCharType="separate"/>
          </w:r>
          <w:r>
            <w:t>17</w:t>
          </w:r>
          <w:r>
            <w:fldChar w:fldCharType="end"/>
          </w:r>
          <w:r>
            <w:rPr>
              <w:rFonts w:hint="eastAsia" w:asciiTheme="minorHAnsi" w:hAnsiTheme="minorHAnsi" w:eastAsiaTheme="minorEastAsia" w:cstheme="minorBidi"/>
              <w:bCs/>
              <w:kern w:val="2"/>
              <w:szCs w:val="32"/>
              <w:lang w:val="en-US" w:eastAsia="zh-CN" w:bidi="ar-SA"/>
            </w:rPr>
            <w:fldChar w:fldCharType="end"/>
          </w:r>
        </w:p>
        <w:p w14:paraId="692BC9F1">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_Toc15244 </w:instrText>
          </w:r>
          <w:r>
            <w:rPr>
              <w:rFonts w:hint="eastAsia" w:asciiTheme="minorHAnsi" w:hAnsiTheme="minorHAnsi" w:eastAsiaTheme="minorEastAsia" w:cstheme="minorBidi"/>
              <w:bCs/>
              <w:kern w:val="2"/>
              <w:szCs w:val="32"/>
              <w:lang w:val="en-US" w:eastAsia="zh-CN" w:bidi="ar-SA"/>
            </w:rPr>
            <w:fldChar w:fldCharType="separate"/>
          </w:r>
          <w:r>
            <w:rPr>
              <w:rFonts w:hint="eastAsia" w:ascii="方正楷体_GB2312" w:hAnsi="方正楷体_GB2312" w:eastAsia="方正楷体_GB2312" w:cs="方正楷体_GB2312"/>
              <w:bCs/>
              <w:snapToGrid/>
              <w:kern w:val="2"/>
              <w:szCs w:val="24"/>
              <w:lang w:val="en-US" w:eastAsia="zh-CN" w:bidi="ar-SA"/>
            </w:rPr>
            <w:t>（一）</w:t>
          </w:r>
          <w:r>
            <w:rPr>
              <w:rFonts w:hint="default" w:ascii="方正楷体_GB2312" w:hAnsi="方正楷体_GB2312" w:eastAsia="方正楷体_GB2312" w:cs="方正楷体_GB2312"/>
              <w:bCs/>
              <w:snapToGrid/>
              <w:kern w:val="2"/>
              <w:szCs w:val="24"/>
              <w:lang w:val="en-US" w:eastAsia="zh-CN" w:bidi="ar-SA"/>
            </w:rPr>
            <w:t>开展专项整治，清零安全隐患</w:t>
          </w:r>
          <w:r>
            <w:tab/>
          </w:r>
          <w:r>
            <w:fldChar w:fldCharType="begin"/>
          </w:r>
          <w:r>
            <w:instrText xml:space="preserve"> PAGEREF _Toc15244 \h </w:instrText>
          </w:r>
          <w:r>
            <w:fldChar w:fldCharType="separate"/>
          </w:r>
          <w:r>
            <w:t>18</w:t>
          </w:r>
          <w:r>
            <w:fldChar w:fldCharType="end"/>
          </w:r>
          <w:r>
            <w:rPr>
              <w:rFonts w:hint="eastAsia" w:asciiTheme="minorHAnsi" w:hAnsiTheme="minorHAnsi" w:eastAsiaTheme="minorEastAsia" w:cstheme="minorBidi"/>
              <w:bCs/>
              <w:kern w:val="2"/>
              <w:szCs w:val="32"/>
              <w:lang w:val="en-US" w:eastAsia="zh-CN" w:bidi="ar-SA"/>
            </w:rPr>
            <w:fldChar w:fldCharType="end"/>
          </w:r>
        </w:p>
        <w:p w14:paraId="1F98880B">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_Toc11656 </w:instrText>
          </w:r>
          <w:r>
            <w:rPr>
              <w:rFonts w:hint="eastAsia" w:asciiTheme="minorHAnsi" w:hAnsiTheme="minorHAnsi" w:eastAsiaTheme="minorEastAsia" w:cstheme="minorBidi"/>
              <w:bCs/>
              <w:kern w:val="2"/>
              <w:szCs w:val="32"/>
              <w:lang w:val="en-US" w:eastAsia="zh-CN" w:bidi="ar-SA"/>
            </w:rPr>
            <w:fldChar w:fldCharType="separate"/>
          </w:r>
          <w:r>
            <w:rPr>
              <w:rFonts w:hint="default" w:ascii="方正楷体_GB2312" w:hAnsi="方正楷体_GB2312" w:eastAsia="方正楷体_GB2312" w:cs="方正楷体_GB2312"/>
              <w:bCs/>
              <w:snapToGrid/>
              <w:kern w:val="2"/>
              <w:szCs w:val="24"/>
              <w:lang w:val="en-US" w:eastAsia="zh-CN" w:bidi="ar-SA"/>
            </w:rPr>
            <w:t>（二）强化宣传培训，提升安全素养</w:t>
          </w:r>
          <w:r>
            <w:tab/>
          </w:r>
          <w:r>
            <w:fldChar w:fldCharType="begin"/>
          </w:r>
          <w:r>
            <w:instrText xml:space="preserve"> PAGEREF _Toc11656 \h </w:instrText>
          </w:r>
          <w:r>
            <w:fldChar w:fldCharType="separate"/>
          </w:r>
          <w:r>
            <w:t>18</w:t>
          </w:r>
          <w:r>
            <w:fldChar w:fldCharType="end"/>
          </w:r>
          <w:r>
            <w:rPr>
              <w:rFonts w:hint="eastAsia" w:asciiTheme="minorHAnsi" w:hAnsiTheme="minorHAnsi" w:eastAsiaTheme="minorEastAsia" w:cstheme="minorBidi"/>
              <w:bCs/>
              <w:kern w:val="2"/>
              <w:szCs w:val="32"/>
              <w:lang w:val="en-US" w:eastAsia="zh-CN" w:bidi="ar-SA"/>
            </w:rPr>
            <w:fldChar w:fldCharType="end"/>
          </w:r>
        </w:p>
        <w:p w14:paraId="7411BBC9">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_Toc22988 </w:instrText>
          </w:r>
          <w:r>
            <w:rPr>
              <w:rFonts w:hint="eastAsia" w:asciiTheme="minorHAnsi" w:hAnsiTheme="minorHAnsi" w:eastAsiaTheme="minorEastAsia" w:cstheme="minorBidi"/>
              <w:bCs/>
              <w:kern w:val="2"/>
              <w:szCs w:val="32"/>
              <w:lang w:val="en-US" w:eastAsia="zh-CN" w:bidi="ar-SA"/>
            </w:rPr>
            <w:fldChar w:fldCharType="separate"/>
          </w:r>
          <w:r>
            <w:rPr>
              <w:rFonts w:hint="default" w:ascii="方正楷体_GB2312" w:hAnsi="方正楷体_GB2312" w:eastAsia="方正楷体_GB2312" w:cs="方正楷体_GB2312"/>
              <w:bCs/>
              <w:snapToGrid/>
              <w:kern w:val="2"/>
              <w:szCs w:val="24"/>
              <w:lang w:val="en-US" w:eastAsia="zh-CN" w:bidi="ar-SA"/>
            </w:rPr>
            <w:t>（三）完善监管机制，消除监管盲区</w:t>
          </w:r>
          <w:r>
            <w:tab/>
          </w:r>
          <w:r>
            <w:fldChar w:fldCharType="begin"/>
          </w:r>
          <w:r>
            <w:instrText xml:space="preserve"> PAGEREF _Toc22988 \h </w:instrText>
          </w:r>
          <w:r>
            <w:fldChar w:fldCharType="separate"/>
          </w:r>
          <w:r>
            <w:t>18</w:t>
          </w:r>
          <w:r>
            <w:fldChar w:fldCharType="end"/>
          </w:r>
          <w:r>
            <w:rPr>
              <w:rFonts w:hint="eastAsia" w:asciiTheme="minorHAnsi" w:hAnsiTheme="minorHAnsi" w:eastAsiaTheme="minorEastAsia" w:cstheme="minorBidi"/>
              <w:bCs/>
              <w:kern w:val="2"/>
              <w:szCs w:val="32"/>
              <w:lang w:val="en-US" w:eastAsia="zh-CN" w:bidi="ar-SA"/>
            </w:rPr>
            <w:fldChar w:fldCharType="end"/>
          </w:r>
        </w:p>
        <w:p w14:paraId="5976344C">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_Toc10505 </w:instrText>
          </w:r>
          <w:r>
            <w:rPr>
              <w:rFonts w:hint="eastAsia" w:asciiTheme="minorHAnsi" w:hAnsiTheme="minorHAnsi" w:eastAsiaTheme="minorEastAsia" w:cstheme="minorBidi"/>
              <w:bCs/>
              <w:kern w:val="2"/>
              <w:szCs w:val="32"/>
              <w:lang w:val="en-US" w:eastAsia="zh-CN" w:bidi="ar-SA"/>
            </w:rPr>
            <w:fldChar w:fldCharType="separate"/>
          </w:r>
          <w:r>
            <w:rPr>
              <w:rFonts w:hint="default" w:ascii="方正楷体_GB2312" w:hAnsi="方正楷体_GB2312" w:eastAsia="方正楷体_GB2312" w:cs="方正楷体_GB2312"/>
              <w:bCs/>
              <w:snapToGrid/>
              <w:kern w:val="2"/>
              <w:szCs w:val="24"/>
              <w:lang w:val="en-US" w:eastAsia="zh-CN" w:bidi="ar-SA"/>
            </w:rPr>
            <w:t>（四）健全管理制度，规范施工管控</w:t>
          </w:r>
          <w:r>
            <w:tab/>
          </w:r>
          <w:r>
            <w:fldChar w:fldCharType="begin"/>
          </w:r>
          <w:r>
            <w:instrText xml:space="preserve"> PAGEREF _Toc10505 \h </w:instrText>
          </w:r>
          <w:r>
            <w:fldChar w:fldCharType="separate"/>
          </w:r>
          <w:r>
            <w:t>18</w:t>
          </w:r>
          <w:r>
            <w:fldChar w:fldCharType="end"/>
          </w:r>
          <w:r>
            <w:rPr>
              <w:rFonts w:hint="eastAsia" w:asciiTheme="minorHAnsi" w:hAnsiTheme="minorHAnsi" w:eastAsiaTheme="minorEastAsia" w:cstheme="minorBidi"/>
              <w:bCs/>
              <w:kern w:val="2"/>
              <w:szCs w:val="32"/>
              <w:lang w:val="en-US" w:eastAsia="zh-CN" w:bidi="ar-SA"/>
            </w:rPr>
            <w:fldChar w:fldCharType="end"/>
          </w:r>
        </w:p>
        <w:p w14:paraId="2637210C">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_Toc28448 </w:instrText>
          </w:r>
          <w:r>
            <w:rPr>
              <w:rFonts w:hint="eastAsia" w:asciiTheme="minorHAnsi" w:hAnsiTheme="minorHAnsi" w:eastAsiaTheme="minorEastAsia" w:cstheme="minorBidi"/>
              <w:bCs/>
              <w:kern w:val="2"/>
              <w:szCs w:val="32"/>
              <w:lang w:val="en-US" w:eastAsia="zh-CN" w:bidi="ar-SA"/>
            </w:rPr>
            <w:fldChar w:fldCharType="separate"/>
          </w:r>
          <w:r>
            <w:rPr>
              <w:rFonts w:hint="default" w:ascii="方正楷体_GB2312" w:hAnsi="方正楷体_GB2312" w:eastAsia="方正楷体_GB2312" w:cs="方正楷体_GB2312"/>
              <w:bCs/>
              <w:snapToGrid/>
              <w:kern w:val="2"/>
              <w:szCs w:val="24"/>
              <w:lang w:val="en-US" w:eastAsia="zh-CN" w:bidi="ar-SA"/>
            </w:rPr>
            <w:t>（五）压实属地责任，强化履职监督</w:t>
          </w:r>
          <w:r>
            <w:tab/>
          </w:r>
          <w:r>
            <w:fldChar w:fldCharType="begin"/>
          </w:r>
          <w:r>
            <w:instrText xml:space="preserve"> PAGEREF _Toc28448 \h </w:instrText>
          </w:r>
          <w:r>
            <w:fldChar w:fldCharType="separate"/>
          </w:r>
          <w:r>
            <w:t>18</w:t>
          </w:r>
          <w:r>
            <w:fldChar w:fldCharType="end"/>
          </w:r>
          <w:r>
            <w:rPr>
              <w:rFonts w:hint="eastAsia" w:asciiTheme="minorHAnsi" w:hAnsiTheme="minorHAnsi" w:eastAsiaTheme="minorEastAsia" w:cstheme="minorBidi"/>
              <w:bCs/>
              <w:kern w:val="2"/>
              <w:szCs w:val="32"/>
              <w:lang w:val="en-US" w:eastAsia="zh-CN" w:bidi="ar-SA"/>
            </w:rPr>
            <w:fldChar w:fldCharType="end"/>
          </w:r>
        </w:p>
        <w:p w14:paraId="5EC17A35">
          <w:pPr>
            <w:pStyle w:val="8"/>
            <w:keepNext w:val="0"/>
            <w:keepLines w:val="0"/>
            <w:pageBreakBefore w:val="0"/>
            <w:widowControl w:val="0"/>
            <w:tabs>
              <w:tab w:val="right" w:leader="dot" w:pos="8844"/>
            </w:tabs>
            <w:kinsoku/>
            <w:wordWrap/>
            <w:overflowPunct/>
            <w:topLinePunct w:val="0"/>
            <w:autoSpaceDE/>
            <w:autoSpaceDN/>
            <w:bidi w:val="0"/>
            <w:adjustRightInd/>
            <w:snapToGrid/>
            <w:spacing w:line="276" w:lineRule="auto"/>
            <w:ind w:left="0" w:leftChars="0"/>
            <w:textAlignment w:val="auto"/>
          </w:pPr>
          <w:r>
            <w:rPr>
              <w:rFonts w:hint="eastAsia" w:asciiTheme="minorHAnsi" w:hAnsiTheme="minorHAnsi" w:eastAsiaTheme="minorEastAsia" w:cstheme="minorBidi"/>
              <w:bCs/>
              <w:kern w:val="2"/>
              <w:szCs w:val="32"/>
              <w:lang w:val="en-US" w:eastAsia="zh-CN" w:bidi="ar-SA"/>
            </w:rPr>
            <w:fldChar w:fldCharType="begin"/>
          </w:r>
          <w:r>
            <w:rPr>
              <w:rFonts w:hint="eastAsia" w:asciiTheme="minorHAnsi" w:hAnsiTheme="minorHAnsi" w:eastAsiaTheme="minorEastAsia" w:cstheme="minorBidi"/>
              <w:bCs/>
              <w:kern w:val="2"/>
              <w:szCs w:val="32"/>
              <w:lang w:val="en-US" w:eastAsia="zh-CN" w:bidi="ar-SA"/>
            </w:rPr>
            <w:instrText xml:space="preserve"> HYPERLINK \l _Toc12705 </w:instrText>
          </w:r>
          <w:r>
            <w:rPr>
              <w:rFonts w:hint="eastAsia" w:asciiTheme="minorHAnsi" w:hAnsiTheme="minorHAnsi" w:eastAsiaTheme="minorEastAsia" w:cstheme="minorBidi"/>
              <w:bCs/>
              <w:kern w:val="2"/>
              <w:szCs w:val="32"/>
              <w:lang w:val="en-US" w:eastAsia="zh-CN" w:bidi="ar-SA"/>
            </w:rPr>
            <w:fldChar w:fldCharType="separate"/>
          </w:r>
          <w:r>
            <w:rPr>
              <w:rFonts w:hint="default" w:ascii="方正楷体_GB2312" w:hAnsi="方正楷体_GB2312" w:eastAsia="方正楷体_GB2312" w:cs="方正楷体_GB2312"/>
              <w:bCs/>
              <w:snapToGrid/>
              <w:kern w:val="2"/>
              <w:szCs w:val="24"/>
              <w:lang w:val="en-US" w:eastAsia="zh-CN" w:bidi="ar-SA"/>
            </w:rPr>
            <w:t>（六）坚持举一反三，健全长效机制</w:t>
          </w:r>
          <w:r>
            <w:tab/>
          </w:r>
          <w:r>
            <w:fldChar w:fldCharType="begin"/>
          </w:r>
          <w:r>
            <w:instrText xml:space="preserve"> PAGEREF _Toc12705 \h </w:instrText>
          </w:r>
          <w:r>
            <w:fldChar w:fldCharType="separate"/>
          </w:r>
          <w:r>
            <w:t>19</w:t>
          </w:r>
          <w:r>
            <w:fldChar w:fldCharType="end"/>
          </w:r>
          <w:r>
            <w:rPr>
              <w:rFonts w:hint="eastAsia" w:asciiTheme="minorHAnsi" w:hAnsiTheme="minorHAnsi" w:eastAsiaTheme="minorEastAsia" w:cstheme="minorBidi"/>
              <w:bCs/>
              <w:kern w:val="2"/>
              <w:szCs w:val="32"/>
              <w:lang w:val="en-US" w:eastAsia="zh-CN" w:bidi="ar-SA"/>
            </w:rPr>
            <w:fldChar w:fldCharType="end"/>
          </w:r>
        </w:p>
        <w:p w14:paraId="6BCD4781">
          <w:pPr>
            <w:pStyle w:val="8"/>
            <w:tabs>
              <w:tab w:val="right" w:leader="dot" w:pos="8844"/>
            </w:tabs>
          </w:pPr>
          <w:r>
            <w:rPr>
              <w:rFonts w:hint="eastAsia" w:asciiTheme="minorHAnsi" w:hAnsiTheme="minorHAnsi" w:eastAsiaTheme="minorEastAsia" w:cstheme="minorBidi"/>
              <w:bCs/>
              <w:kern w:val="2"/>
              <w:szCs w:val="32"/>
              <w:lang w:val="en-US" w:eastAsia="zh-CN" w:bidi="ar-SA"/>
            </w:rPr>
            <w:fldChar w:fldCharType="end"/>
          </w:r>
        </w:p>
      </w:sdtContent>
    </w:sdt>
    <w:p w14:paraId="64CC3B0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2"/>
        <w:rPr>
          <w:rFonts w:hint="eastAsia" w:ascii="方正仿宋_GB2312" w:hAnsi="方正仿宋_GB2312" w:eastAsia="方正仿宋_GB2312" w:cs="方正仿宋_GB2312"/>
          <w:b w:val="0"/>
          <w:bCs w:val="0"/>
          <w:snapToGrid w:val="0"/>
          <w:color w:val="auto"/>
          <w:kern w:val="0"/>
          <w:sz w:val="32"/>
          <w:szCs w:val="32"/>
          <w:lang w:val="en-US" w:eastAsia="zh-CN"/>
        </w:rPr>
      </w:pPr>
    </w:p>
    <w:p w14:paraId="4E44A0E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2"/>
        <w:rPr>
          <w:rFonts w:hint="eastAsia" w:ascii="方正仿宋_GB2312" w:hAnsi="方正仿宋_GB2312" w:eastAsia="方正仿宋_GB2312" w:cs="方正仿宋_GB2312"/>
          <w:b w:val="0"/>
          <w:bCs w:val="0"/>
          <w:snapToGrid w:val="0"/>
          <w:color w:val="auto"/>
          <w:kern w:val="0"/>
          <w:sz w:val="32"/>
          <w:szCs w:val="32"/>
          <w:lang w:val="en-US" w:eastAsia="zh-CN"/>
        </w:rPr>
      </w:pPr>
    </w:p>
    <w:p w14:paraId="412EEA6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2"/>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2024年8月25日8时30分许，吉阳津海建材市场K歌沐足店场地室内打拆清理工程现场发生1起物体打击类高处抛物致人死亡事故，造成1人死亡，直接经济损失约 115 万元。</w:t>
      </w:r>
    </w:p>
    <w:p w14:paraId="614D657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2"/>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事故发生后，区住建局、区应急管理局、荔枝沟派出所第一时间赶赴现场核查情况。当日16时，涉事责任人李永会主动到荔枝沟派出所投案，该所当即以“过失致人死亡”为由立案侦查。为规避“行刑矛盾”，区政府相关职能部门将事故移交公安机关全权侦查，待公安、司法部门出具最终调查结果。</w:t>
      </w:r>
    </w:p>
    <w:p w14:paraId="48D6423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2"/>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后续判决书仅认定李永会犯重大责任事故罪，未对涉事装修公司、物业公司等其他相关单位及个人的责任作出明确界定，存在生产安全责任认定漏项问题，直接影响死者邓高家属依法主张民事赔偿的合法权益。</w:t>
      </w:r>
    </w:p>
    <w:p w14:paraId="5FD1840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2"/>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鉴于事故后续赔偿、上诉等相关事宜均需以明确的生产安全责任认定为前提，为进一步厘清各相关单位的生产安全责任，依法配合死者邓高家属开展民事赔偿权益追偿工作，妥善化解后续民事纠纷、明晰责任边界，吉阳区人民政府（或相关监管部门）于2025年11月21日依法成立事故调查组。</w:t>
      </w:r>
    </w:p>
    <w:p w14:paraId="44DAA2E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2"/>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事故调查组由区住房和城乡建设局牵头调查，由区住房和城乡建设局局长黎炯任组长，成员单位包括区应急管理局、区总工会、市综合行政执法局吉阳分局、区纪委监委机关、市公安局吉阳分局等相关单位，各成员单位协同配合，全面推进事故责任核查工作。</w:t>
      </w:r>
    </w:p>
    <w:p w14:paraId="2420C6B5">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方正仿宋_GB2312" w:hAnsi="方正仿宋_GB2312" w:eastAsia="方正仿宋_GB2312" w:cs="方正仿宋_GB2312"/>
          <w:b w:val="0"/>
          <w:bCs w:val="0"/>
          <w:color w:val="auto"/>
          <w:sz w:val="32"/>
          <w:szCs w:val="32"/>
          <w:lang w:val="en-US" w:eastAsia="zh-CN"/>
        </w:rPr>
      </w:pPr>
      <w:r>
        <w:rPr>
          <w:rFonts w:hint="eastAsia" w:ascii="方正仿宋_GB2312" w:hAnsi="方正仿宋_GB2312" w:eastAsia="方正仿宋_GB2312" w:cs="方正仿宋_GB2312"/>
          <w:b w:val="0"/>
          <w:bCs w:val="0"/>
          <w:color w:val="auto"/>
          <w:sz w:val="32"/>
          <w:szCs w:val="32"/>
          <w:lang w:val="en-US" w:eastAsia="zh-CN"/>
        </w:rPr>
        <w:t>调查组严格遵循“科学严谨、依法依规、实事求是、注重实效”原则和“四不放过”要求，根据《中华人民共和国安全生产法》《中华人民共和国主席令（第八十八号）》、《生产安全事故报告和调查处理条例》《中华人民共和国国务院令（第 493 号）》、《建设工程安全生产管理条例》《中华人民共和国国务院令（第393号）》等有关法律法规规定，通过现场勘验、技术分析、资料查阅、法规研判、询问谈话、专家论证等多种方式进行综合分析，查明事故发生的经过、原因、人员伤亡和直接经济损失，认定事故性质和责任，提出对有关责任单位和责任人的处理建议。同时，调查组举一反三、以点带面，深入剖析事故暴露的突出问题，总结事故主要教训，针对事故原因提出整改和防范措施建议。</w:t>
      </w:r>
    </w:p>
    <w:p w14:paraId="6E4B670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color w:val="auto"/>
          <w:sz w:val="32"/>
          <w:szCs w:val="32"/>
          <w:lang w:val="en-US" w:eastAsia="zh-CN"/>
        </w:rPr>
      </w:pPr>
      <w:r>
        <w:rPr>
          <w:rFonts w:hint="eastAsia" w:ascii="方正仿宋_GB2312" w:hAnsi="方正仿宋_GB2312" w:eastAsia="方正仿宋_GB2312" w:cs="方正仿宋_GB2312"/>
          <w:b w:val="0"/>
          <w:bCs w:val="0"/>
          <w:color w:val="auto"/>
          <w:sz w:val="32"/>
          <w:szCs w:val="32"/>
          <w:lang w:val="en-US" w:eastAsia="zh-CN"/>
        </w:rPr>
        <w:t>经调查组全面核查论证，依据《中华人民共和国安全生产法》《生产安全事故报告和调查处理条例》等相关法律法规认定：吉阳津海建材市场K歌沐足店场地室内打拆清理工程“8·25”物体打击事故是一起因海南鳄鱼建筑工程有限公司安全生产主体责任不落实、违规转包，吉阳津海建材市场K歌沐足店未履行监管职责，作业人员违规作业导致风险失控引发的一般生产安全责任事故。</w:t>
      </w:r>
    </w:p>
    <w:p w14:paraId="256B679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0"/>
        <w:rPr>
          <w:rFonts w:hint="eastAsia" w:ascii="黑体" w:hAnsi="黑体" w:eastAsia="黑体" w:cs="黑体"/>
          <w:b w:val="0"/>
          <w:bCs w:val="0"/>
          <w:snapToGrid w:val="0"/>
          <w:color w:val="auto"/>
          <w:kern w:val="0"/>
          <w:sz w:val="32"/>
          <w:szCs w:val="32"/>
          <w:lang w:val="en-US" w:eastAsia="zh-CN"/>
        </w:rPr>
      </w:pPr>
      <w:bookmarkStart w:id="1" w:name="_Toc3210"/>
      <w:r>
        <w:rPr>
          <w:rFonts w:hint="eastAsia" w:ascii="黑体" w:hAnsi="黑体" w:eastAsia="黑体" w:cs="黑体"/>
          <w:b w:val="0"/>
          <w:bCs w:val="0"/>
          <w:snapToGrid w:val="0"/>
          <w:color w:val="auto"/>
          <w:kern w:val="0"/>
          <w:sz w:val="32"/>
          <w:szCs w:val="32"/>
          <w:lang w:val="en-US" w:eastAsia="zh-CN"/>
        </w:rPr>
        <w:t>一、事故基本情况</w:t>
      </w:r>
      <w:bookmarkEnd w:id="0"/>
      <w:bookmarkEnd w:id="1"/>
    </w:p>
    <w:p w14:paraId="03713C1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lang w:val="en-US" w:eastAsia="zh-CN" w:bidi="ar-SA"/>
        </w:rPr>
      </w:pPr>
      <w:bookmarkStart w:id="2" w:name="heading_1"/>
      <w:bookmarkStart w:id="3" w:name="_Toc11701"/>
      <w:r>
        <w:rPr>
          <w:rStyle w:val="15"/>
          <w:rFonts w:hint="eastAsia" w:ascii="方正楷体_GB2312" w:hAnsi="方正楷体_GB2312" w:eastAsia="方正楷体_GB2312" w:cs="方正楷体_GB2312"/>
          <w:b w:val="0"/>
          <w:bCs/>
          <w:snapToGrid/>
          <w:color w:val="auto"/>
          <w:kern w:val="2"/>
          <w:szCs w:val="24"/>
          <w:lang w:val="en-US" w:eastAsia="zh-CN" w:bidi="ar-SA"/>
        </w:rPr>
        <w:t>（一）事故发生单位概况</w:t>
      </w:r>
      <w:bookmarkEnd w:id="2"/>
      <w:bookmarkEnd w:id="3"/>
    </w:p>
    <w:p w14:paraId="0EFC09F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eastAsia"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1.涉事打拆工程发包方</w:t>
      </w:r>
    </w:p>
    <w:p w14:paraId="73091B8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2"/>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三亚津海建材市场 K 歌沐足店（以下简称：K 歌沐足店）：涉事室内打拆工程发包方。该店位于三亚津海建材市场型材二区一排 1-14 号第三层，铺面面积 1100 平方米，由常耀辉、孙海平等人合伙经营。事故时营业执照未办结，与三亚津海物业发展有限公司签订的相关租赁、装修及安全协议，分别由常耀辉、孙海军与物业方陈安顺签署。</w:t>
      </w:r>
    </w:p>
    <w:p w14:paraId="6A852A3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2.涉事打拆工程承包方、打拆清理工程发包方</w:t>
      </w:r>
    </w:p>
    <w:p w14:paraId="3D2C359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ascii="仿宋" w:hAnsi="仿宋" w:eastAsia="仿宋" w:cs="仿宋"/>
          <w:spacing w:val="5"/>
          <w:sz w:val="31"/>
          <w:szCs w:val="31"/>
        </w:rPr>
        <w:t>海南鳄鱼建筑工程有限公司</w:t>
      </w:r>
      <w:r>
        <w:rPr>
          <w:rFonts w:hint="eastAsia" w:ascii="方正仿宋_GB2312" w:hAnsi="方正仿宋_GB2312" w:eastAsia="方正仿宋_GB2312" w:cs="方正仿宋_GB2312"/>
          <w:b w:val="0"/>
          <w:bCs w:val="0"/>
          <w:snapToGrid w:val="0"/>
          <w:color w:val="auto"/>
          <w:kern w:val="0"/>
          <w:sz w:val="32"/>
          <w:szCs w:val="32"/>
          <w:lang w:val="en-US" w:eastAsia="zh-CN"/>
        </w:rPr>
        <w:t>（</w:t>
      </w:r>
      <w:r>
        <w:rPr>
          <w:rFonts w:hint="default" w:ascii="方正仿宋_GB2312" w:hAnsi="方正仿宋_GB2312" w:eastAsia="方正仿宋_GB2312" w:cs="方正仿宋_GB2312"/>
          <w:b w:val="0"/>
          <w:bCs w:val="0"/>
          <w:snapToGrid w:val="0"/>
          <w:color w:val="auto"/>
          <w:kern w:val="0"/>
          <w:sz w:val="32"/>
          <w:szCs w:val="32"/>
          <w:lang w:val="en-US" w:eastAsia="zh-CN"/>
        </w:rPr>
        <w:t>以下简称</w:t>
      </w:r>
      <w:r>
        <w:rPr>
          <w:rFonts w:hint="eastAsia" w:ascii="方正仿宋_GB2312" w:hAnsi="方正仿宋_GB2312" w:eastAsia="方正仿宋_GB2312" w:cs="方正仿宋_GB2312"/>
          <w:b w:val="0"/>
          <w:bCs w:val="0"/>
          <w:snapToGrid w:val="0"/>
          <w:color w:val="auto"/>
          <w:kern w:val="0"/>
          <w:sz w:val="32"/>
          <w:szCs w:val="32"/>
          <w:lang w:val="en-US" w:eastAsia="zh-CN"/>
        </w:rPr>
        <w:t>：</w:t>
      </w:r>
      <w:r>
        <w:rPr>
          <w:rFonts w:hint="eastAsia" w:ascii="方正仿宋_GB2312" w:hAnsi="方正仿宋_GB2312" w:eastAsia="方正仿宋_GB2312" w:cs="方正仿宋_GB2312"/>
          <w:b w:val="0"/>
          <w:bCs w:val="0"/>
          <w:color w:val="auto"/>
          <w:sz w:val="32"/>
          <w:szCs w:val="32"/>
          <w:lang w:val="en-US" w:eastAsia="zh-CN"/>
        </w:rPr>
        <w:t>鳄鱼公司</w:t>
      </w:r>
      <w:r>
        <w:rPr>
          <w:rFonts w:hint="default" w:ascii="方正仿宋_GB2312" w:hAnsi="方正仿宋_GB2312" w:eastAsia="方正仿宋_GB2312" w:cs="方正仿宋_GB2312"/>
          <w:b w:val="0"/>
          <w:bCs w:val="0"/>
          <w:snapToGrid w:val="0"/>
          <w:color w:val="auto"/>
          <w:kern w:val="0"/>
          <w:sz w:val="32"/>
          <w:szCs w:val="32"/>
          <w:lang w:val="en-US" w:eastAsia="zh-CN"/>
        </w:rPr>
        <w:t>）</w:t>
      </w:r>
      <w:r>
        <w:rPr>
          <w:rFonts w:hint="eastAsia" w:ascii="仿宋" w:hAnsi="仿宋" w:eastAsia="仿宋" w:cs="仿宋"/>
          <w:spacing w:val="5"/>
          <w:sz w:val="31"/>
          <w:szCs w:val="31"/>
          <w:lang w:eastAsia="zh-CN"/>
        </w:rPr>
        <w:t>，</w:t>
      </w:r>
      <w:r>
        <w:rPr>
          <w:rFonts w:hint="default" w:ascii="方正仿宋_GB2312" w:hAnsi="方正仿宋_GB2312" w:eastAsia="方正仿宋_GB2312" w:cs="方正仿宋_GB2312"/>
          <w:b w:val="0"/>
          <w:bCs w:val="0"/>
          <w:snapToGrid w:val="0"/>
          <w:color w:val="auto"/>
          <w:kern w:val="0"/>
          <w:sz w:val="32"/>
          <w:szCs w:val="32"/>
          <w:lang w:val="en-US" w:eastAsia="zh-CN"/>
        </w:rPr>
        <w:t>统一社会信用代码</w:t>
      </w:r>
      <w:r>
        <w:rPr>
          <w:rFonts w:hint="eastAsia" w:ascii="方正仿宋_GB2312" w:hAnsi="方正仿宋_GB2312" w:eastAsia="方正仿宋_GB2312" w:cs="方正仿宋_GB2312"/>
          <w:b w:val="0"/>
          <w:bCs w:val="0"/>
          <w:snapToGrid w:val="0"/>
          <w:color w:val="auto"/>
          <w:kern w:val="0"/>
          <w:sz w:val="32"/>
          <w:szCs w:val="32"/>
          <w:lang w:val="en-US" w:eastAsia="zh-CN"/>
        </w:rPr>
        <w:t>：</w:t>
      </w:r>
      <w:r>
        <w:rPr>
          <w:rFonts w:hint="default" w:ascii="方正仿宋_GB2312" w:hAnsi="方正仿宋_GB2312" w:eastAsia="方正仿宋_GB2312" w:cs="方正仿宋_GB2312"/>
          <w:b w:val="0"/>
          <w:bCs w:val="0"/>
          <w:snapToGrid w:val="0"/>
          <w:color w:val="auto"/>
          <w:kern w:val="0"/>
          <w:sz w:val="32"/>
          <w:szCs w:val="32"/>
          <w:lang w:val="en-US" w:eastAsia="zh-CN"/>
        </w:rPr>
        <w:t>91469001MA5TP78B9K</w:t>
      </w:r>
      <w:r>
        <w:rPr>
          <w:rFonts w:hint="eastAsia" w:ascii="方正仿宋_GB2312" w:hAnsi="方正仿宋_GB2312" w:eastAsia="方正仿宋_GB2312" w:cs="方正仿宋_GB2312"/>
          <w:b w:val="0"/>
          <w:bCs w:val="0"/>
          <w:snapToGrid w:val="0"/>
          <w:color w:val="auto"/>
          <w:kern w:val="0"/>
          <w:sz w:val="32"/>
          <w:szCs w:val="32"/>
          <w:lang w:val="en-US" w:eastAsia="zh-CN"/>
        </w:rPr>
        <w:t>。</w:t>
      </w:r>
      <w:r>
        <w:rPr>
          <w:rFonts w:hint="default" w:ascii="方正仿宋_GB2312" w:hAnsi="方正仿宋_GB2312" w:eastAsia="方正仿宋_GB2312" w:cs="方正仿宋_GB2312"/>
          <w:b w:val="0"/>
          <w:bCs w:val="0"/>
          <w:snapToGrid w:val="0"/>
          <w:color w:val="auto"/>
          <w:kern w:val="0"/>
          <w:sz w:val="32"/>
          <w:szCs w:val="32"/>
          <w:lang w:val="en-US" w:eastAsia="zh-CN"/>
        </w:rPr>
        <w:t>注册地址</w:t>
      </w:r>
      <w:r>
        <w:rPr>
          <w:rFonts w:hint="eastAsia" w:ascii="方正仿宋_GB2312" w:hAnsi="方正仿宋_GB2312" w:eastAsia="方正仿宋_GB2312" w:cs="方正仿宋_GB2312"/>
          <w:b w:val="0"/>
          <w:bCs w:val="0"/>
          <w:snapToGrid w:val="0"/>
          <w:color w:val="auto"/>
          <w:kern w:val="0"/>
          <w:sz w:val="32"/>
          <w:szCs w:val="32"/>
          <w:lang w:val="en-US" w:eastAsia="zh-CN"/>
        </w:rPr>
        <w:t>：</w:t>
      </w:r>
      <w:r>
        <w:rPr>
          <w:rFonts w:hint="default" w:ascii="方正仿宋_GB2312" w:hAnsi="方正仿宋_GB2312" w:eastAsia="方正仿宋_GB2312" w:cs="方正仿宋_GB2312"/>
          <w:b w:val="0"/>
          <w:bCs w:val="0"/>
          <w:snapToGrid w:val="0"/>
          <w:color w:val="auto"/>
          <w:kern w:val="0"/>
          <w:sz w:val="32"/>
          <w:szCs w:val="32"/>
          <w:lang w:val="en-US" w:eastAsia="zh-CN"/>
        </w:rPr>
        <w:t>海南省三亚市吉阳区津海建材市场陶瓷区一排五栋26-6</w:t>
      </w:r>
      <w:r>
        <w:rPr>
          <w:rFonts w:hint="eastAsia" w:ascii="方正仿宋_GB2312" w:hAnsi="方正仿宋_GB2312" w:eastAsia="方正仿宋_GB2312" w:cs="方正仿宋_GB2312"/>
          <w:b w:val="0"/>
          <w:bCs w:val="0"/>
          <w:snapToGrid w:val="0"/>
          <w:color w:val="auto"/>
          <w:kern w:val="0"/>
          <w:sz w:val="32"/>
          <w:szCs w:val="32"/>
          <w:lang w:val="en-US" w:eastAsia="zh-CN"/>
        </w:rPr>
        <w:t>。</w:t>
      </w:r>
      <w:r>
        <w:rPr>
          <w:rFonts w:hint="default" w:ascii="方正仿宋_GB2312" w:hAnsi="方正仿宋_GB2312" w:eastAsia="方正仿宋_GB2312" w:cs="方正仿宋_GB2312"/>
          <w:b w:val="0"/>
          <w:bCs w:val="0"/>
          <w:snapToGrid w:val="0"/>
          <w:color w:val="auto"/>
          <w:kern w:val="0"/>
          <w:sz w:val="32"/>
          <w:szCs w:val="32"/>
          <w:lang w:val="en-US" w:eastAsia="zh-CN"/>
        </w:rPr>
        <w:t>法定代表人</w:t>
      </w:r>
      <w:r>
        <w:rPr>
          <w:rFonts w:hint="eastAsia" w:ascii="方正仿宋_GB2312" w:hAnsi="方正仿宋_GB2312" w:eastAsia="方正仿宋_GB2312" w:cs="方正仿宋_GB2312"/>
          <w:b w:val="0"/>
          <w:bCs w:val="0"/>
          <w:snapToGrid w:val="0"/>
          <w:color w:val="auto"/>
          <w:kern w:val="0"/>
          <w:sz w:val="32"/>
          <w:szCs w:val="32"/>
          <w:lang w:val="en-US" w:eastAsia="zh-CN"/>
        </w:rPr>
        <w:t>：陈夫。股东信息：陈夫，持股比例 99% ；邓远摇，持股比例 1% 。注册时间：2020年9月28日。</w:t>
      </w:r>
      <w:r>
        <w:rPr>
          <w:rFonts w:hint="default" w:ascii="方正仿宋_GB2312" w:hAnsi="方正仿宋_GB2312" w:eastAsia="方正仿宋_GB2312" w:cs="方正仿宋_GB2312"/>
          <w:b w:val="0"/>
          <w:bCs w:val="0"/>
          <w:snapToGrid w:val="0"/>
          <w:color w:val="auto"/>
          <w:kern w:val="0"/>
          <w:sz w:val="32"/>
          <w:szCs w:val="32"/>
          <w:lang w:val="en-US" w:eastAsia="zh-CN"/>
        </w:rPr>
        <w:t>经营范围包括</w:t>
      </w:r>
      <w:r>
        <w:rPr>
          <w:rFonts w:hint="eastAsia" w:ascii="方正仿宋_GB2312" w:hAnsi="方正仿宋_GB2312" w:eastAsia="方正仿宋_GB2312" w:cs="方正仿宋_GB2312"/>
          <w:b w:val="0"/>
          <w:bCs w:val="0"/>
          <w:snapToGrid w:val="0"/>
          <w:color w:val="auto"/>
          <w:kern w:val="0"/>
          <w:sz w:val="32"/>
          <w:szCs w:val="32"/>
          <w:lang w:val="en-US" w:eastAsia="zh-CN"/>
        </w:rPr>
        <w:t>工程建设、装饰装修等。</w:t>
      </w:r>
    </w:p>
    <w:p w14:paraId="7AD2607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3.涉事打拆清理工程承包方</w:t>
      </w:r>
    </w:p>
    <w:p w14:paraId="6599E35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仿宋" w:hAnsi="仿宋" w:eastAsia="仿宋" w:cs="仿宋"/>
          <w:spacing w:val="5"/>
          <w:sz w:val="31"/>
          <w:szCs w:val="31"/>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李永会，2024 年 8 月 22 日与鳄鱼公司签订《项目打拆工程施工合同》，承接涉事场地的室内打拆及清理工程。</w:t>
      </w:r>
    </w:p>
    <w:p w14:paraId="03EC1BD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4.涉事 K 歌沐足店出租方</w:t>
      </w:r>
    </w:p>
    <w:p w14:paraId="311D124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2"/>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三亚津海物业发展有限公司（以下简称：物业公司）：统一社会信用代码：9146020069319808XY。法定代表人陈玉安，主营商铺租赁、物业管理，为涉事房屋产权及出租单位。</w:t>
      </w:r>
    </w:p>
    <w:p w14:paraId="1C60459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default"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5.涉事 K 歌沐足店打拆垃圾清运车司机</w:t>
      </w:r>
    </w:p>
    <w:p w14:paraId="7EB39635">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2"/>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邓某，男，51岁，广东徐闻人。长期自带车辆从事装修垃圾清运，本事故中被砸中坠车死亡。</w:t>
      </w:r>
    </w:p>
    <w:p w14:paraId="5D5B790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3" w:firstLineChars="200"/>
        <w:jc w:val="both"/>
        <w:textAlignment w:val="baseline"/>
        <w:outlineLvl w:val="2"/>
        <w:rPr>
          <w:rFonts w:hint="eastAsia"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6.涉事相关单位合同关系</w:t>
      </w:r>
    </w:p>
    <w:p w14:paraId="350F130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涉事相关单位合同情况如下：</w:t>
      </w:r>
    </w:p>
    <w:p w14:paraId="0C5BF86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房屋租赁合同：2024年8月16日，物业公司与常耀辉签订，租赁案涉场地用于K歌沐足经营。</w:t>
      </w:r>
    </w:p>
    <w:p w14:paraId="2E098A75">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打拆工程合同：2024年8月20日，K歌沐足店与鳄鱼公司签订，工期8月22日至9月5日，造价7.5万元。</w:t>
      </w:r>
    </w:p>
    <w:p w14:paraId="3796912C">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转包合同：同日，鳄鱼公司将工程转包给李永会，工期8月22日至9月2日，造价4.8万元。</w:t>
      </w:r>
    </w:p>
    <w:p w14:paraId="350B927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清运约定：李玉堂与邓某口头约定清运垃圾，李永会认可，按车计价。</w:t>
      </w:r>
    </w:p>
    <w:p w14:paraId="5E47661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420" w:firstLineChars="200"/>
        <w:jc w:val="both"/>
        <w:textAlignment w:val="baseline"/>
        <w:outlineLvl w:val="9"/>
        <w:rPr>
          <w:rFonts w:hint="eastAsia" w:ascii="仿宋" w:hAnsi="仿宋" w:eastAsia="仿宋" w:cs="仿宋"/>
          <w:spacing w:val="5"/>
          <w:sz w:val="31"/>
          <w:szCs w:val="31"/>
          <w:lang w:val="en-US" w:eastAsia="zh-CN"/>
        </w:rPr>
      </w:pPr>
      <w:r>
        <w:drawing>
          <wp:anchor distT="0" distB="0" distL="114300" distR="114300" simplePos="0" relativeHeight="251659264" behindDoc="0" locked="0" layoutInCell="1" allowOverlap="1">
            <wp:simplePos x="0" y="0"/>
            <wp:positionH relativeFrom="column">
              <wp:posOffset>-121285</wp:posOffset>
            </wp:positionH>
            <wp:positionV relativeFrom="paragraph">
              <wp:posOffset>497205</wp:posOffset>
            </wp:positionV>
            <wp:extent cx="5241290" cy="3415030"/>
            <wp:effectExtent l="0" t="0" r="3810" b="1270"/>
            <wp:wrapTopAndBottom/>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6"/>
                    <a:stretch>
                      <a:fillRect/>
                    </a:stretch>
                  </pic:blipFill>
                  <pic:spPr>
                    <a:xfrm>
                      <a:off x="0" y="0"/>
                      <a:ext cx="5241290" cy="3415030"/>
                    </a:xfrm>
                    <a:prstGeom prst="rect">
                      <a:avLst/>
                    </a:prstGeom>
                    <a:noFill/>
                    <a:ln>
                      <a:noFill/>
                    </a:ln>
                  </pic:spPr>
                </pic:pic>
              </a:graphicData>
            </a:graphic>
          </wp:anchor>
        </w:drawing>
      </w:r>
      <w:r>
        <w:rPr>
          <w:rFonts w:hint="eastAsia" w:ascii="仿宋" w:hAnsi="仿宋" w:eastAsia="仿宋" w:cs="仿宋"/>
          <w:spacing w:val="5"/>
          <w:sz w:val="31"/>
          <w:szCs w:val="31"/>
          <w:lang w:val="en-US" w:eastAsia="zh-CN"/>
        </w:rPr>
        <w:t>涉事相关单位合同关系详细情况见图1。</w:t>
      </w:r>
    </w:p>
    <w:p w14:paraId="5AEB96BA">
      <w:pPr>
        <w:keepNext w:val="0"/>
        <w:keepLines w:val="0"/>
        <w:pageBreakBefore w:val="0"/>
        <w:widowControl w:val="0"/>
        <w:kinsoku/>
        <w:wordWrap/>
        <w:overflowPunct/>
        <w:topLinePunct w:val="0"/>
        <w:autoSpaceDE w:val="0"/>
        <w:autoSpaceDN w:val="0"/>
        <w:bidi w:val="0"/>
        <w:adjustRightInd w:val="0"/>
        <w:snapToGrid w:val="0"/>
        <w:spacing w:line="560" w:lineRule="exact"/>
        <w:ind w:right="0" w:rightChars="0"/>
        <w:jc w:val="center"/>
        <w:textAlignment w:val="baseline"/>
        <w:outlineLvl w:val="9"/>
        <w:rPr>
          <w:rFonts w:hint="default" w:asciiTheme="minorAscii" w:hAnsiTheme="minorBidi" w:eastAsiaTheme="minorEastAsia"/>
          <w:color w:val="000000" w:themeColor="text1"/>
          <w:kern w:val="24"/>
          <w:sz w:val="28"/>
          <w:szCs w:val="28"/>
          <w:lang w:val="en-US" w:eastAsia="zh-CN"/>
        </w:rPr>
      </w:pPr>
      <w:r>
        <w:rPr>
          <w:rFonts w:hint="eastAsia" w:asciiTheme="minorAscii" w:hAnsiTheme="minorBidi" w:eastAsiaTheme="minorEastAsia"/>
          <w:color w:val="000000" w:themeColor="text1"/>
          <w:kern w:val="24"/>
          <w:sz w:val="28"/>
          <w:szCs w:val="28"/>
          <w:lang w:val="en-US" w:eastAsia="zh-CN"/>
        </w:rPr>
        <w:t>图1  涉事相关单位合同关系图</w:t>
      </w:r>
    </w:p>
    <w:p w14:paraId="6172547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2"/>
        <w:rPr>
          <w:rFonts w:hint="eastAsia" w:ascii="方正仿宋_GB2312" w:hAnsi="方正仿宋_GB2312" w:eastAsia="方正仿宋_GB2312" w:cs="方正仿宋_GB2312"/>
          <w:b/>
          <w:bCs/>
          <w:color w:val="auto"/>
          <w:sz w:val="32"/>
          <w:szCs w:val="32"/>
          <w:lang w:val="en-US" w:eastAsia="zh-CN"/>
        </w:rPr>
      </w:pPr>
      <w:bookmarkStart w:id="4" w:name="heading_2"/>
      <w:r>
        <w:rPr>
          <w:rFonts w:hint="eastAsia" w:ascii="方正仿宋_GB2312" w:hAnsi="方正仿宋_GB2312" w:eastAsia="方正仿宋_GB2312" w:cs="方正仿宋_GB2312"/>
          <w:b/>
          <w:bCs/>
          <w:color w:val="auto"/>
          <w:sz w:val="32"/>
          <w:szCs w:val="32"/>
          <w:lang w:val="en-US" w:eastAsia="zh-CN"/>
        </w:rPr>
        <w:t>5.涉事工程施工进展情况</w:t>
      </w:r>
    </w:p>
    <w:p w14:paraId="46BED98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涉事打拆工程于2024年8月22日10时入场施工，至8月25日事故发生时，已施工3天，未完工。</w:t>
      </w:r>
    </w:p>
    <w:p w14:paraId="620E067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Style w:val="15"/>
          <w:rFonts w:hint="eastAsia" w:ascii="方正楷体_GB2312" w:hAnsi="方正楷体_GB2312" w:eastAsia="方正楷体_GB2312" w:cs="方正楷体_GB2312"/>
          <w:b w:val="0"/>
          <w:bCs/>
          <w:snapToGrid/>
          <w:color w:val="auto"/>
          <w:kern w:val="2"/>
          <w:szCs w:val="24"/>
          <w:lang w:val="en-US" w:eastAsia="zh-CN" w:bidi="ar-SA"/>
        </w:rPr>
      </w:pPr>
      <w:bookmarkStart w:id="5" w:name="_Toc28834"/>
      <w:r>
        <w:rPr>
          <w:rStyle w:val="15"/>
          <w:rFonts w:hint="eastAsia" w:ascii="方正楷体_GB2312" w:hAnsi="方正楷体_GB2312" w:eastAsia="方正楷体_GB2312" w:cs="方正楷体_GB2312"/>
          <w:b w:val="0"/>
          <w:bCs/>
          <w:snapToGrid/>
          <w:color w:val="auto"/>
          <w:kern w:val="2"/>
          <w:szCs w:val="24"/>
          <w:lang w:val="en-US" w:eastAsia="zh-CN" w:bidi="ar-SA"/>
        </w:rPr>
        <w:t>（二）事故发生单位安全管理情况</w:t>
      </w:r>
    </w:p>
    <w:bookmarkEnd w:id="5"/>
    <w:p w14:paraId="4CFE174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2"/>
        <w:rPr>
          <w:rFonts w:hint="eastAsia"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1.发包方未履行安全生产主体责任</w:t>
      </w:r>
    </w:p>
    <w:p w14:paraId="60006D4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2"/>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发包方（K歌沐足店）K歌沐足店未履行安全生产主体责任，未建立安全生产管理体系；签订承包合同时规避法定安全义务，设定违法免责条款，将施工全过程安全责任全部转移给承包方，违法转移责任行为突出。</w:t>
      </w:r>
    </w:p>
    <w:p w14:paraId="44B0F6FB">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2"/>
        <w:rPr>
          <w:rFonts w:hint="default"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2.打拆工程承接方安全责任严重缺失</w:t>
      </w:r>
    </w:p>
    <w:p w14:paraId="628DE52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2"/>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承包方鳄鱼公司擅自将打拆工程转包给李永会，未审核其施工资质及安全生产条件；转包合同增设违法免责条款转移安全责任，工程转包后未开展任何安全培训、隐患排查及现场监管工作。</w:t>
      </w:r>
    </w:p>
    <w:p w14:paraId="744151A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2"/>
        <w:rPr>
          <w:rFonts w:hint="eastAsia"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3.工程实际施工组织者安全责任悬空</w:t>
      </w:r>
    </w:p>
    <w:p w14:paraId="2C5BC4AE">
      <w:pPr>
        <w:keepNext w:val="0"/>
        <w:keepLines w:val="0"/>
        <w:pageBreakBefore w:val="0"/>
        <w:widowControl w:val="0"/>
        <w:kinsoku/>
        <w:wordWrap/>
        <w:overflowPunct/>
        <w:topLinePunct w:val="0"/>
        <w:autoSpaceDE w:val="0"/>
        <w:autoSpaceDN/>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color w:val="auto"/>
          <w:sz w:val="32"/>
          <w:szCs w:val="32"/>
          <w:lang w:val="en-US" w:eastAsia="zh-CN"/>
        </w:rPr>
      </w:pPr>
      <w:r>
        <w:rPr>
          <w:rFonts w:hint="eastAsia" w:ascii="方正仿宋_GB2312" w:hAnsi="方正仿宋_GB2312" w:eastAsia="方正仿宋_GB2312" w:cs="方正仿宋_GB2312"/>
          <w:b w:val="0"/>
          <w:bCs w:val="0"/>
          <w:color w:val="auto"/>
          <w:sz w:val="32"/>
          <w:szCs w:val="32"/>
          <w:lang w:val="en-US" w:eastAsia="zh-CN"/>
        </w:rPr>
        <w:t>李永会</w:t>
      </w:r>
      <w:r>
        <w:rPr>
          <w:rStyle w:val="14"/>
          <w:rFonts w:hint="eastAsia" w:ascii="方正仿宋_GB2312" w:hAnsi="方正仿宋_GB2312" w:eastAsia="方正仿宋_GB2312" w:cs="方正仿宋_GB2312"/>
          <w:b w:val="0"/>
          <w:bCs w:val="0"/>
          <w:color w:val="auto"/>
          <w:sz w:val="32"/>
          <w:szCs w:val="32"/>
          <w:lang w:val="en-US" w:eastAsia="zh-CN"/>
        </w:rPr>
        <w:t>[</w:t>
      </w:r>
      <w:r>
        <w:rPr>
          <w:rStyle w:val="14"/>
          <w:rFonts w:hint="eastAsia" w:ascii="方正仿宋_GB2312" w:hAnsi="方正仿宋_GB2312" w:eastAsia="方正仿宋_GB2312" w:cs="方正仿宋_GB2312"/>
          <w:b w:val="0"/>
          <w:bCs w:val="0"/>
          <w:color w:val="auto"/>
          <w:sz w:val="32"/>
          <w:szCs w:val="32"/>
          <w:lang w:val="en-US" w:eastAsia="zh-CN"/>
        </w:rPr>
        <w:footnoteReference w:id="0"/>
      </w:r>
      <w:r>
        <w:rPr>
          <w:rStyle w:val="14"/>
          <w:rFonts w:hint="eastAsia" w:ascii="方正仿宋_GB2312" w:hAnsi="方正仿宋_GB2312" w:eastAsia="方正仿宋_GB2312" w:cs="方正仿宋_GB2312"/>
          <w:b w:val="0"/>
          <w:bCs w:val="0"/>
          <w:color w:val="auto"/>
          <w:sz w:val="32"/>
          <w:szCs w:val="32"/>
          <w:lang w:val="en-US" w:eastAsia="zh-CN"/>
        </w:rPr>
        <w:t>]</w:t>
      </w:r>
      <w:r>
        <w:rPr>
          <w:rFonts w:hint="eastAsia" w:ascii="方正仿宋_GB2312" w:hAnsi="方正仿宋_GB2312" w:eastAsia="方正仿宋_GB2312" w:cs="方正仿宋_GB2312"/>
          <w:b w:val="0"/>
          <w:bCs w:val="0"/>
          <w:color w:val="auto"/>
          <w:sz w:val="32"/>
          <w:szCs w:val="32"/>
          <w:lang w:val="en-US" w:eastAsia="zh-CN"/>
        </w:rPr>
        <w:t>，无任何相关施工、安全及运输资质，作为施工主要负责人，未落实安全风险管控，未制定安全施工方案、配备防护设施及开展隐患排查，施工期间存在违规高空抛物行为。</w:t>
      </w:r>
    </w:p>
    <w:p w14:paraId="696F293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2"/>
        <w:rPr>
          <w:rFonts w:hint="default"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4.清运司机违章冒险作业安全责任未落地</w:t>
      </w:r>
    </w:p>
    <w:p w14:paraId="24E157D8">
      <w:pPr>
        <w:keepNext w:val="0"/>
        <w:keepLines w:val="0"/>
        <w:pageBreakBefore w:val="0"/>
        <w:widowControl w:val="0"/>
        <w:kinsoku/>
        <w:wordWrap/>
        <w:overflowPunct/>
        <w:topLinePunct w:val="0"/>
        <w:autoSpaceDE w:val="0"/>
        <w:autoSpaceDN/>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color w:val="auto"/>
          <w:sz w:val="32"/>
          <w:szCs w:val="32"/>
          <w:lang w:val="en-US" w:eastAsia="zh-CN"/>
        </w:rPr>
      </w:pPr>
      <w:r>
        <w:rPr>
          <w:rFonts w:hint="eastAsia" w:ascii="方正仿宋_GB2312" w:hAnsi="方正仿宋_GB2312" w:eastAsia="方正仿宋_GB2312" w:cs="方正仿宋_GB2312"/>
          <w:b w:val="0"/>
          <w:bCs w:val="0"/>
          <w:color w:val="auto"/>
          <w:sz w:val="32"/>
          <w:szCs w:val="32"/>
          <w:lang w:val="en-US" w:eastAsia="zh-CN"/>
        </w:rPr>
        <w:t>邓高口头约定承接垃圾清运，作业时违规站在货车车顶指挥高空抛物，未佩戴任何安全防护用品，违反作业安全规定</w:t>
      </w:r>
      <w:r>
        <w:rPr>
          <w:rFonts w:hint="eastAsia" w:ascii="方正仿宋_GB2312" w:hAnsi="方正仿宋_GB2312" w:eastAsia="方正仿宋_GB2312" w:cs="方正仿宋_GB2312"/>
          <w:b w:val="0"/>
          <w:bCs w:val="0"/>
          <w:snapToGrid w:val="0"/>
          <w:color w:val="auto"/>
          <w:kern w:val="0"/>
          <w:sz w:val="32"/>
          <w:szCs w:val="32"/>
          <w:lang w:val="en-US" w:eastAsia="zh-CN"/>
        </w:rPr>
        <w:t>。</w:t>
      </w:r>
    </w:p>
    <w:p w14:paraId="18B73D1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Style w:val="15"/>
          <w:rFonts w:hint="eastAsia" w:ascii="方正楷体_GB2312" w:hAnsi="方正楷体_GB2312" w:eastAsia="方正楷体_GB2312" w:cs="方正楷体_GB2312"/>
          <w:b w:val="0"/>
          <w:bCs/>
          <w:snapToGrid/>
          <w:color w:val="auto"/>
          <w:kern w:val="2"/>
          <w:szCs w:val="24"/>
          <w:lang w:val="en-US" w:eastAsia="zh-CN" w:bidi="ar-SA"/>
        </w:rPr>
      </w:pPr>
      <w:bookmarkStart w:id="6" w:name="_Toc3069"/>
      <w:r>
        <w:rPr>
          <w:rStyle w:val="15"/>
          <w:rFonts w:hint="eastAsia" w:ascii="方正楷体_GB2312" w:hAnsi="方正楷体_GB2312" w:eastAsia="方正楷体_GB2312" w:cs="方正楷体_GB2312"/>
          <w:b w:val="0"/>
          <w:bCs/>
          <w:snapToGrid/>
          <w:color w:val="auto"/>
          <w:kern w:val="2"/>
          <w:szCs w:val="24"/>
          <w:lang w:val="en-US" w:eastAsia="zh-CN" w:bidi="ar-SA"/>
        </w:rPr>
        <w:t>（三）事故发生经过</w:t>
      </w:r>
      <w:bookmarkEnd w:id="4"/>
    </w:p>
    <w:bookmarkEnd w:id="6"/>
    <w:p w14:paraId="13886DB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事故调查组经过对相关人员的调查问询及现场监控视频的分析，还原事故发生经过如下：</w:t>
      </w:r>
    </w:p>
    <w:p w14:paraId="3202BCE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2024年8月22日，李永会与鳄鱼公司签订合同承接该店室内打拆清理工程；8月25日7时30分许，邓某等人到工地干活，邓某负责清运垃圾；8时36分许，李永会在三楼向邓某站立的货车车顶抛掷木胶合板，第四块木板击中邓某，致其从车顶坠落，经抢救无效死亡。</w:t>
      </w:r>
    </w:p>
    <w:p w14:paraId="237F265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lang w:val="en-US" w:eastAsia="zh-CN" w:bidi="ar-SA"/>
        </w:rPr>
      </w:pPr>
      <w:bookmarkStart w:id="7" w:name="_Toc18230"/>
      <w:bookmarkStart w:id="8" w:name="heading_3"/>
      <w:r>
        <w:rPr>
          <w:rStyle w:val="15"/>
          <w:rFonts w:hint="eastAsia" w:ascii="方正楷体_GB2312" w:hAnsi="方正楷体_GB2312" w:eastAsia="方正楷体_GB2312" w:cs="方正楷体_GB2312"/>
          <w:b w:val="0"/>
          <w:bCs/>
          <w:snapToGrid/>
          <w:color w:val="auto"/>
          <w:kern w:val="2"/>
          <w:szCs w:val="24"/>
          <w:lang w:val="en-US" w:eastAsia="zh-CN" w:bidi="ar-SA"/>
        </w:rPr>
        <w:t>（四）事故现场情况</w:t>
      </w:r>
      <w:bookmarkEnd w:id="7"/>
    </w:p>
    <w:p w14:paraId="18BA6EDC">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16" w:firstLineChars="200"/>
        <w:jc w:val="both"/>
        <w:textAlignment w:val="baseline"/>
        <w:outlineLvl w:val="2"/>
        <w:rPr>
          <w:rFonts w:hint="eastAsia" w:ascii="方正仿宋_GB2312" w:hAnsi="方正仿宋_GB2312" w:eastAsia="方正仿宋_GB2312" w:cs="方正仿宋_GB2312"/>
          <w:b/>
          <w:bCs/>
          <w:color w:val="auto"/>
          <w:sz w:val="32"/>
          <w:szCs w:val="32"/>
          <w:lang w:val="en-US" w:eastAsia="zh-CN"/>
        </w:rPr>
      </w:pPr>
      <w:r>
        <w:rPr>
          <w:rFonts w:hint="eastAsia" w:ascii="仿宋" w:hAnsi="仿宋" w:eastAsia="仿宋" w:cs="仿宋"/>
          <w:spacing w:val="-1"/>
          <w:sz w:val="31"/>
          <w:szCs w:val="31"/>
          <w:lang w:val="en-US" w:eastAsia="zh-CN"/>
        </w:rPr>
        <w:t>事故调查组通过现场监控视频判定：</w:t>
      </w:r>
    </w:p>
    <w:p w14:paraId="75E5C0E2">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2"/>
        <w:rPr>
          <w:rFonts w:hint="eastAsia"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1.事故现场位置</w:t>
      </w:r>
    </w:p>
    <w:p w14:paraId="0FA220E8">
      <w:pPr>
        <w:keepNext w:val="0"/>
        <w:keepLines w:val="0"/>
        <w:pageBreakBefore w:val="0"/>
        <w:widowControl w:val="0"/>
        <w:kinsoku/>
        <w:wordWrap/>
        <w:overflowPunct/>
        <w:topLinePunct w:val="0"/>
        <w:autoSpaceDE w:val="0"/>
        <w:autoSpaceDN w:val="0"/>
        <w:bidi w:val="0"/>
        <w:adjustRightInd w:val="0"/>
        <w:snapToGrid w:val="0"/>
        <w:spacing w:line="560" w:lineRule="exact"/>
        <w:ind w:right="0" w:rightChars="0" w:firstLine="960" w:firstLineChars="300"/>
        <w:jc w:val="left"/>
        <w:textAlignment w:val="baseline"/>
        <w:outlineLvl w:val="9"/>
        <w:rPr>
          <w:rFonts w:hint="default" w:ascii="仿宋" w:hAnsi="仿宋" w:eastAsia="仿宋" w:cs="仿宋"/>
          <w:spacing w:val="-1"/>
          <w:sz w:val="31"/>
          <w:szCs w:val="31"/>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事故现场位于津海建材城津和顺汽配交易中心内道路，邓高站立的车辆为其所有的蓝色福田自卸货车（车牌号：湘11F1690），车内装有建筑垃圾，该车辆未办理垃圾清运手续。</w:t>
      </w:r>
    </w:p>
    <w:p w14:paraId="4AA1D97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2"/>
        <w:rPr>
          <w:rFonts w:hint="default"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2.事故现场安全防护情况</w:t>
      </w:r>
    </w:p>
    <w:p w14:paraId="3DFFD69B">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16" w:firstLineChars="200"/>
        <w:jc w:val="both"/>
        <w:textAlignment w:val="baseline"/>
        <w:outlineLvl w:val="9"/>
        <w:rPr>
          <w:rFonts w:hint="eastAsia" w:ascii="仿宋" w:hAnsi="仿宋" w:eastAsia="仿宋" w:cs="仿宋"/>
          <w:spacing w:val="-1"/>
          <w:sz w:val="31"/>
          <w:szCs w:val="31"/>
          <w:lang w:val="en-US" w:eastAsia="zh-CN"/>
        </w:rPr>
      </w:pPr>
      <w:r>
        <w:rPr>
          <w:rFonts w:hint="eastAsia" w:ascii="仿宋" w:hAnsi="仿宋" w:eastAsia="仿宋" w:cs="仿宋"/>
          <w:spacing w:val="-1"/>
          <w:sz w:val="31"/>
          <w:szCs w:val="31"/>
          <w:lang w:val="en-US" w:eastAsia="zh-CN"/>
        </w:rPr>
        <w:t>事故现场除一个标有“禁止停车”的安全立锥之外，没有警戒绳、危险警示牌等其他安全防护措施。</w:t>
      </w:r>
    </w:p>
    <w:p w14:paraId="2894ED0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2"/>
        <w:rPr>
          <w:rFonts w:hint="default"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3.邓某个人安全防护</w:t>
      </w:r>
    </w:p>
    <w:p w14:paraId="055CF0B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16" w:firstLineChars="200"/>
        <w:jc w:val="both"/>
        <w:textAlignment w:val="baseline"/>
        <w:outlineLvl w:val="9"/>
        <w:rPr>
          <w:rFonts w:hint="default" w:ascii="仿宋" w:hAnsi="仿宋" w:eastAsia="仿宋" w:cs="仿宋"/>
          <w:spacing w:val="-1"/>
          <w:sz w:val="31"/>
          <w:szCs w:val="31"/>
          <w:lang w:val="en-US" w:eastAsia="zh-CN"/>
        </w:rPr>
      </w:pPr>
      <w:r>
        <w:rPr>
          <w:rFonts w:hint="eastAsia" w:ascii="仿宋" w:hAnsi="仿宋" w:eastAsia="仿宋" w:cs="仿宋"/>
          <w:spacing w:val="-1"/>
          <w:sz w:val="31"/>
          <w:szCs w:val="31"/>
          <w:lang w:val="en-US" w:eastAsia="zh-CN"/>
        </w:rPr>
        <w:t>事故发生时，邓某没有佩戴安全帽、反光衣等任何安全防护用品。</w:t>
      </w:r>
    </w:p>
    <w:p w14:paraId="569C436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lang w:val="en-US" w:eastAsia="zh-CN" w:bidi="ar-SA"/>
        </w:rPr>
      </w:pPr>
      <w:bookmarkStart w:id="9" w:name="_Toc163"/>
      <w:r>
        <w:rPr>
          <w:rStyle w:val="15"/>
          <w:rFonts w:hint="eastAsia" w:ascii="方正楷体_GB2312" w:hAnsi="方正楷体_GB2312" w:eastAsia="方正楷体_GB2312" w:cs="方正楷体_GB2312"/>
          <w:b w:val="0"/>
          <w:bCs/>
          <w:snapToGrid/>
          <w:color w:val="auto"/>
          <w:kern w:val="2"/>
          <w:szCs w:val="24"/>
          <w:lang w:val="en-US" w:eastAsia="zh-CN" w:bidi="ar-SA"/>
        </w:rPr>
        <w:t>（五）事故造成的人员伤亡和直接经济损失</w:t>
      </w:r>
      <w:bookmarkEnd w:id="8"/>
      <w:bookmarkEnd w:id="9"/>
    </w:p>
    <w:p w14:paraId="0962D82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2"/>
        <w:rPr>
          <w:rFonts w:hint="eastAsia"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1. 人员伤亡情况</w:t>
      </w:r>
    </w:p>
    <w:p w14:paraId="4E0A489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仿宋" w:cs="方正仿宋_GB2312"/>
          <w:b w:val="0"/>
          <w:bCs w:val="0"/>
          <w:snapToGrid w:val="0"/>
          <w:color w:val="auto"/>
          <w:kern w:val="0"/>
          <w:sz w:val="32"/>
          <w:szCs w:val="32"/>
          <w:lang w:val="en-US" w:eastAsia="zh-CN"/>
        </w:rPr>
      </w:pPr>
      <w:r>
        <w:rPr>
          <w:rFonts w:hint="default" w:ascii="方正仿宋_GB2312" w:hAnsi="方正仿宋_GB2312" w:eastAsia="方正仿宋_GB2312" w:cs="方正仿宋_GB2312"/>
          <w:b w:val="0"/>
          <w:bCs w:val="0"/>
          <w:snapToGrid w:val="0"/>
          <w:color w:val="auto"/>
          <w:kern w:val="0"/>
          <w:sz w:val="32"/>
          <w:szCs w:val="32"/>
          <w:lang w:val="en-US" w:eastAsia="zh-CN"/>
        </w:rPr>
        <w:t>事故共造成</w:t>
      </w:r>
      <w:r>
        <w:rPr>
          <w:rFonts w:hint="eastAsia" w:ascii="方正仿宋_GB2312" w:hAnsi="方正仿宋_GB2312" w:eastAsia="方正仿宋_GB2312" w:cs="方正仿宋_GB2312"/>
          <w:b w:val="0"/>
          <w:bCs w:val="0"/>
          <w:snapToGrid w:val="0"/>
          <w:color w:val="auto"/>
          <w:kern w:val="0"/>
          <w:sz w:val="32"/>
          <w:szCs w:val="32"/>
          <w:lang w:val="en-US" w:eastAsia="zh-CN"/>
        </w:rPr>
        <w:t xml:space="preserve"> 1 </w:t>
      </w:r>
      <w:r>
        <w:rPr>
          <w:rFonts w:hint="default" w:ascii="方正仿宋_GB2312" w:hAnsi="方正仿宋_GB2312" w:eastAsia="方正仿宋_GB2312" w:cs="方正仿宋_GB2312"/>
          <w:b w:val="0"/>
          <w:bCs w:val="0"/>
          <w:snapToGrid w:val="0"/>
          <w:color w:val="auto"/>
          <w:kern w:val="0"/>
          <w:sz w:val="32"/>
          <w:szCs w:val="32"/>
          <w:lang w:val="en-US" w:eastAsia="zh-CN"/>
        </w:rPr>
        <w:t>人死亡</w:t>
      </w:r>
      <w:r>
        <w:rPr>
          <w:rFonts w:hint="eastAsia" w:ascii="方正仿宋_GB2312" w:hAnsi="方正仿宋_GB2312" w:eastAsia="方正仿宋_GB2312" w:cs="方正仿宋_GB2312"/>
          <w:b w:val="0"/>
          <w:bCs w:val="0"/>
          <w:snapToGrid w:val="0"/>
          <w:color w:val="auto"/>
          <w:kern w:val="0"/>
          <w:sz w:val="32"/>
          <w:szCs w:val="32"/>
          <w:lang w:val="en-US" w:eastAsia="zh-CN"/>
        </w:rPr>
        <w:t>。死</w:t>
      </w:r>
      <w:r>
        <w:rPr>
          <w:rFonts w:hint="default" w:ascii="方正仿宋_GB2312" w:hAnsi="方正仿宋_GB2312" w:eastAsia="方正仿宋_GB2312" w:cs="方正仿宋_GB2312"/>
          <w:b w:val="0"/>
          <w:bCs w:val="0"/>
          <w:snapToGrid w:val="0"/>
          <w:color w:val="auto"/>
          <w:kern w:val="0"/>
          <w:sz w:val="32"/>
          <w:szCs w:val="32"/>
          <w:lang w:val="en-US" w:eastAsia="zh-CN"/>
        </w:rPr>
        <w:t>亡人员：</w:t>
      </w:r>
      <w:r>
        <w:rPr>
          <w:rFonts w:hint="eastAsia" w:ascii="方正仿宋_GB2312" w:hAnsi="方正仿宋_GB2312" w:eastAsia="方正仿宋_GB2312" w:cs="方正仿宋_GB2312"/>
          <w:b w:val="0"/>
          <w:bCs w:val="0"/>
          <w:snapToGrid w:val="0"/>
          <w:color w:val="auto"/>
          <w:kern w:val="0"/>
          <w:sz w:val="32"/>
          <w:szCs w:val="32"/>
          <w:lang w:val="en-US" w:eastAsia="zh-CN"/>
        </w:rPr>
        <w:t>邓高</w:t>
      </w:r>
      <w:r>
        <w:rPr>
          <w:rFonts w:hint="default" w:ascii="方正仿宋_GB2312" w:hAnsi="方正仿宋_GB2312" w:eastAsia="方正仿宋_GB2312" w:cs="方正仿宋_GB2312"/>
          <w:b w:val="0"/>
          <w:bCs w:val="0"/>
          <w:snapToGrid w:val="0"/>
          <w:color w:val="auto"/>
          <w:kern w:val="0"/>
          <w:sz w:val="32"/>
          <w:szCs w:val="32"/>
          <w:lang w:val="en-US" w:eastAsia="zh-CN"/>
        </w:rPr>
        <w:t>。</w:t>
      </w:r>
    </w:p>
    <w:p w14:paraId="2568277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2"/>
        <w:rPr>
          <w:rFonts w:hint="eastAsia"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2. 直接经济损失情况</w:t>
      </w:r>
    </w:p>
    <w:p w14:paraId="63586002">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snapToGrid w:val="0"/>
          <w:color w:val="0000FF"/>
          <w:kern w:val="0"/>
          <w:sz w:val="32"/>
          <w:szCs w:val="32"/>
          <w:lang w:val="en-US" w:eastAsia="zh-CN"/>
        </w:rPr>
      </w:pPr>
      <w:r>
        <w:rPr>
          <w:rFonts w:hint="eastAsia" w:ascii="方正仿宋_GB2312" w:hAnsi="方正仿宋_GB2312" w:eastAsia="方正仿宋_GB2312" w:cs="方正仿宋_GB2312"/>
          <w:b w:val="0"/>
          <w:bCs w:val="0"/>
          <w:color w:val="auto"/>
          <w:sz w:val="32"/>
          <w:szCs w:val="32"/>
          <w:lang w:val="en-US" w:eastAsia="zh-CN"/>
        </w:rPr>
        <w:t>依据《企业职工伤亡事故经济损失统计标准》（GB/T 6721-1986）及《工伤保险条例》《中华人民共和国国务院令（第375号）》核定，事故直接经济损失约115万元，其中包括：一次性工亡补助金108.3760万元</w:t>
      </w:r>
      <w:r>
        <w:rPr>
          <w:rStyle w:val="14"/>
          <w:rFonts w:hint="eastAsia" w:ascii="方正仿宋_GB2312" w:hAnsi="方正仿宋_GB2312" w:eastAsia="方正仿宋_GB2312" w:cs="方正仿宋_GB2312"/>
          <w:b w:val="0"/>
          <w:bCs w:val="0"/>
          <w:color w:val="auto"/>
          <w:sz w:val="32"/>
          <w:szCs w:val="32"/>
          <w:lang w:val="en-US" w:eastAsia="zh-CN"/>
        </w:rPr>
        <w:t>[</w:t>
      </w:r>
      <w:r>
        <w:rPr>
          <w:rStyle w:val="14"/>
          <w:rFonts w:hint="eastAsia" w:ascii="方正仿宋_GB2312" w:hAnsi="方正仿宋_GB2312" w:eastAsia="方正仿宋_GB2312" w:cs="方正仿宋_GB2312"/>
          <w:b w:val="0"/>
          <w:bCs w:val="0"/>
          <w:color w:val="auto"/>
          <w:sz w:val="32"/>
          <w:szCs w:val="32"/>
          <w:lang w:val="en-US" w:eastAsia="zh-CN"/>
        </w:rPr>
        <w:footnoteReference w:id="1"/>
      </w:r>
      <w:r>
        <w:rPr>
          <w:rStyle w:val="14"/>
          <w:rFonts w:hint="eastAsia" w:ascii="方正仿宋_GB2312" w:hAnsi="方正仿宋_GB2312" w:eastAsia="方正仿宋_GB2312" w:cs="方正仿宋_GB2312"/>
          <w:b w:val="0"/>
          <w:bCs w:val="0"/>
          <w:color w:val="auto"/>
          <w:sz w:val="32"/>
          <w:szCs w:val="32"/>
          <w:lang w:val="en-US" w:eastAsia="zh-CN"/>
        </w:rPr>
        <w:t>]</w:t>
      </w:r>
      <w:r>
        <w:rPr>
          <w:rFonts w:hint="eastAsia" w:ascii="方正仿宋_GB2312" w:hAnsi="方正仿宋_GB2312" w:eastAsia="方正仿宋_GB2312" w:cs="方正仿宋_GB2312"/>
          <w:b w:val="0"/>
          <w:bCs w:val="0"/>
          <w:color w:val="auto"/>
          <w:sz w:val="32"/>
          <w:szCs w:val="32"/>
          <w:lang w:val="en-US" w:eastAsia="zh-CN"/>
        </w:rPr>
        <w:t>、丧葬补助金 5.8716万元</w:t>
      </w:r>
      <w:r>
        <w:rPr>
          <w:rStyle w:val="14"/>
          <w:rFonts w:hint="eastAsia" w:ascii="方正仿宋_GB2312" w:hAnsi="方正仿宋_GB2312" w:eastAsia="方正仿宋_GB2312" w:cs="方正仿宋_GB2312"/>
          <w:b w:val="0"/>
          <w:bCs w:val="0"/>
          <w:color w:val="auto"/>
          <w:sz w:val="32"/>
          <w:szCs w:val="32"/>
          <w:lang w:val="en-US" w:eastAsia="zh-CN"/>
        </w:rPr>
        <w:t>[</w:t>
      </w:r>
      <w:r>
        <w:rPr>
          <w:rStyle w:val="14"/>
          <w:rFonts w:hint="eastAsia" w:ascii="方正仿宋_GB2312" w:hAnsi="方正仿宋_GB2312" w:eastAsia="方正仿宋_GB2312" w:cs="方正仿宋_GB2312"/>
          <w:b w:val="0"/>
          <w:bCs w:val="0"/>
          <w:color w:val="auto"/>
          <w:sz w:val="32"/>
          <w:szCs w:val="32"/>
          <w:lang w:val="en-US" w:eastAsia="zh-CN"/>
        </w:rPr>
        <w:footnoteReference w:id="2"/>
      </w:r>
      <w:r>
        <w:rPr>
          <w:rStyle w:val="14"/>
          <w:rFonts w:hint="eastAsia" w:ascii="方正仿宋_GB2312" w:hAnsi="方正仿宋_GB2312" w:eastAsia="方正仿宋_GB2312" w:cs="方正仿宋_GB2312"/>
          <w:b w:val="0"/>
          <w:bCs w:val="0"/>
          <w:color w:val="auto"/>
          <w:sz w:val="32"/>
          <w:szCs w:val="32"/>
          <w:lang w:val="en-US" w:eastAsia="zh-CN"/>
        </w:rPr>
        <w:t>]</w:t>
      </w:r>
      <w:r>
        <w:rPr>
          <w:rFonts w:hint="default" w:ascii="方正仿宋_GB2312" w:hAnsi="方正仿宋_GB2312" w:eastAsia="方正仿宋_GB2312" w:cs="方正仿宋_GB2312"/>
          <w:b w:val="0"/>
          <w:bCs w:val="0"/>
          <w:snapToGrid w:val="0"/>
          <w:color w:val="0000FF"/>
          <w:kern w:val="0"/>
          <w:sz w:val="32"/>
          <w:szCs w:val="32"/>
          <w:lang w:val="en-US" w:eastAsia="zh-CN"/>
        </w:rPr>
        <w:t>。</w:t>
      </w:r>
    </w:p>
    <w:p w14:paraId="021E4BFC">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lang w:val="en-US" w:eastAsia="zh-CN" w:bidi="ar-SA"/>
        </w:rPr>
      </w:pPr>
      <w:bookmarkStart w:id="10" w:name="_Toc6723"/>
      <w:r>
        <w:rPr>
          <w:rStyle w:val="15"/>
          <w:rFonts w:hint="eastAsia" w:ascii="方正楷体_GB2312" w:hAnsi="方正楷体_GB2312" w:eastAsia="方正楷体_GB2312" w:cs="方正楷体_GB2312"/>
          <w:b w:val="0"/>
          <w:bCs/>
          <w:snapToGrid/>
          <w:color w:val="auto"/>
          <w:kern w:val="2"/>
          <w:szCs w:val="24"/>
          <w:lang w:val="en-US" w:eastAsia="zh-CN" w:bidi="ar-SA"/>
        </w:rPr>
        <w:t>（六）其他情况</w:t>
      </w:r>
      <w:bookmarkEnd w:id="10"/>
    </w:p>
    <w:p w14:paraId="603A67C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2"/>
        <w:rPr>
          <w:rFonts w:hint="default"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1.</w:t>
      </w:r>
      <w:r>
        <w:rPr>
          <w:rFonts w:hint="default" w:ascii="方正仿宋_GB2312" w:hAnsi="方正仿宋_GB2312" w:eastAsia="方正仿宋_GB2312" w:cs="方正仿宋_GB2312"/>
          <w:b/>
          <w:bCs/>
          <w:color w:val="auto"/>
          <w:sz w:val="32"/>
          <w:szCs w:val="32"/>
          <w:lang w:val="en-US" w:eastAsia="zh-CN"/>
        </w:rPr>
        <w:t>与事故相关的气象</w:t>
      </w:r>
    </w:p>
    <w:p w14:paraId="097A824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color w:val="auto"/>
          <w:sz w:val="32"/>
          <w:szCs w:val="32"/>
          <w:lang w:val="en-US" w:eastAsia="zh-CN"/>
        </w:rPr>
      </w:pPr>
      <w:r>
        <w:rPr>
          <w:rFonts w:hint="eastAsia" w:ascii="方正仿宋_GB2312" w:hAnsi="方正仿宋_GB2312" w:eastAsia="方正仿宋_GB2312" w:cs="方正仿宋_GB2312"/>
          <w:b w:val="0"/>
          <w:bCs w:val="0"/>
          <w:color w:val="auto"/>
          <w:sz w:val="32"/>
          <w:szCs w:val="32"/>
          <w:lang w:val="en-US" w:eastAsia="zh-CN"/>
        </w:rPr>
        <w:t>根据气象局数据，事故当天最高气温 34℃、最低气温 26℃，阴转多云、西南风 2 级，无不良天气，未对事故发生造成影响。</w:t>
      </w:r>
    </w:p>
    <w:p w14:paraId="6B99304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2"/>
        <w:rPr>
          <w:rFonts w:hint="eastAsia"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2.事故现场</w:t>
      </w:r>
      <w:r>
        <w:rPr>
          <w:rFonts w:hint="default" w:ascii="方正仿宋_GB2312" w:hAnsi="方正仿宋_GB2312" w:eastAsia="方正仿宋_GB2312" w:cs="方正仿宋_GB2312"/>
          <w:b/>
          <w:bCs/>
          <w:color w:val="auto"/>
          <w:sz w:val="32"/>
          <w:szCs w:val="32"/>
          <w:lang w:val="en-US" w:eastAsia="zh-CN"/>
        </w:rPr>
        <w:t>环境</w:t>
      </w:r>
      <w:r>
        <w:rPr>
          <w:rFonts w:hint="eastAsia" w:ascii="方正仿宋_GB2312" w:hAnsi="方正仿宋_GB2312" w:eastAsia="方正仿宋_GB2312" w:cs="方正仿宋_GB2312"/>
          <w:b/>
          <w:bCs/>
          <w:color w:val="auto"/>
          <w:sz w:val="32"/>
          <w:szCs w:val="32"/>
          <w:lang w:val="en-US" w:eastAsia="zh-CN"/>
        </w:rPr>
        <w:t>情况</w:t>
      </w:r>
    </w:p>
    <w:p w14:paraId="0A23EB4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仿宋" w:cs="方正仿宋_GB2312"/>
          <w:b w:val="0"/>
          <w:bCs w:val="0"/>
          <w:color w:val="auto"/>
          <w:sz w:val="32"/>
          <w:szCs w:val="32"/>
          <w:lang w:val="en-US" w:eastAsia="zh-CN"/>
        </w:rPr>
      </w:pPr>
      <w:r>
        <w:rPr>
          <w:rFonts w:hint="eastAsia" w:ascii="方正仿宋_GB2312" w:hAnsi="方正仿宋_GB2312" w:eastAsia="方正仿宋_GB2312" w:cs="方正仿宋_GB2312"/>
          <w:b w:val="0"/>
          <w:bCs w:val="0"/>
          <w:color w:val="auto"/>
          <w:sz w:val="32"/>
          <w:szCs w:val="32"/>
          <w:lang w:val="en-US" w:eastAsia="zh-CN"/>
        </w:rPr>
        <w:t>涉事K歌沐足店位于津海建材城津和顺汽配交易中心内，涉事货车停放在该中心内道路，现场无明显异常</w:t>
      </w:r>
      <w:r>
        <w:rPr>
          <w:rFonts w:hint="eastAsia" w:ascii="仿宋" w:hAnsi="仿宋" w:eastAsia="仿宋" w:cs="仿宋"/>
          <w:spacing w:val="3"/>
          <w:sz w:val="31"/>
          <w:szCs w:val="31"/>
          <w:lang w:eastAsia="zh-CN"/>
        </w:rPr>
        <w:t>。</w:t>
      </w:r>
    </w:p>
    <w:p w14:paraId="0132C0C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2"/>
        <w:rPr>
          <w:rFonts w:hint="default"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3.</w:t>
      </w:r>
      <w:r>
        <w:rPr>
          <w:rFonts w:hint="default" w:ascii="方正仿宋_GB2312" w:hAnsi="方正仿宋_GB2312" w:eastAsia="方正仿宋_GB2312" w:cs="方正仿宋_GB2312"/>
          <w:b/>
          <w:bCs/>
          <w:color w:val="auto"/>
          <w:sz w:val="32"/>
          <w:szCs w:val="32"/>
          <w:lang w:val="en-US" w:eastAsia="zh-CN"/>
        </w:rPr>
        <w:t>舆论关注热点</w:t>
      </w:r>
    </w:p>
    <w:p w14:paraId="174E294B">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color w:val="auto"/>
          <w:sz w:val="32"/>
          <w:szCs w:val="32"/>
          <w:lang w:val="en-US" w:eastAsia="zh-CN"/>
        </w:rPr>
      </w:pPr>
      <w:r>
        <w:rPr>
          <w:rFonts w:hint="eastAsia" w:ascii="方正仿宋_GB2312" w:hAnsi="方正仿宋_GB2312" w:eastAsia="方正仿宋_GB2312" w:cs="方正仿宋_GB2312"/>
          <w:b w:val="0"/>
          <w:bCs w:val="0"/>
          <w:color w:val="auto"/>
          <w:sz w:val="32"/>
          <w:szCs w:val="32"/>
          <w:lang w:val="en-US" w:eastAsia="zh-CN"/>
        </w:rPr>
        <w:t>事故发生当天，李永会主动到荔枝沟派出所自首，公安机关第一时间处置，未引发社会舆情，态势平稳。</w:t>
      </w:r>
    </w:p>
    <w:p w14:paraId="0C221E7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9"/>
        <w:rPr>
          <w:rFonts w:hint="default"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4.</w:t>
      </w:r>
      <w:r>
        <w:rPr>
          <w:rFonts w:hint="default" w:ascii="方正仿宋_GB2312" w:hAnsi="方正仿宋_GB2312" w:eastAsia="方正仿宋_GB2312" w:cs="方正仿宋_GB2312"/>
          <w:b/>
          <w:bCs/>
          <w:color w:val="auto"/>
          <w:sz w:val="32"/>
          <w:szCs w:val="32"/>
          <w:lang w:val="en-US" w:eastAsia="zh-CN"/>
        </w:rPr>
        <w:t>其他需要说明的情况</w:t>
      </w:r>
    </w:p>
    <w:p w14:paraId="44846E6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color w:val="auto"/>
          <w:sz w:val="32"/>
          <w:szCs w:val="32"/>
          <w:lang w:val="en-US" w:eastAsia="zh-CN"/>
        </w:rPr>
      </w:pPr>
      <w:r>
        <w:rPr>
          <w:rFonts w:hint="eastAsia" w:ascii="方正仿宋_GB2312" w:hAnsi="方正仿宋_GB2312" w:eastAsia="方正仿宋_GB2312" w:cs="方正仿宋_GB2312"/>
          <w:b w:val="0"/>
          <w:bCs w:val="0"/>
          <w:color w:val="auto"/>
          <w:sz w:val="32"/>
          <w:szCs w:val="32"/>
          <w:lang w:val="en-US" w:eastAsia="zh-CN"/>
        </w:rPr>
        <w:t>2024年8月25日12时47分，相关部门接到事故工单后赶赴现场处置；当日16时，李永会投案，公安机关以“过失致人死亡”立案侦查，区政府相关部门将事故交由公安机关全权侦查。2025年9月3日，法院判决李永会犯重大责任事故罪，但未认定其他相关单位及个人责任，影响死者家属民事赔偿。因需优先保障刑事程序，吉阳区政府于2025年11月21日依法成立事故调查组，厘清各方安全责任，为家属索赔提供依据。</w:t>
      </w:r>
    </w:p>
    <w:p w14:paraId="330380F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0"/>
        <w:rPr>
          <w:rFonts w:hint="eastAsia" w:ascii="黑体" w:hAnsi="黑体" w:eastAsia="黑体" w:cs="黑体"/>
          <w:b w:val="0"/>
          <w:bCs w:val="0"/>
          <w:snapToGrid w:val="0"/>
          <w:color w:val="auto"/>
          <w:kern w:val="0"/>
          <w:sz w:val="32"/>
          <w:szCs w:val="32"/>
          <w:lang w:val="en-US" w:eastAsia="zh-CN"/>
        </w:rPr>
      </w:pPr>
      <w:bookmarkStart w:id="11" w:name="_Toc9755"/>
      <w:r>
        <w:rPr>
          <w:rFonts w:hint="eastAsia" w:ascii="黑体" w:hAnsi="黑体" w:eastAsia="黑体" w:cs="黑体"/>
          <w:b w:val="0"/>
          <w:bCs w:val="0"/>
          <w:snapToGrid w:val="0"/>
          <w:color w:val="auto"/>
          <w:kern w:val="0"/>
          <w:sz w:val="32"/>
          <w:szCs w:val="32"/>
          <w:lang w:val="en-US" w:eastAsia="zh-CN"/>
        </w:rPr>
        <w:t>二、事故应急处置及评估情况</w:t>
      </w:r>
      <w:bookmarkEnd w:id="11"/>
    </w:p>
    <w:p w14:paraId="2C73752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lang w:val="en-US" w:eastAsia="zh-CN" w:bidi="ar-SA"/>
        </w:rPr>
      </w:pPr>
      <w:bookmarkStart w:id="12" w:name="_Toc14618"/>
      <w:r>
        <w:rPr>
          <w:rStyle w:val="15"/>
          <w:rFonts w:hint="eastAsia" w:ascii="方正楷体_GB2312" w:hAnsi="方正楷体_GB2312" w:eastAsia="方正楷体_GB2312" w:cs="方正楷体_GB2312"/>
          <w:b w:val="0"/>
          <w:bCs/>
          <w:snapToGrid/>
          <w:color w:val="auto"/>
          <w:kern w:val="2"/>
          <w:szCs w:val="24"/>
          <w:lang w:val="en-US" w:eastAsia="zh-CN" w:bidi="ar-SA"/>
        </w:rPr>
        <w:t>（一）事故信息接报及响应情况</w:t>
      </w:r>
      <w:bookmarkEnd w:id="12"/>
    </w:p>
    <w:p w14:paraId="0B09958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color w:val="auto"/>
          <w:sz w:val="32"/>
          <w:szCs w:val="32"/>
          <w:lang w:val="en-US" w:eastAsia="zh-CN"/>
        </w:rPr>
      </w:pPr>
      <w:r>
        <w:rPr>
          <w:rFonts w:hint="eastAsia" w:ascii="方正仿宋_GB2312" w:hAnsi="方正仿宋_GB2312" w:eastAsia="方正仿宋_GB2312" w:cs="方正仿宋_GB2312"/>
          <w:b w:val="0"/>
          <w:bCs w:val="0"/>
          <w:color w:val="auto"/>
          <w:sz w:val="32"/>
          <w:szCs w:val="32"/>
          <w:lang w:val="en-US" w:eastAsia="zh-CN"/>
        </w:rPr>
        <w:t xml:space="preserve"> 事故发生后，李永会1分钟内抵达现场，立即查看邓高伤情、拨打120并告知鳄鱼公司法人陈夫，上报规范准确。120急救车20分钟内抵达，住建、应急、公安等部门立即启动应急响应赶赴现场，处置及时高效，无迟报、谎报、瞒报行为。</w:t>
      </w:r>
    </w:p>
    <w:p w14:paraId="528A982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lang w:val="en-US" w:eastAsia="zh-CN" w:bidi="ar-SA"/>
        </w:rPr>
      </w:pPr>
      <w:bookmarkStart w:id="13" w:name="_Toc23162"/>
      <w:r>
        <w:rPr>
          <w:rStyle w:val="15"/>
          <w:rFonts w:hint="eastAsia" w:ascii="方正楷体_GB2312" w:hAnsi="方正楷体_GB2312" w:eastAsia="方正楷体_GB2312" w:cs="方正楷体_GB2312"/>
          <w:b w:val="0"/>
          <w:bCs/>
          <w:snapToGrid/>
          <w:color w:val="auto"/>
          <w:kern w:val="2"/>
          <w:szCs w:val="24"/>
          <w:lang w:val="en-US" w:eastAsia="zh-CN" w:bidi="ar-SA"/>
        </w:rPr>
        <w:t>（二）事故现场应急处置情况</w:t>
      </w:r>
      <w:bookmarkEnd w:id="13"/>
    </w:p>
    <w:p w14:paraId="45E0C99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color w:val="auto"/>
          <w:sz w:val="32"/>
          <w:szCs w:val="32"/>
          <w:lang w:val="en-US" w:eastAsia="zh-CN"/>
        </w:rPr>
      </w:pPr>
      <w:r>
        <w:rPr>
          <w:rFonts w:hint="eastAsia" w:ascii="方正仿宋_GB2312" w:hAnsi="方正仿宋_GB2312" w:eastAsia="方正仿宋_GB2312" w:cs="方正仿宋_GB2312"/>
          <w:b w:val="0"/>
          <w:bCs w:val="0"/>
          <w:color w:val="auto"/>
          <w:sz w:val="32"/>
          <w:szCs w:val="32"/>
          <w:lang w:val="en-US" w:eastAsia="zh-CN"/>
        </w:rPr>
        <w:t>邓高坠落后无法自救，李永会及时施救、筹款救治，无延误行为。120、公安、住建等部门同步响应，20分钟内抵达现场，40分钟内完成伤者转运，医护人员开展紧急救治，民警维护现场秩序，住建、应急部门开展勘查，处置规范有序。</w:t>
      </w:r>
    </w:p>
    <w:p w14:paraId="7E6AB45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lang w:val="en-US" w:eastAsia="zh-CN" w:bidi="ar-SA"/>
        </w:rPr>
      </w:pPr>
      <w:bookmarkStart w:id="14" w:name="_Toc11637"/>
      <w:r>
        <w:rPr>
          <w:rStyle w:val="15"/>
          <w:rFonts w:hint="eastAsia" w:ascii="方正楷体_GB2312" w:hAnsi="方正楷体_GB2312" w:eastAsia="方正楷体_GB2312" w:cs="方正楷体_GB2312"/>
          <w:b w:val="0"/>
          <w:bCs/>
          <w:snapToGrid/>
          <w:color w:val="auto"/>
          <w:kern w:val="2"/>
          <w:szCs w:val="24"/>
          <w:lang w:val="en-US" w:eastAsia="zh-CN" w:bidi="ar-SA"/>
        </w:rPr>
        <w:t>（三）医疗救治和善后情况</w:t>
      </w:r>
      <w:bookmarkEnd w:id="14"/>
    </w:p>
    <w:p w14:paraId="430EC90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color w:val="auto"/>
          <w:sz w:val="32"/>
          <w:szCs w:val="32"/>
          <w:lang w:val="en-US" w:eastAsia="zh-CN"/>
        </w:rPr>
      </w:pPr>
      <w:r>
        <w:rPr>
          <w:rFonts w:hint="eastAsia" w:ascii="方正仿宋_GB2312" w:hAnsi="方正仿宋_GB2312" w:eastAsia="方正仿宋_GB2312" w:cs="方正仿宋_GB2312"/>
          <w:b w:val="0"/>
          <w:bCs w:val="0"/>
          <w:color w:val="auto"/>
          <w:sz w:val="32"/>
          <w:szCs w:val="32"/>
          <w:lang w:val="en-US" w:eastAsia="zh-CN"/>
        </w:rPr>
        <w:t>邓</w:t>
      </w:r>
      <w:r>
        <w:rPr>
          <w:rFonts w:hint="default" w:ascii="方正仿宋_GB2312" w:hAnsi="方正仿宋_GB2312" w:eastAsia="方正仿宋_GB2312" w:cs="方正仿宋_GB2312"/>
          <w:b w:val="0"/>
          <w:bCs w:val="0"/>
          <w:color w:val="auto"/>
          <w:sz w:val="32"/>
          <w:szCs w:val="32"/>
          <w:lang w:val="en-US" w:eastAsia="zh-CN"/>
        </w:rPr>
        <w:t>高被转运至医院后，因重型颅脑及颈髓损伤抢救无效死亡，诊疗符合规范，无延误。相关部门牵头安抚家属、协调善后，舆情平稳，无负面舆情；事故无环境污染物泄漏，周边环境未受影响。</w:t>
      </w:r>
    </w:p>
    <w:p w14:paraId="5A2F390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lang w:val="en-US" w:eastAsia="zh-CN" w:bidi="ar-SA"/>
        </w:rPr>
      </w:pPr>
      <w:bookmarkStart w:id="15" w:name="_Toc31902"/>
      <w:r>
        <w:rPr>
          <w:rStyle w:val="15"/>
          <w:rFonts w:hint="eastAsia" w:ascii="方正楷体_GB2312" w:hAnsi="方正楷体_GB2312" w:eastAsia="方正楷体_GB2312" w:cs="方正楷体_GB2312"/>
          <w:b w:val="0"/>
          <w:bCs/>
          <w:snapToGrid/>
          <w:color w:val="auto"/>
          <w:kern w:val="2"/>
          <w:szCs w:val="24"/>
          <w:lang w:val="en-US" w:eastAsia="zh-CN" w:bidi="ar-SA"/>
        </w:rPr>
        <w:t>（四）事故应急处置评估</w:t>
      </w:r>
      <w:bookmarkEnd w:id="15"/>
    </w:p>
    <w:p w14:paraId="7D14A3A2">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color w:val="auto"/>
          <w:sz w:val="32"/>
          <w:szCs w:val="32"/>
          <w:lang w:val="en-US" w:eastAsia="zh-CN"/>
        </w:rPr>
      </w:pPr>
      <w:r>
        <w:rPr>
          <w:rFonts w:hint="default" w:ascii="方正仿宋_GB2312" w:hAnsi="方正仿宋_GB2312" w:eastAsia="方正仿宋_GB2312" w:cs="方正仿宋_GB2312"/>
          <w:b w:val="0"/>
          <w:bCs w:val="0"/>
          <w:color w:val="auto"/>
          <w:sz w:val="32"/>
          <w:szCs w:val="32"/>
          <w:lang w:val="en-US" w:eastAsia="zh-CN"/>
        </w:rPr>
        <w:t>本次事故应急处置整体合格，各环节落实到位，医疗救治、善后及舆情管控成效良好，最大限度降低事故负面影响。</w:t>
      </w:r>
    </w:p>
    <w:p w14:paraId="7ABF866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0"/>
        <w:rPr>
          <w:rFonts w:hint="eastAsia" w:ascii="黑体" w:hAnsi="黑体" w:eastAsia="黑体" w:cs="黑体"/>
          <w:b w:val="0"/>
          <w:bCs w:val="0"/>
          <w:snapToGrid w:val="0"/>
          <w:color w:val="auto"/>
          <w:kern w:val="0"/>
          <w:sz w:val="32"/>
          <w:szCs w:val="32"/>
          <w:lang w:val="en-US" w:eastAsia="zh-CN"/>
        </w:rPr>
      </w:pPr>
      <w:bookmarkStart w:id="16" w:name="_Toc11908"/>
      <w:bookmarkStart w:id="17" w:name="heading_5"/>
      <w:r>
        <w:rPr>
          <w:rFonts w:hint="eastAsia" w:ascii="黑体" w:hAnsi="黑体" w:eastAsia="黑体" w:cs="黑体"/>
          <w:b w:val="0"/>
          <w:bCs w:val="0"/>
          <w:snapToGrid w:val="0"/>
          <w:color w:val="auto"/>
          <w:kern w:val="0"/>
          <w:sz w:val="32"/>
          <w:szCs w:val="32"/>
          <w:lang w:val="en-US" w:eastAsia="zh-CN"/>
        </w:rPr>
        <w:t>三、事故原因分析</w:t>
      </w:r>
      <w:bookmarkEnd w:id="16"/>
      <w:bookmarkEnd w:id="17"/>
    </w:p>
    <w:p w14:paraId="0B9EE2C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lang w:val="en-US" w:eastAsia="zh-CN" w:bidi="ar-SA"/>
        </w:rPr>
      </w:pPr>
      <w:bookmarkStart w:id="18" w:name="heading_6"/>
      <w:bookmarkStart w:id="19" w:name="_Toc5021"/>
      <w:r>
        <w:rPr>
          <w:rStyle w:val="15"/>
          <w:rFonts w:hint="eastAsia" w:ascii="方正楷体_GB2312" w:hAnsi="方正楷体_GB2312" w:eastAsia="方正楷体_GB2312" w:cs="方正楷体_GB2312"/>
          <w:b w:val="0"/>
          <w:bCs/>
          <w:snapToGrid/>
          <w:color w:val="auto"/>
          <w:kern w:val="2"/>
          <w:szCs w:val="24"/>
          <w:lang w:val="en-US" w:eastAsia="zh-CN" w:bidi="ar-SA"/>
        </w:rPr>
        <w:t>（一）直接原因</w:t>
      </w:r>
      <w:bookmarkEnd w:id="18"/>
      <w:r>
        <w:rPr>
          <w:rStyle w:val="15"/>
          <w:rFonts w:hint="eastAsia" w:ascii="方正楷体_GB2312" w:hAnsi="方正楷体_GB2312" w:eastAsia="方正楷体_GB2312" w:cs="方正楷体_GB2312"/>
          <w:b w:val="0"/>
          <w:bCs/>
          <w:snapToGrid/>
          <w:color w:val="auto"/>
          <w:kern w:val="2"/>
          <w:szCs w:val="24"/>
          <w:lang w:val="en-US" w:eastAsia="zh-CN" w:bidi="ar-SA"/>
        </w:rPr>
        <w:t>分析</w:t>
      </w:r>
      <w:bookmarkEnd w:id="19"/>
    </w:p>
    <w:p w14:paraId="6353E2E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default" w:ascii="方正仿宋_GB2312" w:hAnsi="方正仿宋_GB2312" w:eastAsia="方正仿宋_GB2312" w:cs="方正仿宋_GB2312"/>
          <w:b w:val="0"/>
          <w:bCs w:val="0"/>
          <w:snapToGrid w:val="0"/>
          <w:color w:val="auto"/>
          <w:kern w:val="0"/>
          <w:sz w:val="32"/>
          <w:szCs w:val="32"/>
          <w:lang w:val="en-US" w:eastAsia="zh-CN"/>
        </w:rPr>
        <w:t>李永会违规高空抛物，邓高违章站在货车车顶作业且未佩戴防护用品，现场仅设1个安全立锥、无其他必要防护设施，三者共同导致事故发生。</w:t>
      </w:r>
    </w:p>
    <w:p w14:paraId="31D4365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lang w:val="en-US" w:eastAsia="zh-CN" w:bidi="ar-SA"/>
        </w:rPr>
      </w:pPr>
      <w:bookmarkStart w:id="20" w:name="_Toc10528"/>
      <w:r>
        <w:rPr>
          <w:rStyle w:val="15"/>
          <w:rFonts w:hint="eastAsia" w:ascii="方正楷体_GB2312" w:hAnsi="方正楷体_GB2312" w:eastAsia="方正楷体_GB2312" w:cs="方正楷体_GB2312"/>
          <w:b w:val="0"/>
          <w:bCs/>
          <w:snapToGrid/>
          <w:color w:val="auto"/>
          <w:kern w:val="2"/>
          <w:szCs w:val="24"/>
          <w:lang w:val="en-US" w:eastAsia="zh-CN" w:bidi="ar-SA"/>
        </w:rPr>
        <w:t>（二）事故相关检验检测和鉴定情况</w:t>
      </w:r>
      <w:bookmarkEnd w:id="20"/>
    </w:p>
    <w:p w14:paraId="4659A402">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color w:val="auto"/>
          <w:sz w:val="32"/>
          <w:szCs w:val="32"/>
          <w:lang w:val="en-US" w:eastAsia="zh-CN"/>
        </w:rPr>
      </w:pPr>
      <w:r>
        <w:rPr>
          <w:rFonts w:hint="default" w:ascii="方正仿宋_GB2312" w:hAnsi="方正仿宋_GB2312" w:eastAsia="方正仿宋_GB2312" w:cs="方正仿宋_GB2312"/>
          <w:b w:val="0"/>
          <w:bCs w:val="0"/>
          <w:color w:val="auto"/>
          <w:sz w:val="32"/>
          <w:szCs w:val="32"/>
          <w:lang w:val="en-US" w:eastAsia="zh-CN"/>
        </w:rPr>
        <w:t>海南祥正司法鉴定意见书</w:t>
      </w:r>
      <w:r>
        <w:rPr>
          <w:rFonts w:hint="eastAsia" w:ascii="方正仿宋_GB2312" w:hAnsi="方正仿宋_GB2312" w:eastAsia="方正仿宋_GB2312" w:cs="方正仿宋_GB2312"/>
          <w:b w:val="0"/>
          <w:bCs w:val="0"/>
          <w:color w:val="auto"/>
          <w:sz w:val="32"/>
          <w:szCs w:val="32"/>
          <w:lang w:val="en-US" w:eastAsia="zh-CN"/>
        </w:rPr>
        <w:t>（</w:t>
      </w:r>
      <w:r>
        <w:rPr>
          <w:rFonts w:hint="default" w:ascii="方正仿宋_GB2312" w:hAnsi="方正仿宋_GB2312" w:eastAsia="方正仿宋_GB2312" w:cs="方正仿宋_GB2312"/>
          <w:b w:val="0"/>
          <w:bCs w:val="0"/>
          <w:color w:val="auto"/>
          <w:sz w:val="32"/>
          <w:szCs w:val="32"/>
          <w:lang w:val="en-US" w:eastAsia="zh-CN"/>
        </w:rPr>
        <w:t>海祥【2024】病鉴字第131号</w:t>
      </w:r>
      <w:r>
        <w:rPr>
          <w:rFonts w:hint="eastAsia" w:ascii="方正仿宋_GB2312" w:hAnsi="方正仿宋_GB2312" w:eastAsia="方正仿宋_GB2312" w:cs="方正仿宋_GB2312"/>
          <w:b w:val="0"/>
          <w:bCs w:val="0"/>
          <w:color w:val="auto"/>
          <w:sz w:val="32"/>
          <w:szCs w:val="32"/>
          <w:lang w:val="en-US" w:eastAsia="zh-CN"/>
        </w:rPr>
        <w:t>）</w:t>
      </w:r>
      <w:r>
        <w:rPr>
          <w:rFonts w:hint="default" w:ascii="方正仿宋_GB2312" w:hAnsi="方正仿宋_GB2312" w:eastAsia="方正仿宋_GB2312" w:cs="方正仿宋_GB2312"/>
          <w:b w:val="0"/>
          <w:bCs w:val="0"/>
          <w:color w:val="auto"/>
          <w:sz w:val="32"/>
          <w:szCs w:val="32"/>
          <w:lang w:val="en-US" w:eastAsia="zh-CN"/>
        </w:rPr>
        <w:t>认定，邓高符合因重型颅脑及颈髓损伤导致呼吸循环功能衰竭死亡，损伤系高处坠落撞击所致。</w:t>
      </w:r>
    </w:p>
    <w:p w14:paraId="302465A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lang w:val="en-US" w:eastAsia="zh-CN" w:bidi="ar-SA"/>
        </w:rPr>
      </w:pPr>
      <w:bookmarkStart w:id="21" w:name="_Toc15007"/>
      <w:r>
        <w:rPr>
          <w:rStyle w:val="15"/>
          <w:rFonts w:hint="eastAsia" w:ascii="方正楷体_GB2312" w:hAnsi="方正楷体_GB2312" w:eastAsia="方正楷体_GB2312" w:cs="方正楷体_GB2312"/>
          <w:b w:val="0"/>
          <w:bCs/>
          <w:snapToGrid/>
          <w:color w:val="auto"/>
          <w:kern w:val="2"/>
          <w:szCs w:val="24"/>
          <w:lang w:val="en-US" w:eastAsia="zh-CN" w:bidi="ar-SA"/>
        </w:rPr>
        <w:t>（三）其他可能因素排除</w:t>
      </w:r>
      <w:bookmarkEnd w:id="21"/>
    </w:p>
    <w:p w14:paraId="39FAC87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default" w:ascii="方正仿宋_GB2312" w:hAnsi="方正仿宋_GB2312" w:eastAsia="方正仿宋_GB2312" w:cs="方正仿宋_GB2312"/>
          <w:b w:val="0"/>
          <w:bCs w:val="0"/>
          <w:snapToGrid w:val="0"/>
          <w:color w:val="auto"/>
          <w:kern w:val="0"/>
          <w:sz w:val="32"/>
          <w:szCs w:val="32"/>
          <w:lang w:val="en-US" w:eastAsia="zh-CN"/>
        </w:rPr>
        <w:t>经核查，排除天气、现场环境、第三方干扰、人为故意、医疗救治延误等因素对事故发生及结果的影响。</w:t>
      </w:r>
    </w:p>
    <w:p w14:paraId="54BD81B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lang w:val="en-US" w:eastAsia="zh-CN" w:bidi="ar-SA"/>
        </w:rPr>
      </w:pPr>
      <w:bookmarkStart w:id="22" w:name="heading_7"/>
      <w:bookmarkStart w:id="23" w:name="_Toc28348"/>
      <w:r>
        <w:rPr>
          <w:rStyle w:val="15"/>
          <w:rFonts w:hint="eastAsia" w:ascii="方正楷体_GB2312" w:hAnsi="方正楷体_GB2312" w:eastAsia="方正楷体_GB2312" w:cs="方正楷体_GB2312"/>
          <w:b w:val="0"/>
          <w:bCs/>
          <w:snapToGrid/>
          <w:color w:val="auto"/>
          <w:kern w:val="2"/>
          <w:szCs w:val="24"/>
          <w:lang w:val="en-US" w:eastAsia="zh-CN" w:bidi="ar-SA"/>
        </w:rPr>
        <w:t>（四）间接原因</w:t>
      </w:r>
      <w:bookmarkEnd w:id="22"/>
      <w:r>
        <w:rPr>
          <w:rStyle w:val="15"/>
          <w:rFonts w:hint="eastAsia" w:ascii="方正楷体_GB2312" w:hAnsi="方正楷体_GB2312" w:eastAsia="方正楷体_GB2312" w:cs="方正楷体_GB2312"/>
          <w:b w:val="0"/>
          <w:bCs/>
          <w:snapToGrid/>
          <w:color w:val="auto"/>
          <w:kern w:val="2"/>
          <w:szCs w:val="24"/>
          <w:lang w:val="en-US" w:eastAsia="zh-CN" w:bidi="ar-SA"/>
        </w:rPr>
        <w:t>分析</w:t>
      </w:r>
      <w:bookmarkEnd w:id="23"/>
    </w:p>
    <w:p w14:paraId="0A359D2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default" w:ascii="方正仿宋_GB2312" w:hAnsi="方正仿宋_GB2312" w:eastAsia="方正仿宋_GB2312" w:cs="方正仿宋_GB2312"/>
          <w:b w:val="0"/>
          <w:bCs w:val="0"/>
          <w:snapToGrid w:val="0"/>
          <w:color w:val="auto"/>
          <w:kern w:val="0"/>
          <w:sz w:val="32"/>
          <w:szCs w:val="32"/>
          <w:lang w:val="en-US" w:eastAsia="zh-CN"/>
        </w:rPr>
        <w:t>经调查核实，本次事故</w:t>
      </w:r>
      <w:r>
        <w:rPr>
          <w:rFonts w:hint="eastAsia" w:ascii="方正仿宋_GB2312" w:hAnsi="方正仿宋_GB2312" w:eastAsia="方正仿宋_GB2312" w:cs="方正仿宋_GB2312"/>
          <w:b w:val="0"/>
          <w:bCs w:val="0"/>
          <w:snapToGrid w:val="0"/>
          <w:color w:val="auto"/>
          <w:kern w:val="0"/>
          <w:sz w:val="32"/>
          <w:szCs w:val="32"/>
          <w:lang w:val="en-US" w:eastAsia="zh-CN"/>
        </w:rPr>
        <w:t>的间接原因包括：</w:t>
      </w:r>
    </w:p>
    <w:p w14:paraId="72D8D432">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1. 鳄鱼公司违法转包工程给无资质的李永会，未审核资质、未履行安全监管职责；</w:t>
      </w:r>
    </w:p>
    <w:p w14:paraId="0431C7E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2. 各方主体责任缺失，K歌沐足店转移安全责任、李永会无资质作业、物业公司未履行监管义务；</w:t>
      </w:r>
    </w:p>
    <w:p w14:paraId="04B5862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3. 安全管理制度失效，无施工方案、无培训、无隐患排查；</w:t>
      </w:r>
    </w:p>
    <w:p w14:paraId="2511AD9B">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4. 监管存在盲区，对小微企业及个体施工管控不足；</w:t>
      </w:r>
    </w:p>
    <w:p w14:paraId="7CC3F45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5. 从业人员安全意识淡薄、技能不足。</w:t>
      </w:r>
    </w:p>
    <w:p w14:paraId="609E4A9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0"/>
        <w:rPr>
          <w:rFonts w:hint="eastAsia" w:ascii="黑体" w:hAnsi="黑体" w:eastAsia="黑体" w:cs="黑体"/>
          <w:b w:val="0"/>
          <w:bCs w:val="0"/>
          <w:snapToGrid w:val="0"/>
          <w:color w:val="auto"/>
          <w:kern w:val="0"/>
          <w:sz w:val="32"/>
          <w:szCs w:val="32"/>
          <w:lang w:val="en-US" w:eastAsia="zh-CN"/>
        </w:rPr>
      </w:pPr>
      <w:bookmarkStart w:id="24" w:name="_Toc15500"/>
      <w:bookmarkStart w:id="25" w:name="heading_9"/>
      <w:r>
        <w:rPr>
          <w:rFonts w:hint="eastAsia" w:ascii="黑体" w:hAnsi="黑体" w:eastAsia="黑体" w:cs="黑体"/>
          <w:b w:val="0"/>
          <w:bCs w:val="0"/>
          <w:snapToGrid w:val="0"/>
          <w:color w:val="auto"/>
          <w:kern w:val="0"/>
          <w:sz w:val="32"/>
          <w:szCs w:val="32"/>
          <w:lang w:val="en-US" w:eastAsia="zh-CN"/>
        </w:rPr>
        <w:t>四、有关责任单位存在的主要问题</w:t>
      </w:r>
      <w:bookmarkEnd w:id="24"/>
    </w:p>
    <w:p w14:paraId="0B8860C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lang w:val="en-US" w:eastAsia="zh-CN" w:bidi="ar-SA"/>
        </w:rPr>
      </w:pPr>
      <w:bookmarkStart w:id="26" w:name="_Toc26837"/>
      <w:r>
        <w:rPr>
          <w:rStyle w:val="15"/>
          <w:rFonts w:hint="eastAsia" w:ascii="方正楷体_GB2312" w:hAnsi="方正楷体_GB2312" w:eastAsia="方正楷体_GB2312" w:cs="方正楷体_GB2312"/>
          <w:b w:val="0"/>
          <w:bCs/>
          <w:snapToGrid/>
          <w:color w:val="auto"/>
          <w:kern w:val="2"/>
          <w:szCs w:val="24"/>
          <w:lang w:val="en-US" w:eastAsia="zh-CN" w:bidi="ar-SA"/>
        </w:rPr>
        <w:t>（一）事故单位</w:t>
      </w:r>
      <w:bookmarkEnd w:id="26"/>
    </w:p>
    <w:p w14:paraId="0DC53C8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2"/>
        <w:rPr>
          <w:rFonts w:hint="default"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1.</w:t>
      </w:r>
      <w:r>
        <w:rPr>
          <w:rFonts w:hint="default" w:ascii="方正仿宋_GB2312" w:hAnsi="方正仿宋_GB2312" w:eastAsia="方正仿宋_GB2312" w:cs="方正仿宋_GB2312"/>
          <w:b/>
          <w:bCs/>
          <w:color w:val="auto"/>
          <w:sz w:val="32"/>
          <w:szCs w:val="32"/>
          <w:lang w:val="en-US" w:eastAsia="zh-CN"/>
        </w:rPr>
        <w:t>海南鳄鱼建筑工程有限公司</w:t>
      </w:r>
    </w:p>
    <w:p w14:paraId="06CABD6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default" w:ascii="方正仿宋_GB2312" w:hAnsi="方正仿宋_GB2312" w:eastAsia="方正仿宋_GB2312" w:cs="方正仿宋_GB2312"/>
          <w:b w:val="0"/>
          <w:bCs w:val="0"/>
          <w:snapToGrid w:val="0"/>
          <w:color w:val="auto"/>
          <w:kern w:val="0"/>
          <w:sz w:val="32"/>
          <w:szCs w:val="32"/>
          <w:lang w:val="en-US" w:eastAsia="zh-CN"/>
        </w:rPr>
        <w:t>海南鳄鱼建筑工程有限公司作为打拆工程承包方，存在多项违法违规行为：短期内将全部工程转包给无施工资质的自然人李永会，未审核其资质及安全生产条件，通过合同签订违法免责条款转移安全责任，且转包后未履行任何安全管理职责，导致工程施工脱离有效安全管控。</w:t>
      </w:r>
    </w:p>
    <w:p w14:paraId="4EF8538B">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2"/>
        <w:rPr>
          <w:rFonts w:hint="default"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2.</w:t>
      </w:r>
      <w:r>
        <w:rPr>
          <w:rFonts w:hint="default" w:ascii="方正仿宋_GB2312" w:hAnsi="方正仿宋_GB2312" w:eastAsia="方正仿宋_GB2312" w:cs="方正仿宋_GB2312"/>
          <w:b/>
          <w:bCs/>
          <w:color w:val="auto"/>
          <w:sz w:val="32"/>
          <w:szCs w:val="32"/>
          <w:lang w:val="en-US" w:eastAsia="zh-CN"/>
        </w:rPr>
        <w:t>三亚津海建材市场</w:t>
      </w:r>
      <w:r>
        <w:rPr>
          <w:rFonts w:hint="eastAsia" w:ascii="方正仿宋_GB2312" w:hAnsi="方正仿宋_GB2312" w:eastAsia="方正仿宋_GB2312" w:cs="方正仿宋_GB2312"/>
          <w:b/>
          <w:bCs/>
          <w:color w:val="auto"/>
          <w:sz w:val="32"/>
          <w:szCs w:val="32"/>
          <w:lang w:val="en-US" w:eastAsia="zh-CN"/>
        </w:rPr>
        <w:t xml:space="preserve"> </w:t>
      </w:r>
      <w:r>
        <w:rPr>
          <w:rFonts w:hint="default" w:ascii="方正仿宋_GB2312" w:hAnsi="方正仿宋_GB2312" w:eastAsia="方正仿宋_GB2312" w:cs="方正仿宋_GB2312"/>
          <w:b/>
          <w:bCs/>
          <w:color w:val="auto"/>
          <w:sz w:val="32"/>
          <w:szCs w:val="32"/>
          <w:lang w:val="en-US" w:eastAsia="zh-CN"/>
        </w:rPr>
        <w:t>K</w:t>
      </w:r>
      <w:r>
        <w:rPr>
          <w:rFonts w:hint="eastAsia" w:ascii="方正仿宋_GB2312" w:hAnsi="方正仿宋_GB2312" w:eastAsia="方正仿宋_GB2312" w:cs="方正仿宋_GB2312"/>
          <w:b/>
          <w:bCs/>
          <w:color w:val="auto"/>
          <w:sz w:val="32"/>
          <w:szCs w:val="32"/>
          <w:lang w:val="en-US" w:eastAsia="zh-CN"/>
        </w:rPr>
        <w:t xml:space="preserve"> </w:t>
      </w:r>
      <w:r>
        <w:rPr>
          <w:rFonts w:hint="default" w:ascii="方正仿宋_GB2312" w:hAnsi="方正仿宋_GB2312" w:eastAsia="方正仿宋_GB2312" w:cs="方正仿宋_GB2312"/>
          <w:b/>
          <w:bCs/>
          <w:color w:val="auto"/>
          <w:sz w:val="32"/>
          <w:szCs w:val="32"/>
          <w:lang w:val="en-US" w:eastAsia="zh-CN"/>
        </w:rPr>
        <w:t>歌沐足店</w:t>
      </w:r>
    </w:p>
    <w:p w14:paraId="4209EE5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2"/>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三亚津海建材市场 K 歌沐足店作为工程发包方，未依法履行安全生产主体责任，其主要负责人常耀辉、孙海军未建立健全安全生产管理体系，刻意规避法定安全义务、在合同中设定违法免责条款转移自身安全责任，且对承包方鳄鱼公司的违法转包行为放任不管、未履行施工全过程安全监督义务。</w:t>
      </w:r>
    </w:p>
    <w:p w14:paraId="7938415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2"/>
        <w:rPr>
          <w:rFonts w:hint="default"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3.</w:t>
      </w:r>
      <w:r>
        <w:rPr>
          <w:rFonts w:hint="default" w:ascii="方正仿宋_GB2312" w:hAnsi="方正仿宋_GB2312" w:eastAsia="方正仿宋_GB2312" w:cs="方正仿宋_GB2312"/>
          <w:b/>
          <w:bCs/>
          <w:color w:val="auto"/>
          <w:sz w:val="32"/>
          <w:szCs w:val="32"/>
          <w:lang w:val="en-US" w:eastAsia="zh-CN"/>
        </w:rPr>
        <w:t>李永会（实际施工组织者）</w:t>
      </w:r>
    </w:p>
    <w:p w14:paraId="43CB6505">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default" w:ascii="方正仿宋_GB2312" w:hAnsi="方正仿宋_GB2312" w:eastAsia="方正仿宋_GB2312" w:cs="方正仿宋_GB2312"/>
          <w:b w:val="0"/>
          <w:bCs w:val="0"/>
          <w:snapToGrid w:val="0"/>
          <w:color w:val="auto"/>
          <w:kern w:val="0"/>
          <w:sz w:val="32"/>
          <w:szCs w:val="32"/>
          <w:lang w:val="en-US" w:eastAsia="zh-CN"/>
        </w:rPr>
        <w:t>以无资质个人身份承揽打拆及清理工程，不具备作业安全条件；与鳄鱼公司签订合同后，未履行生产经营单位主要负责人职责，未制定安全施工方案、配备防护设施及开展隐患排查，对现场不安全行为未制止，放任高空抛物、违章作业，导致现场安全管理完全失控。</w:t>
      </w:r>
    </w:p>
    <w:p w14:paraId="0DEF25B0">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2"/>
        <w:rPr>
          <w:rFonts w:hint="default"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4.</w:t>
      </w:r>
      <w:r>
        <w:rPr>
          <w:rFonts w:hint="default" w:ascii="方正仿宋_GB2312" w:hAnsi="方正仿宋_GB2312" w:eastAsia="方正仿宋_GB2312" w:cs="方正仿宋_GB2312"/>
          <w:b/>
          <w:bCs/>
          <w:color w:val="auto"/>
          <w:sz w:val="32"/>
          <w:szCs w:val="32"/>
          <w:lang w:val="en-US" w:eastAsia="zh-CN"/>
        </w:rPr>
        <w:t>三亚津海物业发展有限公司</w:t>
      </w:r>
    </w:p>
    <w:p w14:paraId="070E1705">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default" w:ascii="方正仿宋_GB2312" w:hAnsi="方正仿宋_GB2312" w:eastAsia="方正仿宋_GB2312" w:cs="方正仿宋_GB2312"/>
          <w:b w:val="0"/>
          <w:bCs w:val="0"/>
          <w:snapToGrid w:val="0"/>
          <w:color w:val="auto"/>
          <w:kern w:val="0"/>
          <w:sz w:val="32"/>
          <w:szCs w:val="32"/>
          <w:lang w:val="en-US" w:eastAsia="zh-CN"/>
        </w:rPr>
        <w:t>作为出租方，虽签订《安全协议书》《装修管理协议》但未有效落实监管义务，未及时发现和制止承租方、施工单位的违法转包、无资质施工、安全防护缺失等问题，未尽到出租场地安全管理及协同监管义务。</w:t>
      </w:r>
    </w:p>
    <w:p w14:paraId="553ED1F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2"/>
        <w:rPr>
          <w:rFonts w:hint="default"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5.邓高（打拆垃圾承运人）</w:t>
      </w:r>
    </w:p>
    <w:p w14:paraId="38B0E5D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作为涉事K歌沐足店打拆清理作业的垃圾承运人，存在多项违法违规行为：一是未取得建筑垃圾运输核准手续，车辆未配备法定要求的全密闭防撒漏、卫星定位电子装置，属于非法承运建筑垃圾的行为；二是违章冒险作业，违规站在货车车顶指挥高空抛物且未佩戴安全防护用品；三是主动配合高空抛物；四是安全意识缺失，未履行安全注意义务；其上述行为对事故发生存在主观过失。</w:t>
      </w:r>
    </w:p>
    <w:p w14:paraId="4755DC9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lang w:val="en-US" w:eastAsia="zh-CN" w:bidi="ar-SA"/>
        </w:rPr>
      </w:pPr>
      <w:bookmarkStart w:id="27" w:name="_Toc26173"/>
      <w:r>
        <w:rPr>
          <w:rStyle w:val="15"/>
          <w:rFonts w:hint="eastAsia" w:ascii="方正楷体_GB2312" w:hAnsi="方正楷体_GB2312" w:eastAsia="方正楷体_GB2312" w:cs="方正楷体_GB2312"/>
          <w:b w:val="0"/>
          <w:bCs/>
          <w:snapToGrid/>
          <w:color w:val="auto"/>
          <w:kern w:val="2"/>
          <w:szCs w:val="24"/>
          <w:lang w:val="en-US" w:eastAsia="zh-CN" w:bidi="ar-SA"/>
        </w:rPr>
        <w:t>（二）有关监管部门</w:t>
      </w:r>
      <w:bookmarkEnd w:id="27"/>
    </w:p>
    <w:p w14:paraId="701AB3B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default" w:ascii="方正仿宋_GB2312" w:hAnsi="方正仿宋_GB2312" w:eastAsia="方正仿宋_GB2312" w:cs="方正仿宋_GB2312"/>
          <w:b w:val="0"/>
          <w:bCs w:val="0"/>
          <w:snapToGrid w:val="0"/>
          <w:color w:val="auto"/>
          <w:kern w:val="0"/>
          <w:sz w:val="32"/>
          <w:szCs w:val="32"/>
          <w:lang w:val="en-US" w:eastAsia="zh-CN"/>
        </w:rPr>
        <w:t>日常监管存在盲区，对涉事工程违法违规行为未及时发现制止，监管力度不足。</w:t>
      </w:r>
    </w:p>
    <w:p w14:paraId="24FEBC8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lang w:val="en-US" w:eastAsia="zh-CN" w:bidi="ar-SA"/>
        </w:rPr>
      </w:pPr>
      <w:bookmarkStart w:id="28" w:name="_Toc23791"/>
      <w:r>
        <w:rPr>
          <w:rStyle w:val="15"/>
          <w:rFonts w:hint="eastAsia" w:ascii="方正楷体_GB2312" w:hAnsi="方正楷体_GB2312" w:eastAsia="方正楷体_GB2312" w:cs="方正楷体_GB2312"/>
          <w:b w:val="0"/>
          <w:bCs/>
          <w:snapToGrid/>
          <w:color w:val="auto"/>
          <w:kern w:val="2"/>
          <w:szCs w:val="24"/>
          <w:lang w:val="en-US" w:eastAsia="zh-CN" w:bidi="ar-SA"/>
        </w:rPr>
        <w:t>（三）地方党委政府</w:t>
      </w:r>
      <w:bookmarkEnd w:id="28"/>
    </w:p>
    <w:p w14:paraId="06D201D5">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9"/>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default" w:ascii="方正仿宋_GB2312" w:hAnsi="方正仿宋_GB2312" w:eastAsia="方正仿宋_GB2312" w:cs="方正仿宋_GB2312"/>
          <w:b w:val="0"/>
          <w:bCs w:val="0"/>
          <w:snapToGrid w:val="0"/>
          <w:color w:val="auto"/>
          <w:kern w:val="0"/>
          <w:sz w:val="32"/>
          <w:szCs w:val="32"/>
          <w:lang w:val="en-US" w:eastAsia="zh-CN"/>
        </w:rPr>
        <w:t>属地管理责任落实不扎实，对建筑装修领域安全统筹部署、督促检查不到位，风险防控存在薄弱环节。</w:t>
      </w:r>
    </w:p>
    <w:p w14:paraId="3311072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0"/>
        <w:rPr>
          <w:rFonts w:hint="eastAsia" w:ascii="黑体" w:hAnsi="黑体" w:eastAsia="黑体" w:cs="黑体"/>
          <w:b w:val="0"/>
          <w:bCs w:val="0"/>
          <w:snapToGrid w:val="0"/>
          <w:color w:val="auto"/>
          <w:kern w:val="0"/>
          <w:sz w:val="32"/>
          <w:szCs w:val="32"/>
          <w:lang w:val="en-US" w:eastAsia="zh-CN"/>
        </w:rPr>
      </w:pPr>
      <w:bookmarkStart w:id="29" w:name="_Toc2825"/>
      <w:r>
        <w:rPr>
          <w:rFonts w:hint="eastAsia" w:ascii="黑体" w:hAnsi="黑体" w:eastAsia="黑体" w:cs="黑体"/>
          <w:b w:val="0"/>
          <w:bCs w:val="0"/>
          <w:snapToGrid w:val="0"/>
          <w:color w:val="auto"/>
          <w:kern w:val="0"/>
          <w:sz w:val="32"/>
          <w:szCs w:val="32"/>
          <w:lang w:val="en-US" w:eastAsia="zh-CN"/>
        </w:rPr>
        <w:t>五、对有关责任人员和责任单位的处理建议</w:t>
      </w:r>
      <w:bookmarkEnd w:id="29"/>
    </w:p>
    <w:p w14:paraId="7D56CD6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lang w:val="en-US" w:eastAsia="zh-CN" w:bidi="ar-SA"/>
        </w:rPr>
      </w:pPr>
      <w:bookmarkStart w:id="30" w:name="_Toc27998"/>
      <w:r>
        <w:rPr>
          <w:rStyle w:val="15"/>
          <w:rFonts w:hint="eastAsia" w:ascii="方正楷体_GB2312" w:hAnsi="方正楷体_GB2312" w:eastAsia="方正楷体_GB2312" w:cs="方正楷体_GB2312"/>
          <w:b w:val="0"/>
          <w:bCs/>
          <w:snapToGrid/>
          <w:color w:val="auto"/>
          <w:kern w:val="2"/>
          <w:szCs w:val="24"/>
          <w:lang w:val="en-US" w:eastAsia="zh-CN" w:bidi="ar-SA"/>
        </w:rPr>
        <w:t>（一）因在事故中死亡免予或不予追究责任人员</w:t>
      </w:r>
      <w:bookmarkEnd w:id="30"/>
    </w:p>
    <w:p w14:paraId="095BAECB">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邓某，男，群众，系涉事工地垃圾清运车司机，2024年8月21日左右与李玉堂口头约定承接垃圾清运业务，因在本次事故中死亡，建议免予追究其责任。</w:t>
      </w:r>
    </w:p>
    <w:p w14:paraId="007063D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lang w:val="en-US" w:eastAsia="zh-CN" w:bidi="ar-SA"/>
        </w:rPr>
      </w:pPr>
      <w:bookmarkStart w:id="31" w:name="_Toc22244"/>
      <w:r>
        <w:rPr>
          <w:rStyle w:val="15"/>
          <w:rFonts w:hint="eastAsia" w:ascii="方正楷体_GB2312" w:hAnsi="方正楷体_GB2312" w:eastAsia="方正楷体_GB2312" w:cs="方正楷体_GB2312"/>
          <w:b w:val="0"/>
          <w:bCs/>
          <w:snapToGrid/>
          <w:color w:val="auto"/>
          <w:kern w:val="2"/>
          <w:szCs w:val="24"/>
          <w:lang w:val="en-US" w:eastAsia="zh-CN" w:bidi="ar-SA"/>
        </w:rPr>
        <w:t>（二）已被司法机关采取强制措施人员</w:t>
      </w:r>
      <w:bookmarkEnd w:id="31"/>
    </w:p>
    <w:p w14:paraId="68CE13AC">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李永会，男，群众，系涉事工程实际施工组织者。2024 年 8 月 22 日，其承接案涉打拆及清理工程，施工期间安全意识淡薄，风险辨识能力不足，在未设置任何安全防护措施的情况下，违规从三楼向地面抛掷木板，致使木板砸中邓某并造成其死亡的严重后果。</w:t>
      </w:r>
    </w:p>
    <w:p w14:paraId="67ED134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其上述作业行为，已触犯《中华人民共和国刑法》第一百三十四条第一款之规定</w:t>
      </w:r>
      <w:r>
        <w:rPr>
          <w:rStyle w:val="14"/>
          <w:rFonts w:hint="eastAsia" w:ascii="方正仿宋_GB2312" w:hAnsi="方正仿宋_GB2312" w:eastAsia="方正仿宋_GB2312" w:cs="方正仿宋_GB2312"/>
          <w:b w:val="0"/>
          <w:bCs w:val="0"/>
          <w:snapToGrid w:val="0"/>
          <w:color w:val="auto"/>
          <w:kern w:val="0"/>
          <w:sz w:val="32"/>
          <w:szCs w:val="32"/>
          <w:lang w:val="en-US" w:eastAsia="zh-CN"/>
        </w:rPr>
        <w:t>[</w:t>
      </w:r>
      <w:r>
        <w:rPr>
          <w:rStyle w:val="14"/>
          <w:rFonts w:hint="eastAsia" w:ascii="方正仿宋_GB2312" w:hAnsi="方正仿宋_GB2312" w:eastAsia="方正仿宋_GB2312" w:cs="方正仿宋_GB2312"/>
          <w:b w:val="0"/>
          <w:bCs w:val="0"/>
          <w:snapToGrid w:val="0"/>
          <w:color w:val="auto"/>
          <w:kern w:val="0"/>
          <w:sz w:val="32"/>
          <w:szCs w:val="32"/>
          <w:lang w:val="en-US" w:eastAsia="zh-CN"/>
        </w:rPr>
        <w:footnoteReference w:id="3"/>
      </w:r>
      <w:r>
        <w:rPr>
          <w:rStyle w:val="14"/>
          <w:rFonts w:hint="eastAsia" w:ascii="方正仿宋_GB2312" w:hAnsi="方正仿宋_GB2312" w:eastAsia="方正仿宋_GB2312" w:cs="方正仿宋_GB2312"/>
          <w:b w:val="0"/>
          <w:bCs w:val="0"/>
          <w:snapToGrid w:val="0"/>
          <w:color w:val="auto"/>
          <w:kern w:val="0"/>
          <w:sz w:val="32"/>
          <w:szCs w:val="32"/>
          <w:lang w:val="en-US" w:eastAsia="zh-CN"/>
        </w:rPr>
        <w:t>]</w:t>
      </w:r>
      <w:r>
        <w:rPr>
          <w:rFonts w:hint="eastAsia" w:ascii="方正仿宋_GB2312" w:hAnsi="方正仿宋_GB2312" w:eastAsia="方正仿宋_GB2312" w:cs="方正仿宋_GB2312"/>
          <w:b w:val="0"/>
          <w:bCs w:val="0"/>
          <w:snapToGrid w:val="0"/>
          <w:color w:val="auto"/>
          <w:kern w:val="0"/>
          <w:sz w:val="32"/>
          <w:szCs w:val="32"/>
          <w:lang w:val="en-US" w:eastAsia="zh-CN"/>
        </w:rPr>
        <w:t>，涉嫌刑事犯罪。事故发生后，李永会主动投案自首，经司法机关依法审理，海南省三亚市城郊人民法院已作出判决，判决书编号：（2025）琼 0271 刑初 372 号，判处其有期徒刑二年六个月，目前李永会已被司法机关依法采取强制措施。</w:t>
      </w:r>
    </w:p>
    <w:p w14:paraId="22C0728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同时，李永会作为现场实际施工组织管理人，未依法落实安全生产管理责任，现场风险管控缺失、安全防护措施缺位，相关行为违反《中华人民共和国安全生产法》《中华人民共和国主席令（第八十八号）》第二十一条第五项相关规定</w:t>
      </w:r>
      <w:r>
        <w:rPr>
          <w:rStyle w:val="14"/>
          <w:rFonts w:hint="eastAsia" w:ascii="方正仿宋_GB2312" w:hAnsi="方正仿宋_GB2312" w:eastAsia="方正仿宋_GB2312" w:cs="方正仿宋_GB2312"/>
          <w:b w:val="0"/>
          <w:bCs w:val="0"/>
          <w:snapToGrid w:val="0"/>
          <w:color w:val="auto"/>
          <w:kern w:val="0"/>
          <w:sz w:val="32"/>
          <w:szCs w:val="32"/>
          <w:lang w:val="en-US" w:eastAsia="zh-CN"/>
        </w:rPr>
        <w:t>[</w:t>
      </w:r>
      <w:r>
        <w:rPr>
          <w:rStyle w:val="14"/>
          <w:rFonts w:hint="eastAsia" w:ascii="方正仿宋_GB2312" w:hAnsi="方正仿宋_GB2312" w:eastAsia="方正仿宋_GB2312" w:cs="方正仿宋_GB2312"/>
          <w:b w:val="0"/>
          <w:bCs w:val="0"/>
          <w:snapToGrid w:val="0"/>
          <w:color w:val="auto"/>
          <w:kern w:val="0"/>
          <w:sz w:val="32"/>
          <w:szCs w:val="32"/>
          <w:lang w:val="en-US" w:eastAsia="zh-CN"/>
        </w:rPr>
        <w:footnoteReference w:id="4"/>
      </w:r>
      <w:r>
        <w:rPr>
          <w:rStyle w:val="14"/>
          <w:rFonts w:hint="eastAsia" w:ascii="方正仿宋_GB2312" w:hAnsi="方正仿宋_GB2312" w:eastAsia="方正仿宋_GB2312" w:cs="方正仿宋_GB2312"/>
          <w:b w:val="0"/>
          <w:bCs w:val="0"/>
          <w:snapToGrid w:val="0"/>
          <w:color w:val="auto"/>
          <w:kern w:val="0"/>
          <w:sz w:val="32"/>
          <w:szCs w:val="32"/>
          <w:lang w:val="en-US" w:eastAsia="zh-CN"/>
        </w:rPr>
        <w:t>]</w:t>
      </w:r>
      <w:r>
        <w:rPr>
          <w:rFonts w:hint="eastAsia" w:ascii="方正仿宋_GB2312" w:hAnsi="方正仿宋_GB2312" w:eastAsia="方正仿宋_GB2312" w:cs="方正仿宋_GB2312"/>
          <w:b w:val="0"/>
          <w:bCs w:val="0"/>
          <w:snapToGrid w:val="0"/>
          <w:color w:val="auto"/>
          <w:kern w:val="0"/>
          <w:sz w:val="32"/>
          <w:szCs w:val="32"/>
          <w:lang w:val="en-US" w:eastAsia="zh-CN"/>
        </w:rPr>
        <w:t>。建议行政执法部门依据《中华人民共和国安全生产法》《中华人民共和国主席令（第八十八号）》第九十四条规定</w:t>
      </w:r>
      <w:r>
        <w:rPr>
          <w:rStyle w:val="14"/>
          <w:rFonts w:hint="eastAsia" w:ascii="方正仿宋_GB2312" w:hAnsi="方正仿宋_GB2312" w:eastAsia="方正仿宋_GB2312" w:cs="方正仿宋_GB2312"/>
          <w:b w:val="0"/>
          <w:bCs w:val="0"/>
          <w:snapToGrid w:val="0"/>
          <w:color w:val="auto"/>
          <w:kern w:val="0"/>
          <w:sz w:val="32"/>
          <w:szCs w:val="32"/>
          <w:lang w:val="en-US" w:eastAsia="zh-CN"/>
        </w:rPr>
        <w:t>[</w:t>
      </w:r>
      <w:r>
        <w:rPr>
          <w:rStyle w:val="14"/>
          <w:rFonts w:hint="eastAsia" w:ascii="方正仿宋_GB2312" w:hAnsi="方正仿宋_GB2312" w:eastAsia="方正仿宋_GB2312" w:cs="方正仿宋_GB2312"/>
          <w:b w:val="0"/>
          <w:bCs w:val="0"/>
          <w:snapToGrid w:val="0"/>
          <w:color w:val="auto"/>
          <w:kern w:val="0"/>
          <w:sz w:val="32"/>
          <w:szCs w:val="32"/>
          <w:lang w:val="en-US" w:eastAsia="zh-CN"/>
        </w:rPr>
        <w:footnoteReference w:id="5"/>
      </w:r>
      <w:r>
        <w:rPr>
          <w:rStyle w:val="14"/>
          <w:rFonts w:hint="eastAsia" w:ascii="方正仿宋_GB2312" w:hAnsi="方正仿宋_GB2312" w:eastAsia="方正仿宋_GB2312" w:cs="方正仿宋_GB2312"/>
          <w:b w:val="0"/>
          <w:bCs w:val="0"/>
          <w:snapToGrid w:val="0"/>
          <w:color w:val="auto"/>
          <w:kern w:val="0"/>
          <w:sz w:val="32"/>
          <w:szCs w:val="32"/>
          <w:lang w:val="en-US" w:eastAsia="zh-CN"/>
        </w:rPr>
        <w:t>]</w:t>
      </w:r>
      <w:r>
        <w:rPr>
          <w:rFonts w:hint="eastAsia" w:ascii="方正仿宋_GB2312" w:hAnsi="方正仿宋_GB2312" w:eastAsia="方正仿宋_GB2312" w:cs="方正仿宋_GB2312"/>
          <w:b w:val="0"/>
          <w:bCs w:val="0"/>
          <w:snapToGrid w:val="0"/>
          <w:color w:val="auto"/>
          <w:kern w:val="0"/>
          <w:sz w:val="32"/>
          <w:szCs w:val="32"/>
          <w:lang w:val="en-US" w:eastAsia="zh-CN"/>
        </w:rPr>
        <w:t>，对其予以行政处罚；综合考量其具有自首法定从轻、减轻情节，建议行政机关在裁量处罚时，依法予以从轻或减轻处理。</w:t>
      </w:r>
    </w:p>
    <w:p w14:paraId="4FCD6F6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lang w:val="en-US" w:eastAsia="zh-CN" w:bidi="ar-SA"/>
        </w:rPr>
      </w:pPr>
      <w:bookmarkStart w:id="32" w:name="_Toc9580"/>
      <w:r>
        <w:rPr>
          <w:rStyle w:val="15"/>
          <w:rFonts w:hint="eastAsia" w:ascii="方正楷体_GB2312" w:hAnsi="方正楷体_GB2312" w:eastAsia="方正楷体_GB2312" w:cs="方正楷体_GB2312"/>
          <w:b w:val="0"/>
          <w:bCs/>
          <w:snapToGrid/>
          <w:color w:val="auto"/>
          <w:kern w:val="2"/>
          <w:szCs w:val="24"/>
          <w:lang w:val="en-US" w:eastAsia="zh-CN" w:bidi="ar-SA"/>
        </w:rPr>
        <w:t> （三）建议移送司法机关处理的人员</w:t>
      </w:r>
      <w:bookmarkEnd w:id="32"/>
    </w:p>
    <w:p w14:paraId="7C55F39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陈夫，男，群众，海南鳄鱼建筑工程有限公司法定代表人，自2020年9月公司注册起全面负责经营管理及工程承揽、分包工作，其将打拆工程全部转包给无资质的李永会，未审核其安全生产条件，增设违法免责条款转移安全责任，转包后未履行安全监管职责，导致现场安全管理失控、引发1人死亡事故，负主要责任，其行为违反《中华人民共和国刑法》第一百三十四条第一款及《中华人民共和国建筑法》（2019修订）第六十七条</w:t>
      </w:r>
      <w:r>
        <w:rPr>
          <w:rStyle w:val="14"/>
          <w:rFonts w:hint="eastAsia" w:ascii="方正仿宋_GB2312" w:hAnsi="方正仿宋_GB2312" w:eastAsia="方正仿宋_GB2312" w:cs="方正仿宋_GB2312"/>
          <w:b w:val="0"/>
          <w:bCs w:val="0"/>
          <w:snapToGrid w:val="0"/>
          <w:color w:val="auto"/>
          <w:kern w:val="0"/>
          <w:sz w:val="32"/>
          <w:szCs w:val="32"/>
          <w:lang w:val="en-US" w:eastAsia="zh-CN"/>
        </w:rPr>
        <w:t>[</w:t>
      </w:r>
      <w:r>
        <w:rPr>
          <w:rStyle w:val="14"/>
          <w:rFonts w:hint="eastAsia" w:ascii="方正仿宋_GB2312" w:hAnsi="方正仿宋_GB2312" w:eastAsia="方正仿宋_GB2312" w:cs="方正仿宋_GB2312"/>
          <w:b w:val="0"/>
          <w:bCs w:val="0"/>
          <w:snapToGrid w:val="0"/>
          <w:color w:val="auto"/>
          <w:kern w:val="0"/>
          <w:sz w:val="32"/>
          <w:szCs w:val="32"/>
          <w:lang w:val="en-US" w:eastAsia="zh-CN"/>
        </w:rPr>
        <w:footnoteReference w:id="6"/>
      </w:r>
      <w:r>
        <w:rPr>
          <w:rStyle w:val="14"/>
          <w:rFonts w:hint="eastAsia" w:ascii="方正仿宋_GB2312" w:hAnsi="方正仿宋_GB2312" w:eastAsia="方正仿宋_GB2312" w:cs="方正仿宋_GB2312"/>
          <w:b w:val="0"/>
          <w:bCs w:val="0"/>
          <w:snapToGrid w:val="0"/>
          <w:color w:val="auto"/>
          <w:kern w:val="0"/>
          <w:sz w:val="32"/>
          <w:szCs w:val="32"/>
          <w:lang w:val="en-US" w:eastAsia="zh-CN"/>
        </w:rPr>
        <w:t>]</w:t>
      </w:r>
      <w:r>
        <w:rPr>
          <w:rFonts w:hint="eastAsia" w:ascii="方正仿宋_GB2312" w:hAnsi="方正仿宋_GB2312" w:eastAsia="方正仿宋_GB2312" w:cs="方正仿宋_GB2312"/>
          <w:b w:val="0"/>
          <w:bCs w:val="0"/>
          <w:snapToGrid w:val="0"/>
          <w:color w:val="auto"/>
          <w:kern w:val="0"/>
          <w:sz w:val="32"/>
          <w:szCs w:val="32"/>
          <w:lang w:val="en-US" w:eastAsia="zh-CN"/>
        </w:rPr>
        <w:t>规定，建议移送司法机关依法追究其刑事责任。</w:t>
      </w:r>
    </w:p>
    <w:p w14:paraId="248FDE4A">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eastAsia" w:ascii="方正楷体_GB2312" w:hAnsi="方正楷体_GB2312" w:eastAsia="方正楷体_GB2312" w:cs="方正楷体_GB2312"/>
          <w:b w:val="0"/>
          <w:bCs/>
          <w:snapToGrid/>
          <w:color w:val="auto"/>
          <w:kern w:val="2"/>
          <w:szCs w:val="24"/>
          <w:lang w:val="en-US" w:eastAsia="zh-CN" w:bidi="ar-SA"/>
        </w:rPr>
      </w:pPr>
      <w:r>
        <w:rPr>
          <w:rStyle w:val="15"/>
          <w:rFonts w:hint="eastAsia" w:ascii="方正楷体_GB2312" w:hAnsi="方正楷体_GB2312" w:eastAsia="方正楷体_GB2312" w:cs="方正楷体_GB2312"/>
          <w:b w:val="0"/>
          <w:bCs/>
          <w:snapToGrid/>
          <w:color w:val="auto"/>
          <w:kern w:val="2"/>
          <w:szCs w:val="24"/>
          <w:lang w:val="en-US" w:eastAsia="zh-CN" w:bidi="ar-SA"/>
        </w:rPr>
        <w:t xml:space="preserve"> </w:t>
      </w:r>
      <w:bookmarkStart w:id="33" w:name="_Toc8825"/>
      <w:r>
        <w:rPr>
          <w:rStyle w:val="15"/>
          <w:rFonts w:hint="eastAsia" w:ascii="方正楷体_GB2312" w:hAnsi="方正楷体_GB2312" w:eastAsia="方正楷体_GB2312" w:cs="方正楷体_GB2312"/>
          <w:b w:val="0"/>
          <w:bCs/>
          <w:snapToGrid/>
          <w:color w:val="auto"/>
          <w:kern w:val="2"/>
          <w:szCs w:val="24"/>
          <w:lang w:val="en-US" w:eastAsia="zh-CN" w:bidi="ar-SA"/>
        </w:rPr>
        <w:t>（四）对事故有关责任人员和责任单位的行政处罚建议</w:t>
      </w:r>
      <w:bookmarkEnd w:id="33"/>
    </w:p>
    <w:p w14:paraId="50501FD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9"/>
        <w:rPr>
          <w:rFonts w:hint="eastAsia"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1.对事故有关责任人员的行政处罚建议</w:t>
      </w:r>
    </w:p>
    <w:p w14:paraId="04B28D32">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（1）常耀辉</w:t>
      </w:r>
    </w:p>
    <w:p w14:paraId="4031824B">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常耀辉，男，群众，三亚津海建材市场K歌沐足店合伙人，负责店铺经营及工程发包事宜，作为工程发包方主要负责人，未建立安全生产管理体系，刻意在合同中设定违法免责条款转移法定安全责任，对承包方违法转包行为视而不见，未履行安全监督义务，负重要责任。违反《中华人民共和国安全生产法》《中华人民共和国主席令（第八十八号）》第二十一条，建议由行政执法部门依据《中华人民共和国安全生产法》《中华人民共和国主席令（第八十八号）》第九十五条</w:t>
      </w:r>
      <w:r>
        <w:rPr>
          <w:rStyle w:val="14"/>
          <w:rFonts w:hint="eastAsia" w:ascii="方正仿宋_GB2312" w:hAnsi="方正仿宋_GB2312" w:eastAsia="方正仿宋_GB2312" w:cs="方正仿宋_GB2312"/>
          <w:b w:val="0"/>
          <w:bCs w:val="0"/>
          <w:snapToGrid w:val="0"/>
          <w:color w:val="auto"/>
          <w:kern w:val="0"/>
          <w:sz w:val="32"/>
          <w:szCs w:val="32"/>
          <w:lang w:val="en-US" w:eastAsia="zh-CN"/>
        </w:rPr>
        <w:t>[</w:t>
      </w:r>
      <w:r>
        <w:rPr>
          <w:rStyle w:val="14"/>
          <w:rFonts w:hint="eastAsia" w:ascii="方正仿宋_GB2312" w:hAnsi="方正仿宋_GB2312" w:eastAsia="方正仿宋_GB2312" w:cs="方正仿宋_GB2312"/>
          <w:b w:val="0"/>
          <w:bCs w:val="0"/>
          <w:snapToGrid w:val="0"/>
          <w:color w:val="auto"/>
          <w:kern w:val="0"/>
          <w:sz w:val="32"/>
          <w:szCs w:val="32"/>
          <w:lang w:val="en-US" w:eastAsia="zh-CN"/>
        </w:rPr>
        <w:footnoteReference w:id="7"/>
      </w:r>
      <w:r>
        <w:rPr>
          <w:rStyle w:val="14"/>
          <w:rFonts w:hint="eastAsia" w:ascii="方正仿宋_GB2312" w:hAnsi="方正仿宋_GB2312" w:eastAsia="方正仿宋_GB2312" w:cs="方正仿宋_GB2312"/>
          <w:b w:val="0"/>
          <w:bCs w:val="0"/>
          <w:snapToGrid w:val="0"/>
          <w:color w:val="auto"/>
          <w:kern w:val="0"/>
          <w:sz w:val="32"/>
          <w:szCs w:val="32"/>
          <w:lang w:val="en-US" w:eastAsia="zh-CN"/>
        </w:rPr>
        <w:t>]</w:t>
      </w:r>
      <w:r>
        <w:rPr>
          <w:rFonts w:hint="eastAsia" w:ascii="方正仿宋_GB2312" w:hAnsi="方正仿宋_GB2312" w:eastAsia="方正仿宋_GB2312" w:cs="方正仿宋_GB2312"/>
          <w:b w:val="0"/>
          <w:bCs w:val="0"/>
          <w:snapToGrid w:val="0"/>
          <w:color w:val="auto"/>
          <w:kern w:val="0"/>
          <w:sz w:val="32"/>
          <w:szCs w:val="32"/>
          <w:lang w:val="en-US" w:eastAsia="zh-CN"/>
        </w:rPr>
        <w:t>相关规定对其进行处罚。</w:t>
      </w:r>
    </w:p>
    <w:p w14:paraId="42565B4D">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（2）孙海军</w:t>
      </w:r>
    </w:p>
    <w:p w14:paraId="5FCC8AA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孙海军，男，群众，三亚津海建材市场K歌沐足店合伙人，协助负责店铺装修及安全管理相关工作，未履行安全监管义务，对承包方违法转包、现场违规作业等行为未及时发现和制止，放任安全风险蔓延，负次要责任。违反《中华人民共和国安全生产法》《中华人民共和国主席令（第八十八号）》第二十一条，建议由行政执法部门依据《中华人民共和国安全生产法》《中华人民共和国主席令（第八十八号）》第九十五条相关规定对其进行处罚。</w:t>
      </w:r>
    </w:p>
    <w:p w14:paraId="72B8F146">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outlineLvl w:val="9"/>
        <w:rPr>
          <w:rFonts w:hint="eastAsia" w:ascii="方正仿宋_GB2312" w:hAnsi="方正仿宋_GB2312" w:eastAsia="方正仿宋_GB2312" w:cs="方正仿宋_GB2312"/>
          <w:b/>
          <w:bCs/>
          <w:color w:val="auto"/>
          <w:sz w:val="32"/>
          <w:szCs w:val="32"/>
          <w:lang w:val="en-US" w:eastAsia="zh-CN"/>
        </w:rPr>
      </w:pPr>
      <w:r>
        <w:rPr>
          <w:rFonts w:hint="eastAsia" w:ascii="方正仿宋_GB2312" w:hAnsi="方正仿宋_GB2312" w:eastAsia="方正仿宋_GB2312" w:cs="方正仿宋_GB2312"/>
          <w:b/>
          <w:bCs/>
          <w:color w:val="auto"/>
          <w:sz w:val="32"/>
          <w:szCs w:val="32"/>
          <w:lang w:val="en-US" w:eastAsia="zh-CN"/>
        </w:rPr>
        <w:t>2.对事故有关责任单位的行政处罚建议</w:t>
      </w:r>
    </w:p>
    <w:p w14:paraId="1DFDE8F5">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（1）海南鳄鱼建筑工程有限公司</w:t>
      </w:r>
    </w:p>
    <w:p w14:paraId="14BF6F3B">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因违法转包工程给无资质自然人、未审核承包方安全生产条件、增设违法免责条款转移安全责任、转包后未履行安全监管等法定职责，违反《中华人民共和国建筑法》（2019修订）第二十八条</w:t>
      </w:r>
      <w:r>
        <w:rPr>
          <w:rStyle w:val="14"/>
          <w:rFonts w:hint="eastAsia" w:ascii="方正仿宋_GB2312" w:hAnsi="方正仿宋_GB2312" w:eastAsia="方正仿宋_GB2312" w:cs="方正仿宋_GB2312"/>
          <w:b w:val="0"/>
          <w:bCs w:val="0"/>
          <w:snapToGrid w:val="0"/>
          <w:color w:val="auto"/>
          <w:kern w:val="0"/>
          <w:sz w:val="32"/>
          <w:szCs w:val="32"/>
          <w:lang w:val="en-US" w:eastAsia="zh-CN"/>
        </w:rPr>
        <w:t>[</w:t>
      </w:r>
      <w:r>
        <w:rPr>
          <w:rStyle w:val="14"/>
          <w:rFonts w:hint="eastAsia" w:ascii="方正仿宋_GB2312" w:hAnsi="方正仿宋_GB2312" w:eastAsia="方正仿宋_GB2312" w:cs="方正仿宋_GB2312"/>
          <w:b w:val="0"/>
          <w:bCs w:val="0"/>
          <w:snapToGrid w:val="0"/>
          <w:color w:val="auto"/>
          <w:kern w:val="0"/>
          <w:sz w:val="32"/>
          <w:szCs w:val="32"/>
          <w:lang w:val="en-US" w:eastAsia="zh-CN"/>
        </w:rPr>
        <w:footnoteReference w:id="8"/>
      </w:r>
      <w:r>
        <w:rPr>
          <w:rStyle w:val="14"/>
          <w:rFonts w:hint="eastAsia" w:ascii="方正仿宋_GB2312" w:hAnsi="方正仿宋_GB2312" w:eastAsia="方正仿宋_GB2312" w:cs="方正仿宋_GB2312"/>
          <w:b w:val="0"/>
          <w:bCs w:val="0"/>
          <w:snapToGrid w:val="0"/>
          <w:color w:val="auto"/>
          <w:kern w:val="0"/>
          <w:sz w:val="32"/>
          <w:szCs w:val="32"/>
          <w:lang w:val="en-US" w:eastAsia="zh-CN"/>
        </w:rPr>
        <w:t>]</w:t>
      </w:r>
      <w:r>
        <w:rPr>
          <w:rFonts w:hint="eastAsia" w:ascii="方正仿宋_GB2312" w:hAnsi="方正仿宋_GB2312" w:eastAsia="方正仿宋_GB2312" w:cs="方正仿宋_GB2312"/>
          <w:b w:val="0"/>
          <w:bCs w:val="0"/>
          <w:snapToGrid w:val="0"/>
          <w:color w:val="auto"/>
          <w:kern w:val="0"/>
          <w:sz w:val="32"/>
          <w:szCs w:val="32"/>
          <w:lang w:val="en-US" w:eastAsia="zh-CN"/>
        </w:rPr>
        <w:t>及《中华人民共和国安全生产法》《中华人民共和国主席令（第八十八号）》第四十九条</w:t>
      </w:r>
      <w:r>
        <w:rPr>
          <w:rStyle w:val="14"/>
          <w:rFonts w:hint="eastAsia" w:ascii="方正仿宋_GB2312" w:hAnsi="方正仿宋_GB2312" w:eastAsia="方正仿宋_GB2312" w:cs="方正仿宋_GB2312"/>
          <w:b w:val="0"/>
          <w:bCs w:val="0"/>
          <w:snapToGrid w:val="0"/>
          <w:color w:val="auto"/>
          <w:kern w:val="0"/>
          <w:sz w:val="32"/>
          <w:szCs w:val="32"/>
          <w:lang w:val="en-US" w:eastAsia="zh-CN"/>
        </w:rPr>
        <w:t>[</w:t>
      </w:r>
      <w:r>
        <w:rPr>
          <w:rStyle w:val="14"/>
          <w:rFonts w:hint="eastAsia" w:ascii="方正仿宋_GB2312" w:hAnsi="方正仿宋_GB2312" w:eastAsia="方正仿宋_GB2312" w:cs="方正仿宋_GB2312"/>
          <w:b w:val="0"/>
          <w:bCs w:val="0"/>
          <w:snapToGrid w:val="0"/>
          <w:color w:val="auto"/>
          <w:kern w:val="0"/>
          <w:sz w:val="32"/>
          <w:szCs w:val="32"/>
          <w:lang w:val="en-US" w:eastAsia="zh-CN"/>
        </w:rPr>
        <w:footnoteReference w:id="9"/>
      </w:r>
      <w:r>
        <w:rPr>
          <w:rStyle w:val="14"/>
          <w:rFonts w:hint="eastAsia" w:ascii="方正仿宋_GB2312" w:hAnsi="方正仿宋_GB2312" w:eastAsia="方正仿宋_GB2312" w:cs="方正仿宋_GB2312"/>
          <w:b w:val="0"/>
          <w:bCs w:val="0"/>
          <w:snapToGrid w:val="0"/>
          <w:color w:val="auto"/>
          <w:kern w:val="0"/>
          <w:sz w:val="32"/>
          <w:szCs w:val="32"/>
          <w:lang w:val="en-US" w:eastAsia="zh-CN"/>
        </w:rPr>
        <w:t>]</w:t>
      </w:r>
      <w:r>
        <w:rPr>
          <w:rFonts w:hint="eastAsia" w:ascii="方正仿宋_GB2312" w:hAnsi="方正仿宋_GB2312" w:eastAsia="方正仿宋_GB2312" w:cs="方正仿宋_GB2312"/>
          <w:b w:val="0"/>
          <w:bCs w:val="0"/>
          <w:snapToGrid w:val="0"/>
          <w:color w:val="auto"/>
          <w:kern w:val="0"/>
          <w:sz w:val="32"/>
          <w:szCs w:val="32"/>
          <w:lang w:val="en-US" w:eastAsia="zh-CN"/>
        </w:rPr>
        <w:t>规定，建议行政执法部门依据《中华人民共和国安全生产法》《中华人民共和国主席令（第八十八号）》第一百一十四条</w:t>
      </w:r>
      <w:r>
        <w:rPr>
          <w:rStyle w:val="14"/>
          <w:rFonts w:hint="eastAsia" w:ascii="方正仿宋_GB2312" w:hAnsi="方正仿宋_GB2312" w:eastAsia="方正仿宋_GB2312" w:cs="方正仿宋_GB2312"/>
          <w:b w:val="0"/>
          <w:bCs w:val="0"/>
          <w:snapToGrid w:val="0"/>
          <w:color w:val="auto"/>
          <w:kern w:val="0"/>
          <w:sz w:val="32"/>
          <w:szCs w:val="32"/>
          <w:lang w:val="en-US" w:eastAsia="zh-CN"/>
        </w:rPr>
        <w:t>[</w:t>
      </w:r>
      <w:r>
        <w:rPr>
          <w:rStyle w:val="14"/>
          <w:rFonts w:hint="eastAsia" w:ascii="方正仿宋_GB2312" w:hAnsi="方正仿宋_GB2312" w:eastAsia="方正仿宋_GB2312" w:cs="方正仿宋_GB2312"/>
          <w:b w:val="0"/>
          <w:bCs w:val="0"/>
          <w:snapToGrid w:val="0"/>
          <w:color w:val="auto"/>
          <w:kern w:val="0"/>
          <w:sz w:val="32"/>
          <w:szCs w:val="32"/>
          <w:lang w:val="en-US" w:eastAsia="zh-CN"/>
        </w:rPr>
        <w:footnoteReference w:id="10"/>
      </w:r>
      <w:r>
        <w:rPr>
          <w:rStyle w:val="14"/>
          <w:rFonts w:hint="eastAsia" w:ascii="方正仿宋_GB2312" w:hAnsi="方正仿宋_GB2312" w:eastAsia="方正仿宋_GB2312" w:cs="方正仿宋_GB2312"/>
          <w:b w:val="0"/>
          <w:bCs w:val="0"/>
          <w:snapToGrid w:val="0"/>
          <w:color w:val="auto"/>
          <w:kern w:val="0"/>
          <w:sz w:val="32"/>
          <w:szCs w:val="32"/>
          <w:lang w:val="en-US" w:eastAsia="zh-CN"/>
        </w:rPr>
        <w:t>]</w:t>
      </w:r>
      <w:r>
        <w:rPr>
          <w:rFonts w:hint="eastAsia" w:ascii="方正仿宋_GB2312" w:hAnsi="方正仿宋_GB2312" w:eastAsia="方正仿宋_GB2312" w:cs="方正仿宋_GB2312"/>
          <w:b w:val="0"/>
          <w:bCs w:val="0"/>
          <w:snapToGrid w:val="0"/>
          <w:color w:val="auto"/>
          <w:kern w:val="0"/>
          <w:sz w:val="32"/>
          <w:szCs w:val="32"/>
          <w:lang w:val="en-US" w:eastAsia="zh-CN"/>
        </w:rPr>
        <w:t>相关规定对其进行处罚。</w:t>
      </w:r>
    </w:p>
    <w:p w14:paraId="3B84414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（2）三亚津海建材市场K歌沐足店</w:t>
      </w:r>
    </w:p>
    <w:p w14:paraId="54E7C16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作为发包方未履行安全生产主体责任，未建立安全风险管控及隐患排查制度，违法设定免责条款转移安全责任，放任承包方违法转包且未实施安全监督，违反《中华人民共和国安全生产法》第四十九条第二款规定，建议行政执法部门依据《中华人民共和国安全生产法》《中华人民共和国主席令（第八十八号）》第一百一十四条相关规定对其进行处罚。</w:t>
      </w:r>
    </w:p>
    <w:p w14:paraId="0678E763">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（3）三亚津海物业发展有限公司</w:t>
      </w:r>
    </w:p>
    <w:p w14:paraId="2D08ABD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未有效落实出租场地安全监管义务，未及时发现并制止承租方及施工单位的违法违规行为，未履行相关协议约定的监管职责，违反《中华人民共和国安全生产法》第四十九条第二款规定，建议行政执法部门依据《中华人民共和国安全生产法》《中华人民共和国主席令（第八十八号）》第一百一十四条相关规定对其进行处罚。</w:t>
      </w:r>
    </w:p>
    <w:p w14:paraId="68EA1BDE">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bookmarkStart w:id="34" w:name="_Toc5018"/>
      <w:r>
        <w:rPr>
          <w:rStyle w:val="15"/>
          <w:rFonts w:hint="eastAsia" w:ascii="方正楷体_GB2312" w:hAnsi="方正楷体_GB2312" w:eastAsia="方正楷体_GB2312" w:cs="方正楷体_GB2312"/>
          <w:b w:val="0"/>
          <w:bCs/>
          <w:snapToGrid/>
          <w:color w:val="auto"/>
          <w:kern w:val="2"/>
          <w:szCs w:val="24"/>
          <w:lang w:val="en-US" w:eastAsia="zh-CN" w:bidi="ar-SA"/>
        </w:rPr>
        <w:t> </w:t>
      </w:r>
      <w:bookmarkEnd w:id="34"/>
      <w:bookmarkStart w:id="35" w:name="_Toc24784"/>
      <w:r>
        <w:rPr>
          <w:rFonts w:hint="eastAsia" w:ascii="黑体" w:hAnsi="黑体" w:eastAsia="黑体" w:cs="黑体"/>
          <w:b w:val="0"/>
          <w:bCs w:val="0"/>
          <w:snapToGrid w:val="0"/>
          <w:color w:val="auto"/>
          <w:kern w:val="0"/>
          <w:sz w:val="32"/>
          <w:szCs w:val="32"/>
          <w:lang w:val="en-US" w:eastAsia="zh-CN"/>
        </w:rPr>
        <w:t>六、事故主要教训</w:t>
      </w:r>
      <w:bookmarkEnd w:id="35"/>
    </w:p>
    <w:p w14:paraId="613C6634">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方正仿宋_GB2312" w:hAnsi="方正仿宋_GB2312" w:eastAsia="方正仿宋_GB2312" w:cs="方正仿宋_GB2312"/>
          <w:b w:val="0"/>
          <w:bCs w:val="0"/>
          <w:snapToGrid w:val="0"/>
          <w:color w:val="auto"/>
          <w:kern w:val="0"/>
          <w:sz w:val="32"/>
          <w:szCs w:val="32"/>
          <w:lang w:val="en-US" w:eastAsia="zh-CN"/>
        </w:rPr>
      </w:pPr>
      <w:r>
        <w:rPr>
          <w:rFonts w:hint="eastAsia" w:ascii="方正仿宋_GB2312" w:hAnsi="方正仿宋_GB2312" w:eastAsia="方正仿宋_GB2312" w:cs="方正仿宋_GB2312"/>
          <w:b w:val="0"/>
          <w:bCs w:val="0"/>
          <w:snapToGrid w:val="0"/>
          <w:color w:val="auto"/>
          <w:kern w:val="0"/>
          <w:sz w:val="32"/>
          <w:szCs w:val="32"/>
          <w:lang w:val="en-US" w:eastAsia="zh-CN"/>
        </w:rPr>
        <w:t>本次事故主要教训如下：一是安全生产主体责任缺位，涉事各方漠视法定职责，发包方转移责任、承包方违法转包、实际施工者无资质作业、出租方未尽监管义务，形成“层层转包、责任悬空”的混乱局面；二是违法违规行为整治不力，建筑装修领域违法转包、无资质施工等问题突出，相关违法违规行为未被及时制止，市场监管震慑力不足；三是安全监管存在明显盲区，监管部门对小微企业、个体从业者承揽工程管控薄弱，属地与部门协同监管机制未落地，未能及时排查安全隐患；四是从业人员安全素养低下，现场作业人员及负责人未接受正规安全培训，安全防范意识淡薄，未落实安全操作及防护要求，安全宣传教育成效不足；五是安全管理制度执行失效，涉事工程无专项施工方案、无技术交底、无隐患排查记录，垃圾清运等环节仅口头约定，施工现场安全管控处于失控状态。</w:t>
      </w:r>
    </w:p>
    <w:p w14:paraId="33D1E12C">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0"/>
        <w:rPr>
          <w:rFonts w:hint="eastAsia" w:ascii="方正仿宋_GB2312" w:hAnsi="方正仿宋_GB2312" w:eastAsia="方正仿宋_GB2312" w:cs="方正仿宋_GB2312"/>
          <w:b w:val="0"/>
          <w:bCs w:val="0"/>
          <w:snapToGrid w:val="0"/>
          <w:color w:val="auto"/>
          <w:kern w:val="0"/>
          <w:sz w:val="32"/>
          <w:szCs w:val="32"/>
          <w:lang w:val="en-US" w:eastAsia="zh-CN"/>
        </w:rPr>
      </w:pPr>
      <w:bookmarkStart w:id="36" w:name="_Toc19219"/>
      <w:r>
        <w:rPr>
          <w:rFonts w:hint="eastAsia" w:ascii="黑体" w:hAnsi="黑体" w:eastAsia="黑体" w:cs="黑体"/>
          <w:b w:val="0"/>
          <w:bCs w:val="0"/>
          <w:snapToGrid w:val="0"/>
          <w:color w:val="auto"/>
          <w:kern w:val="0"/>
          <w:sz w:val="32"/>
          <w:szCs w:val="32"/>
          <w:lang w:val="en-US" w:eastAsia="zh-CN"/>
        </w:rPr>
        <w:t>七、事故整改和防范措施</w:t>
      </w:r>
      <w:bookmarkEnd w:id="36"/>
    </w:p>
    <w:p w14:paraId="43CDD23C">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lang w:val="en-US" w:eastAsia="zh-CN" w:bidi="ar-SA"/>
        </w:rPr>
      </w:pPr>
      <w:bookmarkStart w:id="37" w:name="_Toc15244"/>
      <w:r>
        <w:rPr>
          <w:rStyle w:val="15"/>
          <w:rFonts w:hint="eastAsia" w:ascii="方正楷体_GB2312" w:hAnsi="方正楷体_GB2312" w:eastAsia="方正楷体_GB2312" w:cs="方正楷体_GB2312"/>
          <w:b w:val="0"/>
          <w:bCs/>
          <w:snapToGrid/>
          <w:color w:val="auto"/>
          <w:kern w:val="2"/>
          <w:szCs w:val="24"/>
          <w:lang w:val="en-US" w:eastAsia="zh-CN" w:bidi="ar-SA"/>
        </w:rPr>
        <w:t>（一）</w:t>
      </w:r>
      <w:r>
        <w:rPr>
          <w:rStyle w:val="15"/>
          <w:rFonts w:hint="default" w:ascii="方正楷体_GB2312" w:hAnsi="方正楷体_GB2312" w:eastAsia="方正楷体_GB2312" w:cs="方正楷体_GB2312"/>
          <w:b w:val="0"/>
          <w:bCs/>
          <w:snapToGrid/>
          <w:color w:val="auto"/>
          <w:kern w:val="2"/>
          <w:szCs w:val="24"/>
          <w:lang w:val="en-US" w:eastAsia="zh-CN" w:bidi="ar-SA"/>
        </w:rPr>
        <w:t>开展专项整治，清零安全隐患</w:t>
      </w:r>
      <w:bookmarkEnd w:id="37"/>
    </w:p>
    <w:bookmarkEnd w:id="25"/>
    <w:p w14:paraId="3DC16E9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default" w:ascii="方正仿宋_GB2312" w:hAnsi="方正仿宋_GB2312" w:eastAsia="方正仿宋_GB2312" w:cs="方正仿宋_GB2312"/>
          <w:b w:val="0"/>
          <w:bCs w:val="0"/>
          <w:snapToGrid w:val="0"/>
          <w:color w:val="auto"/>
          <w:kern w:val="0"/>
          <w:sz w:val="32"/>
          <w:szCs w:val="32"/>
          <w:lang w:val="en-US" w:eastAsia="zh-CN"/>
        </w:rPr>
        <w:t>由吉阳区住建、应急管理部门牵头，联合多部门组织相关主体开展全覆盖安全生产专项整治，重点排查整治违法转包、无资质施工等突出问题，建立隐患台账并实行闭环管理，对整改不到位的从严查处。</w:t>
      </w:r>
    </w:p>
    <w:p w14:paraId="1A17AA0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lang w:val="en-US" w:eastAsia="zh-CN" w:bidi="ar-SA"/>
        </w:rPr>
      </w:pPr>
      <w:bookmarkStart w:id="38" w:name="_Toc11656"/>
      <w:r>
        <w:rPr>
          <w:rStyle w:val="15"/>
          <w:rFonts w:hint="default" w:ascii="方正楷体_GB2312" w:hAnsi="方正楷体_GB2312" w:eastAsia="方正楷体_GB2312" w:cs="方正楷体_GB2312"/>
          <w:b w:val="0"/>
          <w:bCs/>
          <w:snapToGrid/>
          <w:color w:val="auto"/>
          <w:kern w:val="2"/>
          <w:szCs w:val="24"/>
          <w:lang w:val="en-US" w:eastAsia="zh-CN" w:bidi="ar-SA"/>
        </w:rPr>
        <w:t>（二）强化宣传培训，提升安全素养</w:t>
      </w:r>
      <w:bookmarkEnd w:id="38"/>
    </w:p>
    <w:p w14:paraId="1F37CED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default" w:ascii="方正仿宋_GB2312" w:hAnsi="方正仿宋_GB2312" w:eastAsia="方正仿宋_GB2312" w:cs="方正仿宋_GB2312"/>
          <w:b w:val="0"/>
          <w:bCs w:val="0"/>
          <w:snapToGrid w:val="0"/>
          <w:color w:val="auto"/>
          <w:kern w:val="0"/>
          <w:sz w:val="32"/>
          <w:szCs w:val="32"/>
          <w:lang w:val="en-US" w:eastAsia="zh-CN"/>
        </w:rPr>
        <w:t>针对建筑装修领域小微企业、个体从业者开展专项安全培训，普及作业规范和实用安全知识，强化企业负责人及安全管理人员履职培训，压实主体责任，确保作业人员培训合格后上岗。</w:t>
      </w:r>
    </w:p>
    <w:p w14:paraId="08F03BAB">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lang w:val="en-US" w:eastAsia="zh-CN" w:bidi="ar-SA"/>
        </w:rPr>
      </w:pPr>
      <w:bookmarkStart w:id="39" w:name="_Toc22988"/>
      <w:r>
        <w:rPr>
          <w:rStyle w:val="15"/>
          <w:rFonts w:hint="default" w:ascii="方正楷体_GB2312" w:hAnsi="方正楷体_GB2312" w:eastAsia="方正楷体_GB2312" w:cs="方正楷体_GB2312"/>
          <w:b w:val="0"/>
          <w:bCs/>
          <w:snapToGrid/>
          <w:color w:val="auto"/>
          <w:kern w:val="2"/>
          <w:szCs w:val="24"/>
          <w:lang w:val="en-US" w:eastAsia="zh-CN" w:bidi="ar-SA"/>
        </w:rPr>
        <w:t>（三）完善监管机制，消除监管盲区</w:t>
      </w:r>
      <w:bookmarkEnd w:id="39"/>
    </w:p>
    <w:p w14:paraId="2E2C9C1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default" w:ascii="方正仿宋_GB2312" w:hAnsi="方正仿宋_GB2312" w:eastAsia="方正仿宋_GB2312" w:cs="方正仿宋_GB2312"/>
          <w:b w:val="0"/>
          <w:bCs w:val="0"/>
          <w:snapToGrid w:val="0"/>
          <w:color w:val="auto"/>
          <w:kern w:val="0"/>
          <w:sz w:val="32"/>
          <w:szCs w:val="32"/>
          <w:lang w:val="en-US" w:eastAsia="zh-CN"/>
        </w:rPr>
        <w:t>明确各相关单位监管职责边界，建立联合监管、信息共享和联合执法机制，加大重点区域排查频次，将个体从业者、小微企业承揽工程纳入监管并推行备案管理，防范违法违规行为。</w:t>
      </w:r>
    </w:p>
    <w:p w14:paraId="3593BC7F">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lang w:val="en-US" w:eastAsia="zh-CN" w:bidi="ar-SA"/>
        </w:rPr>
      </w:pPr>
      <w:bookmarkStart w:id="40" w:name="_Toc10505"/>
      <w:r>
        <w:rPr>
          <w:rStyle w:val="15"/>
          <w:rFonts w:hint="default" w:ascii="方正楷体_GB2312" w:hAnsi="方正楷体_GB2312" w:eastAsia="方正楷体_GB2312" w:cs="方正楷体_GB2312"/>
          <w:b w:val="0"/>
          <w:bCs/>
          <w:snapToGrid/>
          <w:color w:val="auto"/>
          <w:kern w:val="2"/>
          <w:szCs w:val="24"/>
          <w:lang w:val="en-US" w:eastAsia="zh-CN" w:bidi="ar-SA"/>
        </w:rPr>
        <w:t>（四）健全管理制度，规范施工管控</w:t>
      </w:r>
      <w:bookmarkEnd w:id="40"/>
    </w:p>
    <w:p w14:paraId="6216379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default" w:ascii="方正仿宋_GB2312" w:hAnsi="方正仿宋_GB2312" w:eastAsia="方正仿宋_GB2312" w:cs="方正仿宋_GB2312"/>
          <w:b w:val="0"/>
          <w:bCs w:val="0"/>
          <w:snapToGrid w:val="0"/>
          <w:color w:val="auto"/>
          <w:kern w:val="0"/>
          <w:sz w:val="32"/>
          <w:szCs w:val="32"/>
          <w:lang w:val="en-US" w:eastAsia="zh-CN"/>
        </w:rPr>
        <w:t>督促相关企业完善安全生产管理制度，所有工程需制定专项安全施工方案，落实双重预防机制，强化合同管理，严禁违法免责条款，对转包、违法分包行为实行“零容忍”并从严处罚。</w:t>
      </w:r>
    </w:p>
    <w:p w14:paraId="3824B799">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lang w:val="en-US" w:eastAsia="zh-CN" w:bidi="ar-SA"/>
        </w:rPr>
      </w:pPr>
      <w:bookmarkStart w:id="41" w:name="_Toc28448"/>
      <w:r>
        <w:rPr>
          <w:rStyle w:val="15"/>
          <w:rFonts w:hint="default" w:ascii="方正楷体_GB2312" w:hAnsi="方正楷体_GB2312" w:eastAsia="方正楷体_GB2312" w:cs="方正楷体_GB2312"/>
          <w:b w:val="0"/>
          <w:bCs/>
          <w:snapToGrid/>
          <w:color w:val="auto"/>
          <w:kern w:val="2"/>
          <w:szCs w:val="24"/>
          <w:lang w:val="en-US" w:eastAsia="zh-CN" w:bidi="ar-SA"/>
        </w:rPr>
        <w:t>（五）压实属地责任，强化履职监督</w:t>
      </w:r>
      <w:bookmarkEnd w:id="41"/>
    </w:p>
    <w:p w14:paraId="3033E591">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default" w:ascii="方正仿宋_GB2312" w:hAnsi="方正仿宋_GB2312" w:eastAsia="方正仿宋_GB2312" w:cs="方正仿宋_GB2312"/>
          <w:b w:val="0"/>
          <w:bCs w:val="0"/>
          <w:snapToGrid w:val="0"/>
          <w:color w:val="auto"/>
          <w:kern w:val="0"/>
          <w:sz w:val="32"/>
          <w:szCs w:val="32"/>
          <w:lang w:val="en-US" w:eastAsia="zh-CN"/>
        </w:rPr>
        <w:t>地方党委政府落实安全生产属地管理责任，加强重点领域安全风险研判和统筹部署，强化对监管部门履职情况的监督考核，对失职失责行为严肃追责问责。</w:t>
      </w:r>
    </w:p>
    <w:p w14:paraId="60E0ADB8">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Style w:val="15"/>
          <w:rFonts w:hint="default" w:ascii="方正楷体_GB2312" w:hAnsi="方正楷体_GB2312" w:eastAsia="方正楷体_GB2312" w:cs="方正楷体_GB2312"/>
          <w:b w:val="0"/>
          <w:bCs/>
          <w:snapToGrid/>
          <w:color w:val="auto"/>
          <w:kern w:val="2"/>
          <w:szCs w:val="24"/>
          <w:lang w:val="en-US" w:eastAsia="zh-CN" w:bidi="ar-SA"/>
        </w:rPr>
      </w:pPr>
      <w:bookmarkStart w:id="42" w:name="_Toc12705"/>
      <w:r>
        <w:rPr>
          <w:rStyle w:val="15"/>
          <w:rFonts w:hint="default" w:ascii="方正楷体_GB2312" w:hAnsi="方正楷体_GB2312" w:eastAsia="方正楷体_GB2312" w:cs="方正楷体_GB2312"/>
          <w:b w:val="0"/>
          <w:bCs/>
          <w:snapToGrid/>
          <w:color w:val="auto"/>
          <w:kern w:val="2"/>
          <w:szCs w:val="24"/>
          <w:lang w:val="en-US" w:eastAsia="zh-CN" w:bidi="ar-SA"/>
        </w:rPr>
        <w:t>（六）坚持举一反三，健全长效机制</w:t>
      </w:r>
      <w:bookmarkEnd w:id="42"/>
    </w:p>
    <w:p w14:paraId="7E5C12F7">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default" w:ascii="方正仿宋_GB2312" w:hAnsi="方正仿宋_GB2312" w:eastAsia="方正仿宋_GB2312" w:cs="方正仿宋_GB2312"/>
          <w:b w:val="0"/>
          <w:bCs w:val="0"/>
          <w:snapToGrid w:val="0"/>
          <w:color w:val="auto"/>
          <w:kern w:val="0"/>
          <w:sz w:val="32"/>
          <w:szCs w:val="32"/>
          <w:lang w:val="en-US" w:eastAsia="zh-CN"/>
        </w:rPr>
      </w:pPr>
      <w:r>
        <w:rPr>
          <w:rFonts w:hint="default" w:ascii="方正仿宋_GB2312" w:hAnsi="方正仿宋_GB2312" w:eastAsia="方正仿宋_GB2312" w:cs="方正仿宋_GB2312"/>
          <w:b w:val="0"/>
          <w:bCs w:val="0"/>
          <w:snapToGrid w:val="0"/>
          <w:color w:val="auto"/>
          <w:kern w:val="0"/>
          <w:sz w:val="32"/>
          <w:szCs w:val="32"/>
          <w:lang w:val="en-US" w:eastAsia="zh-CN"/>
        </w:rPr>
        <w:t>组织相关企业吸取事故教训，全面开展自查自纠，制定针对性整改措施，健全安全管理制度和风险管控体系，定期开展警示教育，形成长效监管机制，防范同类事故发生。</w:t>
      </w:r>
    </w:p>
    <w:sectPr>
      <w:footerReference r:id="rId4" w:type="default"/>
      <w:pgSz w:w="11905" w:h="16840"/>
      <w:pgMar w:top="2098" w:right="1474" w:bottom="1984" w:left="1587" w:header="720" w:footer="720" w:gutter="0"/>
      <w:pgNumType w:fmt="decimal"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方正楷体_GB2312">
    <w:altName w:val="楷体_GB2312"/>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长城小标宋体">
    <w:panose1 w:val="02010609010101010101"/>
    <w:charset w:val="00"/>
    <w:family w:val="auto"/>
    <w:pitch w:val="default"/>
    <w:sig w:usb0="00000000" w:usb1="00000000" w:usb2="00000000" w:usb3="00000000" w:csb0="00000000" w:csb1="00000000"/>
  </w:font>
  <w:font w:name="华文仿宋">
    <w:panose1 w:val="02010600040101010101"/>
    <w:charset w:val="86"/>
    <w:family w:val="auto"/>
    <w:pitch w:val="default"/>
    <w:sig w:usb0="00000287" w:usb1="080F0000" w:usb2="00000000" w:usb3="00000000" w:csb0="0004009F" w:csb1="DFD70000"/>
  </w:font>
  <w:font w:name="方正仿宋_GBK">
    <w:panose1 w:val="02000000000000000000"/>
    <w:charset w:val="86"/>
    <w:family w:val="auto"/>
    <w:pitch w:val="default"/>
    <w:sig w:usb0="00000001" w:usb1="08000000" w:usb2="00000000" w:usb3="00000000" w:csb0="00040000" w:csb1="0000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CF457">
    <w:r>
      <w:rPr>
        <w:sz w:val="21"/>
      </w:rPr>
      <w:pict>
        <v:shape id="_x0000_s2050" o:spid="_x0000_s2050"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72DEF3CF">
                <w:pPr>
                  <w:pStyle w:val="4"/>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 xml:space="preserve">— </w:t>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  \* MERGEFORMAT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3</w:t>
                </w:r>
                <w:r>
                  <w:rPr>
                    <w:rFonts w:hint="eastAsia" w:asciiTheme="minorEastAsia" w:hAnsiTheme="minorEastAsia" w:eastAsiaTheme="minorEastAsia" w:cstheme="minorEastAsia"/>
                    <w:sz w:val="32"/>
                    <w:szCs w:val="32"/>
                  </w:rPr>
                  <w:fldChar w:fldCharType="end"/>
                </w:r>
                <w:r>
                  <w:rPr>
                    <w:rFonts w:hint="eastAsia" w:asciiTheme="minorEastAsia" w:hAnsiTheme="minorEastAsia" w:eastAsiaTheme="minorEastAsia" w:cstheme="minorEastAsia"/>
                    <w:sz w:val="32"/>
                    <w:szCs w:val="32"/>
                  </w:rPr>
                  <w:t xml:space="preserve"> —</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2">
    <w:p>
      <w:r>
        <w:separator/>
      </w:r>
    </w:p>
  </w:footnote>
  <w:footnote w:type="continuationSeparator" w:id="23">
    <w:p>
      <w:r>
        <w:continuationSeparator/>
      </w:r>
    </w:p>
  </w:footnote>
  <w:footnote w:id="0">
    <w:p w14:paraId="1F80932B">
      <w:pPr>
        <w:pStyle w:val="7"/>
        <w:snapToGrid w:val="0"/>
      </w:pPr>
      <w:r>
        <w:rPr>
          <w:rStyle w:val="14"/>
        </w:rPr>
        <w:t>[</w:t>
      </w:r>
      <w:r>
        <w:rPr>
          <w:rStyle w:val="14"/>
        </w:rPr>
        <w:footnoteRef/>
      </w:r>
      <w:r>
        <w:rPr>
          <w:rStyle w:val="14"/>
        </w:rPr>
        <w:t>]</w:t>
      </w:r>
      <w:r>
        <w:t xml:space="preserve"> </w:t>
      </w:r>
      <w:r>
        <w:rPr>
          <w:rFonts w:hint="default"/>
          <w:lang w:val="en-US" w:eastAsia="zh-CN"/>
        </w:rPr>
        <w:t>《安全生产违法行为行政处罚办法》</w:t>
      </w:r>
      <w:r>
        <w:rPr>
          <w:rFonts w:hint="eastAsia"/>
          <w:lang w:val="en-US" w:eastAsia="zh-CN"/>
        </w:rPr>
        <w:t>《</w:t>
      </w:r>
      <w:r>
        <w:rPr>
          <w:rFonts w:hint="default"/>
          <w:lang w:val="en-US" w:eastAsia="zh-CN"/>
        </w:rPr>
        <w:t>国家安全生产监督管理总局令</w:t>
      </w:r>
      <w:r>
        <w:rPr>
          <w:rFonts w:hint="eastAsia"/>
          <w:lang w:val="en-US" w:eastAsia="zh-CN"/>
        </w:rPr>
        <w:t>（</w:t>
      </w:r>
      <w:bookmarkStart w:id="43" w:name="_GoBack"/>
      <w:bookmarkEnd w:id="43"/>
      <w:r>
        <w:rPr>
          <w:rFonts w:hint="default"/>
          <w:lang w:val="en-US" w:eastAsia="zh-CN"/>
        </w:rPr>
        <w:t>第15号）</w:t>
      </w:r>
      <w:r>
        <w:rPr>
          <w:rFonts w:hint="eastAsia"/>
          <w:lang w:val="en-US" w:eastAsia="zh-CN"/>
        </w:rPr>
        <w:t>》</w:t>
      </w:r>
      <w:r>
        <w:rPr>
          <w:rFonts w:hint="default"/>
          <w:lang w:val="en-US" w:eastAsia="zh-CN"/>
        </w:rPr>
        <w:t>第六十八条：本办法所称的生产经营单位，是指合法和非法从事生产或者经营活动的基本单元，包括企业法人、不具备企业法人资格的合伙组织、个体工商户和自然人等生产经营主体。</w:t>
      </w:r>
    </w:p>
    <w:p w14:paraId="1E29491A">
      <w:pPr>
        <w:pStyle w:val="7"/>
        <w:snapToGrid w:val="0"/>
      </w:pPr>
    </w:p>
  </w:footnote>
  <w:footnote w:id="1">
    <w:p w14:paraId="2EB5798F">
      <w:pPr>
        <w:pStyle w:val="7"/>
        <w:snapToGrid w:val="0"/>
        <w:rPr>
          <w:rFonts w:hint="eastAsia"/>
          <w:lang w:val="en-US" w:eastAsia="zh-CN"/>
        </w:rPr>
      </w:pPr>
      <w:r>
        <w:rPr>
          <w:rStyle w:val="14"/>
        </w:rPr>
        <w:t>[</w:t>
      </w:r>
      <w:r>
        <w:rPr>
          <w:rStyle w:val="14"/>
        </w:rPr>
        <w:footnoteRef/>
      </w:r>
      <w:r>
        <w:rPr>
          <w:rStyle w:val="14"/>
        </w:rPr>
        <w:t>]</w:t>
      </w:r>
      <w:r>
        <w:t xml:space="preserve"> </w:t>
      </w:r>
      <w:r>
        <w:rPr>
          <w:rFonts w:hint="eastAsia"/>
          <w:lang w:val="en-US" w:eastAsia="zh-CN"/>
        </w:rPr>
        <w:t>《工伤保险条例》《中华人民共和国国务院令（第375号）》第三十九条：职工因工死亡，其近亲属按照下列规定从工伤保险基金领取丧葬补助金、供养亲属抚恤金和一次性工亡补助金：（一）丧葬补助金为6个月的统筹地区上年度职工月平均工资；（二）供养亲属抚恤金按照职工本人工资的一定比例发给由因工死亡职工生前提供主要生活来源、无劳动能力的亲属。标准为：配偶每月40%，其他亲属每人每月30%，孤寡老人或者孤儿每人每月在上述标准的基础上增加10%。核定的各供养亲属的抚恤金之和不应高于因工死亡职工生前的工资。供养亲属的具体范围由国务院社会保险行政部门规定；（三）一次性工亡补助金标准为上一年度全国城镇居民人均可支配收入的20倍。</w:t>
      </w:r>
    </w:p>
    <w:p w14:paraId="4FF0A17D">
      <w:pPr>
        <w:pStyle w:val="7"/>
        <w:snapToGrid w:val="0"/>
        <w:ind w:firstLine="360" w:firstLineChars="200"/>
        <w:rPr>
          <w:rFonts w:hint="eastAsia" w:eastAsia="宋体"/>
          <w:lang w:val="en-US" w:eastAsia="zh-CN"/>
        </w:rPr>
      </w:pPr>
      <w:r>
        <w:rPr>
          <w:rFonts w:hint="eastAsia"/>
        </w:rPr>
        <w:t>国家统计局发布</w:t>
      </w:r>
      <w:r>
        <w:rPr>
          <w:rFonts w:hint="eastAsia" w:eastAsia="宋体"/>
          <w:lang w:eastAsia="zh-CN"/>
        </w:rPr>
        <w:t>的</w:t>
      </w:r>
      <w:r>
        <w:rPr>
          <w:rFonts w:hint="eastAsia"/>
        </w:rPr>
        <w:t>《2024年全国居民收入和消费支出情况》</w:t>
      </w:r>
      <w:r>
        <w:rPr>
          <w:rFonts w:hint="eastAsia" w:eastAsia="宋体"/>
          <w:lang w:val="en-US" w:eastAsia="zh-CN"/>
        </w:rPr>
        <w:t>中，</w:t>
      </w:r>
      <w:r>
        <w:rPr>
          <w:rFonts w:hint="eastAsia"/>
        </w:rPr>
        <w:t>2024年全国城镇居民人均可支配收入为54188元。54188</w:t>
      </w:r>
      <w:r>
        <w:rPr>
          <w:rFonts w:hint="eastAsia" w:eastAsia="宋体"/>
          <w:lang w:val="en-US" w:eastAsia="zh-CN"/>
        </w:rPr>
        <w:t>元</w:t>
      </w:r>
      <w:r>
        <w:rPr>
          <w:rFonts w:hint="eastAsia" w:eastAsia="宋体"/>
          <w:lang w:eastAsia="zh-CN"/>
        </w:rPr>
        <w:t>×</w:t>
      </w:r>
      <w:r>
        <w:rPr>
          <w:rFonts w:hint="eastAsia" w:eastAsia="宋体"/>
          <w:lang w:val="en-US" w:eastAsia="zh-CN"/>
        </w:rPr>
        <w:t>20</w:t>
      </w:r>
      <w:r>
        <w:rPr>
          <w:rFonts w:hint="eastAsia" w:eastAsia="宋体"/>
          <w:lang w:eastAsia="zh-CN"/>
        </w:rPr>
        <w:t>个月 =</w:t>
      </w:r>
      <w:r>
        <w:rPr>
          <w:rFonts w:hint="eastAsia" w:eastAsia="宋体"/>
          <w:lang w:val="en-US" w:eastAsia="zh-CN"/>
        </w:rPr>
        <w:t>1083760元。</w:t>
      </w:r>
    </w:p>
    <w:p w14:paraId="5C565EE6">
      <w:pPr>
        <w:pStyle w:val="7"/>
        <w:snapToGrid w:val="0"/>
        <w:ind w:firstLine="360" w:firstLineChars="200"/>
        <w:rPr>
          <w:rFonts w:hint="eastAsia" w:eastAsia="宋体"/>
          <w:lang w:val="en-US" w:eastAsia="zh-CN"/>
        </w:rPr>
      </w:pPr>
    </w:p>
  </w:footnote>
  <w:footnote w:id="2">
    <w:p w14:paraId="29303BCB">
      <w:pPr>
        <w:pStyle w:val="7"/>
        <w:snapToGrid w:val="0"/>
        <w:rPr>
          <w:rFonts w:hint="eastAsia" w:eastAsia="宋体"/>
          <w:lang w:eastAsia="zh-CN"/>
        </w:rPr>
      </w:pPr>
      <w:r>
        <w:rPr>
          <w:rStyle w:val="14"/>
        </w:rPr>
        <w:t>[</w:t>
      </w:r>
      <w:r>
        <w:rPr>
          <w:rStyle w:val="14"/>
        </w:rPr>
        <w:footnoteRef/>
      </w:r>
      <w:r>
        <w:rPr>
          <w:rStyle w:val="14"/>
        </w:rPr>
        <w:t>]</w:t>
      </w:r>
      <w:r>
        <w:t xml:space="preserve"> </w:t>
      </w:r>
      <w:r>
        <w:rPr>
          <w:rFonts w:hint="eastAsia" w:eastAsia="宋体"/>
          <w:lang w:val="en-US" w:eastAsia="zh-CN"/>
        </w:rPr>
        <w:t>海南省统计局发布的2024年城镇非私营单位</w:t>
      </w:r>
      <w:r>
        <w:rPr>
          <w:rFonts w:hint="eastAsia"/>
        </w:rPr>
        <w:t>月平均工资约9786.09元</w:t>
      </w:r>
      <w:r>
        <w:rPr>
          <w:rFonts w:hint="eastAsia" w:eastAsia="宋体"/>
          <w:lang w:eastAsia="zh-CN"/>
        </w:rPr>
        <w:t>。9786.09元×6个月 = 58716.54元。</w:t>
      </w:r>
    </w:p>
  </w:footnote>
  <w:footnote w:id="3">
    <w:p w14:paraId="0F3FB71B">
      <w:pPr>
        <w:pStyle w:val="7"/>
        <w:snapToGrid w:val="0"/>
      </w:pPr>
      <w:r>
        <w:rPr>
          <w:rStyle w:val="14"/>
        </w:rPr>
        <w:t>[</w:t>
      </w:r>
      <w:r>
        <w:rPr>
          <w:rStyle w:val="14"/>
        </w:rPr>
        <w:footnoteRef/>
      </w:r>
      <w:r>
        <w:rPr>
          <w:rStyle w:val="14"/>
        </w:rPr>
        <w:t>]</w:t>
      </w:r>
      <w:r>
        <w:t xml:space="preserve"> </w:t>
      </w:r>
      <w:r>
        <w:rPr>
          <w:rFonts w:hint="eastAsia"/>
          <w:lang w:val="en-US" w:eastAsia="zh-CN"/>
        </w:rPr>
        <w:t>《中华人民共和国刑法》第一百三十四条第一款：在生产、作业中违反有关安全管理的规定，因而发生重大伤亡事故或者造成其他严重后果的，处三年以下有期徒刑或者拘役；情节特别恶劣的，处三年以上七年以下有期徒刑。</w:t>
      </w:r>
    </w:p>
  </w:footnote>
  <w:footnote w:id="4">
    <w:p w14:paraId="10C03FF7">
      <w:pPr>
        <w:pStyle w:val="7"/>
        <w:snapToGrid w:val="0"/>
      </w:pPr>
      <w:r>
        <w:rPr>
          <w:rStyle w:val="14"/>
        </w:rPr>
        <w:t>[</w:t>
      </w:r>
      <w:r>
        <w:rPr>
          <w:rStyle w:val="14"/>
        </w:rPr>
        <w:footnoteRef/>
      </w:r>
      <w:r>
        <w:rPr>
          <w:rStyle w:val="14"/>
        </w:rPr>
        <w:t>]</w:t>
      </w:r>
      <w:r>
        <w:t xml:space="preserve"> </w:t>
      </w:r>
      <w:r>
        <w:rPr>
          <w:rFonts w:hint="eastAsia"/>
          <w:lang w:val="en-US" w:eastAsia="zh-CN"/>
        </w:rPr>
        <w:t>《中华人民共和国安全生产法》《中华人民共和国主席令（第八十八号）》第二十一条：生产经营单位的主要负责人对本单位安全生产工作负有下列职责：（五）组织建立并落实安全风险分级管控和隐患排查治理双重预防工作机制，督促、检查本单位的安全生产工作，及时消除生产安全事故隐患；</w:t>
      </w:r>
    </w:p>
  </w:footnote>
  <w:footnote w:id="5">
    <w:p w14:paraId="52048BE6">
      <w:pPr>
        <w:pStyle w:val="7"/>
        <w:snapToGrid w:val="0"/>
      </w:pPr>
      <w:r>
        <w:rPr>
          <w:rStyle w:val="14"/>
        </w:rPr>
        <w:t>[</w:t>
      </w:r>
      <w:r>
        <w:rPr>
          <w:rStyle w:val="14"/>
        </w:rPr>
        <w:footnoteRef/>
      </w:r>
      <w:r>
        <w:rPr>
          <w:rStyle w:val="14"/>
        </w:rPr>
        <w:t>]</w:t>
      </w:r>
      <w:r>
        <w:t xml:space="preserve"> </w:t>
      </w:r>
      <w:r>
        <w:rPr>
          <w:rFonts w:hint="eastAsia"/>
          <w:lang w:val="en-US" w:eastAsia="zh-CN"/>
        </w:rPr>
        <w:t>《中华人民共和国安全生产法》《中华人民共和国主席令（第八十八号）》第九十四条：生产经营单位的主要负责人未履行本法规定的安全生产管理职责的，责令限期改正，处二万元以上五万元以下的罚款；逾期未改正的，处五万元以上十万元以下的罚款，责令生产经营单位停产停业整顿。生产经营单位的主要负责人有前款违法行为，导致发生生产安全事故的，给予撤职处分；构成犯罪的，依照刑法有关规定追究刑事责任。生产经营单位的主要负责人依照前款规定受刑事处罚或者撤职处分的，自刑罚执行完毕或者受处分之日起，五年内不得担任任何生产经营单位的主要负责人；对重大、特别重大生产安全故负有责任的，终身不得担任本行业生产经营单位的主要负责人。</w:t>
      </w:r>
    </w:p>
  </w:footnote>
  <w:footnote w:id="6">
    <w:p w14:paraId="25DBE209">
      <w:pPr>
        <w:pStyle w:val="7"/>
        <w:snapToGrid w:val="0"/>
      </w:pPr>
      <w:r>
        <w:rPr>
          <w:rStyle w:val="14"/>
        </w:rPr>
        <w:t>[</w:t>
      </w:r>
      <w:r>
        <w:rPr>
          <w:rStyle w:val="14"/>
        </w:rPr>
        <w:footnoteRef/>
      </w:r>
      <w:r>
        <w:rPr>
          <w:rStyle w:val="14"/>
        </w:rPr>
        <w:t>]</w:t>
      </w:r>
      <w:r>
        <w:t xml:space="preserve"> </w:t>
      </w:r>
      <w:r>
        <w:rPr>
          <w:rFonts w:hint="eastAsia"/>
          <w:lang w:val="en-US" w:eastAsia="zh-CN"/>
        </w:rPr>
        <w:t>《中华人民共和国建筑法》（2019修订）第六十七条“承包单位将承包的工程转包的，或者违反本法规定进行分包的，责令改正，没收违法所得，并处罚款，可以责令停业整顿，降低资质等级；情节严重的，吊销资质证书”。</w:t>
      </w:r>
    </w:p>
  </w:footnote>
  <w:footnote w:id="7">
    <w:p w14:paraId="728F0780">
      <w:pPr>
        <w:pStyle w:val="7"/>
        <w:snapToGrid w:val="0"/>
        <w:rPr>
          <w:rFonts w:hint="eastAsia"/>
          <w:b w:val="0"/>
          <w:bCs w:val="0"/>
          <w:lang w:val="en-US" w:eastAsia="zh-CN"/>
        </w:rPr>
      </w:pPr>
      <w:r>
        <w:rPr>
          <w:rStyle w:val="14"/>
        </w:rPr>
        <w:t>[</w:t>
      </w:r>
      <w:r>
        <w:rPr>
          <w:rStyle w:val="14"/>
        </w:rPr>
        <w:footnoteRef/>
      </w:r>
      <w:r>
        <w:rPr>
          <w:rStyle w:val="14"/>
        </w:rPr>
        <w:t>]</w:t>
      </w:r>
      <w:r>
        <w:t xml:space="preserve"> </w:t>
      </w:r>
      <w:r>
        <w:rPr>
          <w:rFonts w:hint="eastAsia"/>
          <w:b w:val="0"/>
          <w:bCs w:val="0"/>
          <w:lang w:val="en-US" w:eastAsia="zh-CN"/>
        </w:rPr>
        <w:t>《中华人民共和国安全生产法》《中华人民共和国主席令（第八十八号）》第九十五条：生产经营单位的主要负责人未履行本法规定的安全生产管理职责，导致发生生产安全事故的，由应急管理部门依照下列规定处以罚款：</w:t>
      </w:r>
    </w:p>
    <w:p w14:paraId="1B6F1A51">
      <w:pPr>
        <w:pStyle w:val="7"/>
        <w:snapToGrid w:val="0"/>
        <w:rPr>
          <w:rFonts w:hint="eastAsia"/>
          <w:b w:val="0"/>
          <w:bCs w:val="0"/>
          <w:lang w:val="en-US" w:eastAsia="zh-CN"/>
        </w:rPr>
      </w:pPr>
      <w:r>
        <w:rPr>
          <w:rFonts w:hint="eastAsia"/>
          <w:b w:val="0"/>
          <w:bCs w:val="0"/>
          <w:lang w:val="en-US" w:eastAsia="zh-CN"/>
        </w:rPr>
        <w:t>（一）发生一般事故的，处上一年年收入百分之四十的罚款；</w:t>
      </w:r>
    </w:p>
    <w:p w14:paraId="52745DFB">
      <w:pPr>
        <w:pStyle w:val="7"/>
        <w:snapToGrid w:val="0"/>
      </w:pPr>
    </w:p>
  </w:footnote>
  <w:footnote w:id="8">
    <w:p w14:paraId="242ADF93">
      <w:pPr>
        <w:pStyle w:val="7"/>
        <w:snapToGrid w:val="0"/>
        <w:rPr>
          <w:rFonts w:hint="eastAsia" w:eastAsia="宋体"/>
          <w:lang w:eastAsia="zh-CN"/>
        </w:rPr>
      </w:pPr>
      <w:r>
        <w:rPr>
          <w:rStyle w:val="14"/>
        </w:rPr>
        <w:t>[</w:t>
      </w:r>
      <w:r>
        <w:rPr>
          <w:rStyle w:val="14"/>
        </w:rPr>
        <w:footnoteRef/>
      </w:r>
      <w:r>
        <w:rPr>
          <w:rStyle w:val="14"/>
        </w:rPr>
        <w:t>]</w:t>
      </w:r>
      <w:r>
        <w:t xml:space="preserve"> </w:t>
      </w:r>
      <w:r>
        <w:rPr>
          <w:rFonts w:hint="eastAsia"/>
        </w:rPr>
        <w:t>《中华人民共和国建筑法》（2019修订）第二十八条</w:t>
      </w:r>
      <w:r>
        <w:rPr>
          <w:rFonts w:hint="eastAsia"/>
          <w:lang w:eastAsia="zh-CN"/>
        </w:rPr>
        <w:t>：</w:t>
      </w:r>
      <w:r>
        <w:rPr>
          <w:rFonts w:hint="eastAsia"/>
        </w:rPr>
        <w:t>禁止承包单位将其承包的全部建筑工程转包给他人</w:t>
      </w:r>
      <w:r>
        <w:rPr>
          <w:rFonts w:hint="eastAsia"/>
          <w:lang w:eastAsia="zh-CN"/>
        </w:rPr>
        <w:t>。</w:t>
      </w:r>
    </w:p>
  </w:footnote>
  <w:footnote w:id="9">
    <w:p w14:paraId="1BAD9AA5">
      <w:pPr>
        <w:pStyle w:val="7"/>
        <w:snapToGrid w:val="0"/>
      </w:pPr>
      <w:r>
        <w:rPr>
          <w:rStyle w:val="14"/>
        </w:rPr>
        <w:t>[</w:t>
      </w:r>
      <w:r>
        <w:rPr>
          <w:rStyle w:val="14"/>
        </w:rPr>
        <w:footnoteRef/>
      </w:r>
      <w:r>
        <w:rPr>
          <w:rStyle w:val="14"/>
        </w:rPr>
        <w:t>]</w:t>
      </w:r>
      <w:r>
        <w:t xml:space="preserve"> </w:t>
      </w:r>
      <w:r>
        <w:rPr>
          <w:rFonts w:hint="eastAsia"/>
          <w:b w:val="0"/>
          <w:bCs w:val="0"/>
          <w:lang w:val="en-US" w:eastAsia="zh-CN"/>
        </w:rPr>
        <w:t>《中华人民共和国安全生产法》《中华人民共和国主席令（第八十八号）》</w:t>
      </w:r>
      <w:r>
        <w:t>第四十九条</w:t>
      </w:r>
      <w:r>
        <w:rPr>
          <w:rFonts w:hint="eastAsia"/>
          <w:lang w:eastAsia="zh-CN"/>
        </w:rPr>
        <w:t>：</w:t>
      </w:r>
      <w:r>
        <w:t>生产经营单位不得将生产经营项目、场所、设备发包或者出租给不具备安全生产条件或者相应资质的单位或者个人。</w:t>
      </w:r>
    </w:p>
    <w:p w14:paraId="4B559A9D">
      <w:pPr>
        <w:pStyle w:val="7"/>
        <w:snapToGrid w:val="0"/>
        <w:ind w:firstLine="360" w:firstLineChars="200"/>
      </w:pPr>
      <w:r>
        <w:t>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14:paraId="3AAE949B">
      <w:pPr>
        <w:pStyle w:val="7"/>
        <w:snapToGrid w:val="0"/>
      </w:pPr>
    </w:p>
  </w:footnote>
  <w:footnote w:id="10">
    <w:p w14:paraId="36442D44">
      <w:pPr>
        <w:pStyle w:val="7"/>
        <w:snapToGrid w:val="0"/>
        <w:rPr>
          <w:rFonts w:hint="eastAsia"/>
          <w:lang w:eastAsia="zh-CN"/>
        </w:rPr>
      </w:pPr>
      <w:r>
        <w:rPr>
          <w:rStyle w:val="14"/>
        </w:rPr>
        <w:t>[</w:t>
      </w:r>
      <w:r>
        <w:rPr>
          <w:rStyle w:val="14"/>
        </w:rPr>
        <w:footnoteRef/>
      </w:r>
      <w:r>
        <w:rPr>
          <w:rStyle w:val="14"/>
        </w:rPr>
        <w:t>]</w:t>
      </w:r>
      <w:r>
        <w:t xml:space="preserve"> </w:t>
      </w:r>
      <w:r>
        <w:rPr>
          <w:rFonts w:hint="eastAsia"/>
          <w:b w:val="0"/>
          <w:bCs w:val="0"/>
          <w:lang w:val="en-US" w:eastAsia="zh-CN"/>
        </w:rPr>
        <w:t>《中华人民共和国安全生产法》《中华人民共和国主席令（第八十八号）》</w:t>
      </w:r>
      <w:r>
        <w:t>第一百一十四条</w:t>
      </w:r>
      <w:r>
        <w:rPr>
          <w:rFonts w:hint="eastAsia"/>
          <w:lang w:eastAsia="zh-CN"/>
        </w:rPr>
        <w:t>：</w:t>
      </w:r>
      <w:r>
        <w:t>发生生产安全事故，对负有责任的生产经营单位除要求其依法承担相应的赔偿等责任外，由应急管理部门依照下列规定处以罚款</w:t>
      </w:r>
      <w:r>
        <w:rPr>
          <w:rFonts w:hint="eastAsia"/>
          <w:lang w:eastAsia="zh-CN"/>
        </w:rPr>
        <w:t>：</w:t>
      </w:r>
    </w:p>
    <w:p w14:paraId="3845EAE4">
      <w:pPr>
        <w:pStyle w:val="7"/>
        <w:snapToGrid w:val="0"/>
      </w:pPr>
      <w:r>
        <w:t>（一）发生一般事故的，处三十万元以上一百万元以下的罚款；</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isplayHorizontalDrawingGridEvery w:val="1"/>
  <w:displayVerticalDrawingGridEvery w:val="1"/>
  <w:noPunctuationKerning w:val="1"/>
  <w:hdrShapeDefaults>
    <o:shapelayout v:ext="edit">
      <o:idmap v:ext="edit" data="2"/>
    </o:shapelayout>
  </w:hdrShapeDefaults>
  <w:footnotePr>
    <w:footnote w:id="22"/>
    <w:footnote w:id="23"/>
  </w:footnotePr>
  <w:compat>
    <w:doNotExpandShiftReturn/>
    <w:doNotWrapTextWithPunct/>
    <w:doNotUseEastAsianBreakRules/>
    <w:useFELayout/>
    <w:splitPgBreakAndParaMark/>
    <w:compatSetting w:name="compatibilityMode" w:uri="http://schemas.microsoft.com/office/word" w:val="12"/>
  </w:compat>
  <w:rsids>
    <w:rsidRoot w:val="00000000"/>
    <w:rsid w:val="00253ED9"/>
    <w:rsid w:val="003B7700"/>
    <w:rsid w:val="008C59F3"/>
    <w:rsid w:val="00912865"/>
    <w:rsid w:val="009301C9"/>
    <w:rsid w:val="00BA7EA5"/>
    <w:rsid w:val="00C9437F"/>
    <w:rsid w:val="0101237C"/>
    <w:rsid w:val="01100703"/>
    <w:rsid w:val="01374E54"/>
    <w:rsid w:val="022E6257"/>
    <w:rsid w:val="023D5D50"/>
    <w:rsid w:val="026706BD"/>
    <w:rsid w:val="02811545"/>
    <w:rsid w:val="02BB7746"/>
    <w:rsid w:val="02EA0343"/>
    <w:rsid w:val="02F6463E"/>
    <w:rsid w:val="030A0A72"/>
    <w:rsid w:val="0388408C"/>
    <w:rsid w:val="039A1B3C"/>
    <w:rsid w:val="03A34A22"/>
    <w:rsid w:val="043173FD"/>
    <w:rsid w:val="04C71D1F"/>
    <w:rsid w:val="04C720B8"/>
    <w:rsid w:val="04DE525A"/>
    <w:rsid w:val="04FB6A4B"/>
    <w:rsid w:val="05235738"/>
    <w:rsid w:val="053242B0"/>
    <w:rsid w:val="05393890"/>
    <w:rsid w:val="05477860"/>
    <w:rsid w:val="058F34B0"/>
    <w:rsid w:val="059B6910"/>
    <w:rsid w:val="05E644CC"/>
    <w:rsid w:val="06035C4C"/>
    <w:rsid w:val="06130ED2"/>
    <w:rsid w:val="06420522"/>
    <w:rsid w:val="06891D54"/>
    <w:rsid w:val="06896151"/>
    <w:rsid w:val="075C73C2"/>
    <w:rsid w:val="07972AF0"/>
    <w:rsid w:val="07D16002"/>
    <w:rsid w:val="07E86EA8"/>
    <w:rsid w:val="07F43B2A"/>
    <w:rsid w:val="07F909B2"/>
    <w:rsid w:val="08030185"/>
    <w:rsid w:val="08123F24"/>
    <w:rsid w:val="083B46D5"/>
    <w:rsid w:val="084E1401"/>
    <w:rsid w:val="08A234FA"/>
    <w:rsid w:val="08B63BCD"/>
    <w:rsid w:val="08F24482"/>
    <w:rsid w:val="08F651E1"/>
    <w:rsid w:val="095F13EB"/>
    <w:rsid w:val="095F1D10"/>
    <w:rsid w:val="09B64625"/>
    <w:rsid w:val="0A742C74"/>
    <w:rsid w:val="0A85622A"/>
    <w:rsid w:val="0A9A7350"/>
    <w:rsid w:val="0ADA7FCA"/>
    <w:rsid w:val="0B1541A5"/>
    <w:rsid w:val="0BD75BB1"/>
    <w:rsid w:val="0C0D512F"/>
    <w:rsid w:val="0C1B3467"/>
    <w:rsid w:val="0C2C79C5"/>
    <w:rsid w:val="0C914370"/>
    <w:rsid w:val="0CD16FE4"/>
    <w:rsid w:val="0CF35E5E"/>
    <w:rsid w:val="0D68156A"/>
    <w:rsid w:val="0DC42165"/>
    <w:rsid w:val="0F4636D1"/>
    <w:rsid w:val="0F463DA7"/>
    <w:rsid w:val="0F8349EB"/>
    <w:rsid w:val="0FBC24BC"/>
    <w:rsid w:val="101B4F1B"/>
    <w:rsid w:val="1081220E"/>
    <w:rsid w:val="108C3705"/>
    <w:rsid w:val="10B65D95"/>
    <w:rsid w:val="10F42D61"/>
    <w:rsid w:val="11ED256B"/>
    <w:rsid w:val="12A218F7"/>
    <w:rsid w:val="12C119AD"/>
    <w:rsid w:val="12FD1F6A"/>
    <w:rsid w:val="13023513"/>
    <w:rsid w:val="131D7604"/>
    <w:rsid w:val="132810EB"/>
    <w:rsid w:val="13506042"/>
    <w:rsid w:val="13513D2D"/>
    <w:rsid w:val="135C341D"/>
    <w:rsid w:val="135D2E40"/>
    <w:rsid w:val="13AE22C5"/>
    <w:rsid w:val="13BB36C2"/>
    <w:rsid w:val="13BF15B1"/>
    <w:rsid w:val="13CE33F5"/>
    <w:rsid w:val="140908D1"/>
    <w:rsid w:val="1462278C"/>
    <w:rsid w:val="147D49BD"/>
    <w:rsid w:val="14B039FE"/>
    <w:rsid w:val="14FB2910"/>
    <w:rsid w:val="153C3F19"/>
    <w:rsid w:val="154952FA"/>
    <w:rsid w:val="15AB75AE"/>
    <w:rsid w:val="15BB455F"/>
    <w:rsid w:val="15C7252E"/>
    <w:rsid w:val="15D87D38"/>
    <w:rsid w:val="15F630D7"/>
    <w:rsid w:val="16B13CE3"/>
    <w:rsid w:val="16B5089D"/>
    <w:rsid w:val="16DE3734"/>
    <w:rsid w:val="17013AE2"/>
    <w:rsid w:val="177C058B"/>
    <w:rsid w:val="17C84600"/>
    <w:rsid w:val="18117D55"/>
    <w:rsid w:val="18653FFC"/>
    <w:rsid w:val="186D58D3"/>
    <w:rsid w:val="191B532F"/>
    <w:rsid w:val="19487852"/>
    <w:rsid w:val="19540841"/>
    <w:rsid w:val="19DD358D"/>
    <w:rsid w:val="1A0A7151"/>
    <w:rsid w:val="1A495ECC"/>
    <w:rsid w:val="1ACF1EC1"/>
    <w:rsid w:val="1BBB0703"/>
    <w:rsid w:val="1C3D736A"/>
    <w:rsid w:val="1C3F2B3A"/>
    <w:rsid w:val="1C9D168F"/>
    <w:rsid w:val="1CE66CE9"/>
    <w:rsid w:val="1D47415E"/>
    <w:rsid w:val="1D4C7E58"/>
    <w:rsid w:val="1D764B65"/>
    <w:rsid w:val="1DBC4C07"/>
    <w:rsid w:val="1DCA2E80"/>
    <w:rsid w:val="1DD907F5"/>
    <w:rsid w:val="1E7679C4"/>
    <w:rsid w:val="1EA27958"/>
    <w:rsid w:val="1EE742F0"/>
    <w:rsid w:val="1EF02DBA"/>
    <w:rsid w:val="1F2F40F4"/>
    <w:rsid w:val="1F4E60C9"/>
    <w:rsid w:val="1F503858"/>
    <w:rsid w:val="1F723771"/>
    <w:rsid w:val="1F8758EA"/>
    <w:rsid w:val="20416634"/>
    <w:rsid w:val="204B3D81"/>
    <w:rsid w:val="207B66B3"/>
    <w:rsid w:val="20F85F56"/>
    <w:rsid w:val="21296037"/>
    <w:rsid w:val="21373271"/>
    <w:rsid w:val="21450012"/>
    <w:rsid w:val="21AE2AB8"/>
    <w:rsid w:val="21B20595"/>
    <w:rsid w:val="21BF72A9"/>
    <w:rsid w:val="21E464DA"/>
    <w:rsid w:val="228B3FD8"/>
    <w:rsid w:val="22995516"/>
    <w:rsid w:val="23000B70"/>
    <w:rsid w:val="23464A14"/>
    <w:rsid w:val="237B3F95"/>
    <w:rsid w:val="23EF603D"/>
    <w:rsid w:val="24216576"/>
    <w:rsid w:val="24480FA2"/>
    <w:rsid w:val="24A217AC"/>
    <w:rsid w:val="24E231A5"/>
    <w:rsid w:val="256718FC"/>
    <w:rsid w:val="257F3772"/>
    <w:rsid w:val="26445799"/>
    <w:rsid w:val="27464120"/>
    <w:rsid w:val="277509F4"/>
    <w:rsid w:val="279F537D"/>
    <w:rsid w:val="27A50E64"/>
    <w:rsid w:val="27C748D4"/>
    <w:rsid w:val="27C750CD"/>
    <w:rsid w:val="28C22A06"/>
    <w:rsid w:val="28C36E49"/>
    <w:rsid w:val="290F6532"/>
    <w:rsid w:val="291122AA"/>
    <w:rsid w:val="292F44DF"/>
    <w:rsid w:val="29583A35"/>
    <w:rsid w:val="29917294"/>
    <w:rsid w:val="29D84B76"/>
    <w:rsid w:val="29DA08EE"/>
    <w:rsid w:val="2A371628"/>
    <w:rsid w:val="2A44220C"/>
    <w:rsid w:val="2A483027"/>
    <w:rsid w:val="2A7353F2"/>
    <w:rsid w:val="2AA66A22"/>
    <w:rsid w:val="2AA86D76"/>
    <w:rsid w:val="2BAC1E16"/>
    <w:rsid w:val="2BEF388E"/>
    <w:rsid w:val="2C1907E3"/>
    <w:rsid w:val="2C425B8E"/>
    <w:rsid w:val="2CA13945"/>
    <w:rsid w:val="2CE61358"/>
    <w:rsid w:val="2CEF380C"/>
    <w:rsid w:val="2E4C6417"/>
    <w:rsid w:val="2E886DB4"/>
    <w:rsid w:val="2ED0406E"/>
    <w:rsid w:val="2F53767E"/>
    <w:rsid w:val="2F94153F"/>
    <w:rsid w:val="2F9D539C"/>
    <w:rsid w:val="2FAC4ADB"/>
    <w:rsid w:val="2FF43D8C"/>
    <w:rsid w:val="307153DD"/>
    <w:rsid w:val="30DC7219"/>
    <w:rsid w:val="30E738F1"/>
    <w:rsid w:val="30EA3549"/>
    <w:rsid w:val="30FA48AD"/>
    <w:rsid w:val="314B20D2"/>
    <w:rsid w:val="316971E3"/>
    <w:rsid w:val="31E83DC4"/>
    <w:rsid w:val="31F63610"/>
    <w:rsid w:val="320F28B0"/>
    <w:rsid w:val="3235005B"/>
    <w:rsid w:val="327F2033"/>
    <w:rsid w:val="33136C1F"/>
    <w:rsid w:val="332130EA"/>
    <w:rsid w:val="332B68CB"/>
    <w:rsid w:val="3341378C"/>
    <w:rsid w:val="33D62889"/>
    <w:rsid w:val="340927A0"/>
    <w:rsid w:val="343220A9"/>
    <w:rsid w:val="344840CD"/>
    <w:rsid w:val="34496D9C"/>
    <w:rsid w:val="344F7751"/>
    <w:rsid w:val="345B3482"/>
    <w:rsid w:val="34825821"/>
    <w:rsid w:val="34965FB0"/>
    <w:rsid w:val="35325A82"/>
    <w:rsid w:val="355A6D87"/>
    <w:rsid w:val="35E52AF5"/>
    <w:rsid w:val="36653C36"/>
    <w:rsid w:val="36B424C7"/>
    <w:rsid w:val="36C26992"/>
    <w:rsid w:val="36C66327"/>
    <w:rsid w:val="3734577F"/>
    <w:rsid w:val="37621F23"/>
    <w:rsid w:val="376C5A13"/>
    <w:rsid w:val="37B4317C"/>
    <w:rsid w:val="3821593A"/>
    <w:rsid w:val="38710670"/>
    <w:rsid w:val="38765C86"/>
    <w:rsid w:val="38A0216A"/>
    <w:rsid w:val="38DA2963"/>
    <w:rsid w:val="393C6ED0"/>
    <w:rsid w:val="394A4C0D"/>
    <w:rsid w:val="396106E4"/>
    <w:rsid w:val="397A3554"/>
    <w:rsid w:val="397F500E"/>
    <w:rsid w:val="399D1D58"/>
    <w:rsid w:val="39A30504"/>
    <w:rsid w:val="39FE199A"/>
    <w:rsid w:val="3A2B6883"/>
    <w:rsid w:val="3A5C2DDF"/>
    <w:rsid w:val="3AEC66D3"/>
    <w:rsid w:val="3B301429"/>
    <w:rsid w:val="3B4A33FA"/>
    <w:rsid w:val="3B6444BC"/>
    <w:rsid w:val="3B911029"/>
    <w:rsid w:val="3B9834B0"/>
    <w:rsid w:val="3BAB0EC3"/>
    <w:rsid w:val="3BE62E25"/>
    <w:rsid w:val="3CB3413E"/>
    <w:rsid w:val="3CB94393"/>
    <w:rsid w:val="3D0826B4"/>
    <w:rsid w:val="3D09356D"/>
    <w:rsid w:val="3D25174A"/>
    <w:rsid w:val="3DDB658B"/>
    <w:rsid w:val="3DF8538F"/>
    <w:rsid w:val="3E3F3F7D"/>
    <w:rsid w:val="3E96455C"/>
    <w:rsid w:val="3EB810FD"/>
    <w:rsid w:val="3ED20272"/>
    <w:rsid w:val="3F6C1B91"/>
    <w:rsid w:val="3FB83EE7"/>
    <w:rsid w:val="40087431"/>
    <w:rsid w:val="4037219F"/>
    <w:rsid w:val="40E1035D"/>
    <w:rsid w:val="415E36EB"/>
    <w:rsid w:val="416D399E"/>
    <w:rsid w:val="41AA69A0"/>
    <w:rsid w:val="42AB18DB"/>
    <w:rsid w:val="42ED2FE9"/>
    <w:rsid w:val="42F02E45"/>
    <w:rsid w:val="431943ED"/>
    <w:rsid w:val="431B6A0B"/>
    <w:rsid w:val="43284021"/>
    <w:rsid w:val="432B244C"/>
    <w:rsid w:val="43337E46"/>
    <w:rsid w:val="437E331C"/>
    <w:rsid w:val="43C90D96"/>
    <w:rsid w:val="43F14D5A"/>
    <w:rsid w:val="43F64B3D"/>
    <w:rsid w:val="44124799"/>
    <w:rsid w:val="44342631"/>
    <w:rsid w:val="453C0257"/>
    <w:rsid w:val="45961716"/>
    <w:rsid w:val="46C25D23"/>
    <w:rsid w:val="473610FE"/>
    <w:rsid w:val="47647128"/>
    <w:rsid w:val="48AA54D8"/>
    <w:rsid w:val="48C21418"/>
    <w:rsid w:val="48CB5B7A"/>
    <w:rsid w:val="49A60395"/>
    <w:rsid w:val="49B05835"/>
    <w:rsid w:val="4A58343D"/>
    <w:rsid w:val="4A635855"/>
    <w:rsid w:val="4A80725F"/>
    <w:rsid w:val="4A8202DD"/>
    <w:rsid w:val="4AC56011"/>
    <w:rsid w:val="4AC76815"/>
    <w:rsid w:val="4AF77D90"/>
    <w:rsid w:val="4B1F21AD"/>
    <w:rsid w:val="4B287860"/>
    <w:rsid w:val="4BE13434"/>
    <w:rsid w:val="4C485734"/>
    <w:rsid w:val="4C995F8F"/>
    <w:rsid w:val="4CB20E0E"/>
    <w:rsid w:val="4CBD5B50"/>
    <w:rsid w:val="4CF260A4"/>
    <w:rsid w:val="4D0D6339"/>
    <w:rsid w:val="4D477799"/>
    <w:rsid w:val="4D510618"/>
    <w:rsid w:val="4D907E1F"/>
    <w:rsid w:val="4E0C62CF"/>
    <w:rsid w:val="4E2C6D98"/>
    <w:rsid w:val="4E575930"/>
    <w:rsid w:val="4E810A89"/>
    <w:rsid w:val="4EEA4880"/>
    <w:rsid w:val="4F6309C8"/>
    <w:rsid w:val="4FA90297"/>
    <w:rsid w:val="4FAA370E"/>
    <w:rsid w:val="4FD07C62"/>
    <w:rsid w:val="502262C7"/>
    <w:rsid w:val="503C0DF6"/>
    <w:rsid w:val="503D6DC9"/>
    <w:rsid w:val="505B77CA"/>
    <w:rsid w:val="50854860"/>
    <w:rsid w:val="5111616D"/>
    <w:rsid w:val="511931FB"/>
    <w:rsid w:val="513D338D"/>
    <w:rsid w:val="51816421"/>
    <w:rsid w:val="51826FF2"/>
    <w:rsid w:val="518F28BF"/>
    <w:rsid w:val="51D117C7"/>
    <w:rsid w:val="529C6B0F"/>
    <w:rsid w:val="52A10D06"/>
    <w:rsid w:val="52B5129B"/>
    <w:rsid w:val="52C262DB"/>
    <w:rsid w:val="530879CB"/>
    <w:rsid w:val="533C5C8B"/>
    <w:rsid w:val="53D84797"/>
    <w:rsid w:val="53EF6F2B"/>
    <w:rsid w:val="5418094F"/>
    <w:rsid w:val="541B23CD"/>
    <w:rsid w:val="54494D89"/>
    <w:rsid w:val="547A34CB"/>
    <w:rsid w:val="54A01D1C"/>
    <w:rsid w:val="54AA5D02"/>
    <w:rsid w:val="54C74F61"/>
    <w:rsid w:val="54D264E2"/>
    <w:rsid w:val="54FD4F3F"/>
    <w:rsid w:val="5540344C"/>
    <w:rsid w:val="55747599"/>
    <w:rsid w:val="55C93441"/>
    <w:rsid w:val="55E95892"/>
    <w:rsid w:val="561873B8"/>
    <w:rsid w:val="56327239"/>
    <w:rsid w:val="564D4072"/>
    <w:rsid w:val="566D3F02"/>
    <w:rsid w:val="574F3D09"/>
    <w:rsid w:val="57C02622"/>
    <w:rsid w:val="585039A6"/>
    <w:rsid w:val="58525A22"/>
    <w:rsid w:val="58874B22"/>
    <w:rsid w:val="58B8779D"/>
    <w:rsid w:val="59087C19"/>
    <w:rsid w:val="59710078"/>
    <w:rsid w:val="59E9169B"/>
    <w:rsid w:val="59F86878"/>
    <w:rsid w:val="5A3115B5"/>
    <w:rsid w:val="5A58440E"/>
    <w:rsid w:val="5A5D05FC"/>
    <w:rsid w:val="5A8913F1"/>
    <w:rsid w:val="5ACB03EF"/>
    <w:rsid w:val="5AF251E8"/>
    <w:rsid w:val="5B136F0D"/>
    <w:rsid w:val="5B475B88"/>
    <w:rsid w:val="5B535F4C"/>
    <w:rsid w:val="5BD9458F"/>
    <w:rsid w:val="5C3B496D"/>
    <w:rsid w:val="5CC130C4"/>
    <w:rsid w:val="5CCC7719"/>
    <w:rsid w:val="5D09707E"/>
    <w:rsid w:val="5D14180F"/>
    <w:rsid w:val="5DD30137"/>
    <w:rsid w:val="5E0019CA"/>
    <w:rsid w:val="5E191903"/>
    <w:rsid w:val="5E42709B"/>
    <w:rsid w:val="5E884949"/>
    <w:rsid w:val="5F117C07"/>
    <w:rsid w:val="5F683CCB"/>
    <w:rsid w:val="5F7935AF"/>
    <w:rsid w:val="5F873985"/>
    <w:rsid w:val="5FAB5605"/>
    <w:rsid w:val="5FC6687A"/>
    <w:rsid w:val="6075155E"/>
    <w:rsid w:val="60A70EC5"/>
    <w:rsid w:val="60AB34C9"/>
    <w:rsid w:val="60C02F39"/>
    <w:rsid w:val="60C30974"/>
    <w:rsid w:val="60EC6236"/>
    <w:rsid w:val="60F53D56"/>
    <w:rsid w:val="61616C24"/>
    <w:rsid w:val="626D784A"/>
    <w:rsid w:val="6271541F"/>
    <w:rsid w:val="630006BE"/>
    <w:rsid w:val="63445B96"/>
    <w:rsid w:val="638915D0"/>
    <w:rsid w:val="63A178B1"/>
    <w:rsid w:val="63B572B1"/>
    <w:rsid w:val="6403007B"/>
    <w:rsid w:val="649B069F"/>
    <w:rsid w:val="64A871CF"/>
    <w:rsid w:val="64D67929"/>
    <w:rsid w:val="64D87E3D"/>
    <w:rsid w:val="64DE058B"/>
    <w:rsid w:val="65046244"/>
    <w:rsid w:val="65085608"/>
    <w:rsid w:val="656E190F"/>
    <w:rsid w:val="65B11292"/>
    <w:rsid w:val="65B31A18"/>
    <w:rsid w:val="66796B71"/>
    <w:rsid w:val="66BB5028"/>
    <w:rsid w:val="66C6738F"/>
    <w:rsid w:val="66D9391A"/>
    <w:rsid w:val="66F74963"/>
    <w:rsid w:val="671E05BD"/>
    <w:rsid w:val="673E3563"/>
    <w:rsid w:val="67D85766"/>
    <w:rsid w:val="681D761D"/>
    <w:rsid w:val="682269E1"/>
    <w:rsid w:val="6878659F"/>
    <w:rsid w:val="68D66149"/>
    <w:rsid w:val="69095099"/>
    <w:rsid w:val="692F585A"/>
    <w:rsid w:val="69491767"/>
    <w:rsid w:val="69591C34"/>
    <w:rsid w:val="69A8773E"/>
    <w:rsid w:val="69AE2E42"/>
    <w:rsid w:val="6A18009C"/>
    <w:rsid w:val="6AB733D0"/>
    <w:rsid w:val="6AB9525A"/>
    <w:rsid w:val="6AE172C3"/>
    <w:rsid w:val="6B1541DA"/>
    <w:rsid w:val="6B5E4966"/>
    <w:rsid w:val="6B7B2FD8"/>
    <w:rsid w:val="6C1A20EA"/>
    <w:rsid w:val="6C4B63C8"/>
    <w:rsid w:val="6C5D448C"/>
    <w:rsid w:val="6C755C79"/>
    <w:rsid w:val="6CFE7A1D"/>
    <w:rsid w:val="6D254FA9"/>
    <w:rsid w:val="6D5A02DE"/>
    <w:rsid w:val="6D855A48"/>
    <w:rsid w:val="6DF32B48"/>
    <w:rsid w:val="6DF56252"/>
    <w:rsid w:val="6E1E34B7"/>
    <w:rsid w:val="6E8B52E0"/>
    <w:rsid w:val="6EE60768"/>
    <w:rsid w:val="6EFC21F4"/>
    <w:rsid w:val="6F234BFA"/>
    <w:rsid w:val="6F2F79BF"/>
    <w:rsid w:val="6F5D43DF"/>
    <w:rsid w:val="6FE949B4"/>
    <w:rsid w:val="70A628A5"/>
    <w:rsid w:val="70C42D2B"/>
    <w:rsid w:val="714A1482"/>
    <w:rsid w:val="716D6F1F"/>
    <w:rsid w:val="71A243BD"/>
    <w:rsid w:val="71C86C51"/>
    <w:rsid w:val="71FF2294"/>
    <w:rsid w:val="72072EE6"/>
    <w:rsid w:val="723E2669"/>
    <w:rsid w:val="72C95A2D"/>
    <w:rsid w:val="73687C20"/>
    <w:rsid w:val="736D2381"/>
    <w:rsid w:val="73BF77DA"/>
    <w:rsid w:val="73D30734"/>
    <w:rsid w:val="73E65B57"/>
    <w:rsid w:val="73EF57BD"/>
    <w:rsid w:val="74864B76"/>
    <w:rsid w:val="753B6E07"/>
    <w:rsid w:val="7553467E"/>
    <w:rsid w:val="757A7E5C"/>
    <w:rsid w:val="75895782"/>
    <w:rsid w:val="75A24CA8"/>
    <w:rsid w:val="75F25CC3"/>
    <w:rsid w:val="75F509DF"/>
    <w:rsid w:val="75FB598A"/>
    <w:rsid w:val="769027A6"/>
    <w:rsid w:val="76DE4877"/>
    <w:rsid w:val="772C33D8"/>
    <w:rsid w:val="773504DF"/>
    <w:rsid w:val="774923C9"/>
    <w:rsid w:val="776F5E6A"/>
    <w:rsid w:val="778E7BEF"/>
    <w:rsid w:val="77B74B0E"/>
    <w:rsid w:val="77BB56B8"/>
    <w:rsid w:val="77C67389"/>
    <w:rsid w:val="77D9170E"/>
    <w:rsid w:val="77EF4B32"/>
    <w:rsid w:val="784F3511"/>
    <w:rsid w:val="787D74A8"/>
    <w:rsid w:val="787F52A8"/>
    <w:rsid w:val="78B705EE"/>
    <w:rsid w:val="792A3948"/>
    <w:rsid w:val="79570020"/>
    <w:rsid w:val="799F483E"/>
    <w:rsid w:val="79A050D4"/>
    <w:rsid w:val="79B871A5"/>
    <w:rsid w:val="79E42378"/>
    <w:rsid w:val="7A872C09"/>
    <w:rsid w:val="7A920369"/>
    <w:rsid w:val="7AC12AAF"/>
    <w:rsid w:val="7AC57A5D"/>
    <w:rsid w:val="7B332694"/>
    <w:rsid w:val="7B7470B4"/>
    <w:rsid w:val="7B7D4454"/>
    <w:rsid w:val="7CA924CB"/>
    <w:rsid w:val="7CD65172"/>
    <w:rsid w:val="7CE24C65"/>
    <w:rsid w:val="7CEF1130"/>
    <w:rsid w:val="7D4A0A5C"/>
    <w:rsid w:val="7D6343F9"/>
    <w:rsid w:val="7DB32B26"/>
    <w:rsid w:val="7DDFD820"/>
    <w:rsid w:val="7E5576B9"/>
    <w:rsid w:val="7E9F372D"/>
    <w:rsid w:val="7EF020BD"/>
    <w:rsid w:val="7F582D78"/>
    <w:rsid w:val="7FBE43E0"/>
    <w:rsid w:val="7FCBD802"/>
    <w:rsid w:val="7FFF78DC"/>
    <w:rsid w:val="ABFF3CD2"/>
    <w:rsid w:val="B2F788E1"/>
    <w:rsid w:val="B75F49EF"/>
    <w:rsid w:val="D7EF110B"/>
    <w:rsid w:val="FEBF5C8B"/>
    <w:rsid w:val="FFBFC9B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rPr>
  </w:style>
  <w:style w:type="paragraph" w:styleId="2">
    <w:name w:val="heading 2"/>
    <w:basedOn w:val="1"/>
    <w:next w:val="1"/>
    <w:link w:val="15"/>
    <w:unhideWhenUsed/>
    <w:qFormat/>
    <w:uiPriority w:val="0"/>
    <w:pPr>
      <w:keepNext/>
      <w:keepLines/>
      <w:spacing w:before="260" w:after="260" w:line="413" w:lineRule="auto"/>
      <w:outlineLvl w:val="1"/>
    </w:pPr>
    <w:rPr>
      <w:rFonts w:eastAsia="黑体"/>
      <w:b/>
      <w:sz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footnote text"/>
    <w:basedOn w:val="1"/>
    <w:qFormat/>
    <w:uiPriority w:val="0"/>
    <w:pPr>
      <w:snapToGrid w:val="0"/>
      <w:jc w:val="left"/>
    </w:pPr>
    <w:rPr>
      <w:sz w:val="18"/>
    </w:rPr>
  </w:style>
  <w:style w:type="paragraph" w:styleId="8">
    <w:name w:val="toc 2"/>
    <w:basedOn w:val="1"/>
    <w:next w:val="1"/>
    <w:qFormat/>
    <w:uiPriority w:val="0"/>
    <w:pPr>
      <w:ind w:left="420" w:left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Hyperlink"/>
    <w:basedOn w:val="11"/>
    <w:qFormat/>
    <w:uiPriority w:val="0"/>
    <w:rPr>
      <w:color w:val="0000FF"/>
      <w:u w:val="single"/>
    </w:rPr>
  </w:style>
  <w:style w:type="character" w:styleId="14">
    <w:name w:val="footnote reference"/>
    <w:basedOn w:val="11"/>
    <w:qFormat/>
    <w:uiPriority w:val="0"/>
    <w:rPr>
      <w:vertAlign w:val="superscript"/>
    </w:rPr>
  </w:style>
  <w:style w:type="character" w:customStyle="1" w:styleId="15">
    <w:name w:val="标题 2 字符"/>
    <w:link w:val="2"/>
    <w:qFormat/>
    <w:uiPriority w:val="0"/>
    <w:rPr>
      <w:rFonts w:eastAsia="黑体"/>
      <w:b/>
      <w:sz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0"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20</Pages>
  <Words>7691</Words>
  <Characters>7953</Characters>
  <TotalTime>30</TotalTime>
  <ScaleCrop>false</ScaleCrop>
  <LinksUpToDate>false</LinksUpToDate>
  <CharactersWithSpaces>8126</CharactersWithSpaces>
  <Application>WPS Office_12.8.2.1119_F1E327BC-269C-435d-A152-05C5408002CA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2026-01-14T09:32:00Z</dcterms:created>
  <dc:creator>Apache POI</dc:creator>
  <cp:lastModifiedBy>Lenovo</cp:lastModifiedBy>
  <dcterms:modified xsi:type="dcterms:W3CDTF">2026-09-28T15:56:29Z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eyJoZGlkIjoiNDgzYjE1MzNmZDAyNGJmZjdmOGIxZjViNzMxYzIxMzciLCJ1c2VySWQiOiI0Mzk4NjkzMjkifQ==</vt:lpwstr>
  </property>
  <property fmtid="{D5CDD505-2E9C-101B-9397-08002B2CF9AE}" pid="3" name="KSOProductBuildVer">
    <vt:lpwstr>2052-12.8.2.1119</vt:lpwstr>
  </property>
  <property fmtid="{D5CDD505-2E9C-101B-9397-08002B2CF9AE}" pid="4" name="ICV">
    <vt:lpwstr>FD31F58D587D44AD850AD8131637C104_12</vt:lpwstr>
  </property>
</Properties>
</file>