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ACA97">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03856A5F">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0F3C8234">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jc w:val="center"/>
        <w:textAlignment w:val="auto"/>
        <w:outlineLvl w:val="9"/>
        <w:rPr>
          <w:rFonts w:hint="eastAsia" w:ascii="方正小标宋简体" w:hAnsi="方正小标宋简体" w:eastAsia="方正小标宋简体" w:cs="方正小标宋简体"/>
          <w:snapToGrid w:val="0"/>
          <w:color w:val="auto"/>
          <w:kern w:val="0"/>
          <w:sz w:val="44"/>
          <w:szCs w:val="21"/>
          <w:lang w:val="en-US" w:eastAsia="zh-CN"/>
        </w:rPr>
      </w:pPr>
      <w:r>
        <w:rPr>
          <w:rFonts w:hint="eastAsia" w:ascii="方正小标宋简体" w:hAnsi="方正小标宋简体" w:eastAsia="方正小标宋简体" w:cs="方正小标宋简体"/>
          <w:sz w:val="44"/>
          <w:szCs w:val="44"/>
          <w:lang w:eastAsia="zh-CN"/>
        </w:rPr>
        <w:t>吉阳津海建材市场</w:t>
      </w:r>
      <w:r>
        <w:rPr>
          <w:rFonts w:hint="eastAsia" w:ascii="方正小标宋简体" w:hAnsi="方正小标宋简体" w:eastAsia="方正小标宋简体" w:cs="方正小标宋简体"/>
          <w:sz w:val="44"/>
          <w:szCs w:val="44"/>
          <w:lang w:val="en-US" w:eastAsia="zh-CN"/>
        </w:rPr>
        <w:t>K歌沐足店室内拆墙清运工程</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8·25”一般打击事故调查报告</w:t>
      </w:r>
    </w:p>
    <w:p w14:paraId="42D59D12">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bookmarkStart w:id="0" w:name="heading_0"/>
    </w:p>
    <w:p w14:paraId="16DEEE8A">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0269DD8">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BBB4075">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2CE939D2">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6D576A71">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61F5608C">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BD0B5B9">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3956D63F">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1E793F18">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54767556">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FD5DAA6">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00FA0D6">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7296F75">
      <w:pPr>
        <w:keepNext w:val="0"/>
        <w:keepLines w:val="0"/>
        <w:pageBreakBefore w:val="0"/>
        <w:widowControl w:val="0"/>
        <w:kinsoku/>
        <w:wordWrap/>
        <w:overflowPunct/>
        <w:topLinePunct/>
        <w:autoSpaceDE/>
        <w:autoSpaceDN/>
        <w:bidi w:val="0"/>
        <w:adjustRightInd/>
        <w:snapToGrid/>
        <w:spacing w:line="560" w:lineRule="exact"/>
        <w:ind w:left="0" w:leftChars="0" w:right="0"/>
        <w:jc w:val="both"/>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015D5B48">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auto"/>
          <w:sz w:val="44"/>
          <w:lang w:val="en-US" w:eastAsia="zh-CN"/>
        </w:rPr>
      </w:pPr>
      <w:r>
        <w:rPr>
          <w:rFonts w:hint="eastAsia" w:ascii="方正小标宋简体" w:hAnsi="方正小标宋简体" w:eastAsia="方正小标宋简体" w:cs="方正小标宋简体"/>
          <w:color w:val="auto"/>
          <w:sz w:val="44"/>
          <w:lang w:val="en-US" w:eastAsia="zh-CN"/>
        </w:rPr>
        <w:t>三亚市吉阳区政府事故调查组</w:t>
      </w:r>
    </w:p>
    <w:p w14:paraId="7FA4F2D9">
      <w:pPr>
        <w:keepNext w:val="0"/>
        <w:keepLines w:val="0"/>
        <w:pageBreakBefore w:val="0"/>
        <w:widowControl w:val="0"/>
        <w:kinsoku/>
        <w:wordWrap/>
        <w:overflowPunct/>
        <w:bidi w:val="0"/>
        <w:spacing w:line="560" w:lineRule="exact"/>
        <w:ind w:left="0" w:leftChars="0" w:right="0"/>
        <w:jc w:val="center"/>
        <w:rPr>
          <w:rFonts w:hint="eastAsia" w:ascii="方正小标宋简体" w:hAnsi="方正小标宋简体" w:eastAsia="方正小标宋简体" w:cs="方正小标宋简体"/>
          <w:color w:val="auto"/>
          <w:sz w:val="44"/>
          <w:lang w:val="en-US" w:eastAsia="zh-CN"/>
        </w:rPr>
      </w:pPr>
      <w:r>
        <w:rPr>
          <w:rFonts w:hint="eastAsia" w:ascii="方正小标宋简体" w:hAnsi="方正小标宋简体" w:eastAsia="方正小标宋简体" w:cs="方正小标宋简体"/>
          <w:color w:val="auto"/>
          <w:sz w:val="44"/>
          <w:lang w:val="en-US" w:eastAsia="zh-CN"/>
        </w:rPr>
        <w:t>2026年8月31日</w:t>
      </w:r>
    </w:p>
    <w:p w14:paraId="2EC4E95A">
      <w:pPr>
        <w:keepNext w:val="0"/>
        <w:keepLines w:val="0"/>
        <w:pageBreakBefore w:val="0"/>
        <w:widowControl w:val="0"/>
        <w:kinsoku/>
        <w:wordWrap/>
        <w:overflowPunct/>
        <w:bidi w:val="0"/>
        <w:spacing w:line="560" w:lineRule="exact"/>
        <w:ind w:left="0" w:leftChars="0" w:right="0"/>
        <w:jc w:val="center"/>
        <w:rPr>
          <w:rFonts w:hint="eastAsia" w:ascii="方正小标宋简体" w:hAnsi="方正小标宋简体" w:eastAsia="方正小标宋简体" w:cs="方正小标宋简体"/>
          <w:color w:val="auto"/>
          <w:sz w:val="44"/>
          <w:lang w:val="en-US" w:eastAsia="zh-CN"/>
        </w:rPr>
      </w:pPr>
    </w:p>
    <w:p w14:paraId="76F52FDE">
      <w:pPr>
        <w:keepNext w:val="0"/>
        <w:keepLines w:val="0"/>
        <w:pageBreakBefore w:val="0"/>
        <w:widowControl w:val="0"/>
        <w:kinsoku/>
        <w:wordWrap/>
        <w:overflowPunct/>
        <w:bidi w:val="0"/>
        <w:spacing w:line="560" w:lineRule="exact"/>
        <w:ind w:left="0" w:leftChars="0" w:right="0"/>
        <w:jc w:val="center"/>
        <w:rPr>
          <w:rFonts w:hint="eastAsia" w:ascii="方正小标宋简体" w:hAnsi="方正小标宋简体" w:eastAsia="方正小标宋简体" w:cs="方正小标宋简体"/>
          <w:color w:val="auto"/>
          <w:sz w:val="44"/>
          <w:lang w:val="en-US" w:eastAsia="zh-CN"/>
        </w:rPr>
      </w:pPr>
    </w:p>
    <w:sdt>
      <w:sdtPr>
        <w:rPr>
          <w:rFonts w:ascii="宋体" w:hAnsi="宋体" w:eastAsia="宋体" w:cstheme="minorBidi"/>
          <w:kern w:val="2"/>
          <w:sz w:val="21"/>
          <w:szCs w:val="24"/>
          <w:lang w:val="en-US" w:eastAsia="zh-CN" w:bidi="ar-SA"/>
        </w:rPr>
        <w:id w:val="147453313"/>
        <w15:color w:val="DBDBDB"/>
        <w:docPartObj>
          <w:docPartGallery w:val="Table of Contents"/>
          <w:docPartUnique/>
        </w:docPartObj>
      </w:sdtPr>
      <w:sdtEndPr>
        <w:rPr>
          <w:rFonts w:hint="eastAsia" w:asciiTheme="minorHAnsi" w:hAnsiTheme="minorHAnsi" w:eastAsiaTheme="minorEastAsia" w:cstheme="minorBidi"/>
          <w:bCs/>
          <w:kern w:val="2"/>
          <w:sz w:val="21"/>
          <w:szCs w:val="32"/>
          <w:lang w:val="en-US" w:eastAsia="zh-CN" w:bidi="ar-SA"/>
        </w:rPr>
      </w:sdtEndPr>
      <w:sdtContent>
        <w:p w14:paraId="7FF43107">
          <w:pPr>
            <w:keepNext w:val="0"/>
            <w:keepLines w:val="0"/>
            <w:pageBreakBefore w:val="0"/>
            <w:widowControl w:val="0"/>
            <w:wordWrap/>
            <w:overflowPunct/>
            <w:bidi w:val="0"/>
            <w:spacing w:after="0" w:line="560" w:lineRule="exact"/>
            <w:ind w:left="0" w:leftChars="0" w:right="0" w:rightChars="0" w:firstLine="0" w:firstLineChars="0"/>
            <w:jc w:val="center"/>
            <w:rPr>
              <w:rFonts w:hint="eastAsia" w:asciiTheme="majorEastAsia" w:hAnsiTheme="majorEastAsia" w:eastAsiaTheme="majorEastAsia" w:cstheme="majorEastAsia"/>
              <w:b/>
              <w:bCs/>
              <w:color w:val="auto"/>
              <w:sz w:val="32"/>
              <w:szCs w:val="32"/>
              <w:lang w:val="en-US" w:eastAsia="zh-CN"/>
            </w:rPr>
          </w:pPr>
          <w:r>
            <w:rPr>
              <w:rFonts w:hint="eastAsia" w:asciiTheme="majorEastAsia" w:hAnsiTheme="majorEastAsia" w:eastAsiaTheme="majorEastAsia" w:cstheme="majorEastAsia"/>
              <w:b/>
              <w:bCs/>
              <w:color w:val="auto"/>
              <w:sz w:val="32"/>
              <w:szCs w:val="32"/>
              <w:lang w:val="en-US" w:eastAsia="zh-CN"/>
            </w:rPr>
            <w:t>目 录</w:t>
          </w:r>
        </w:p>
        <w:p w14:paraId="2A2CE71A">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 w:val="21"/>
              <w:szCs w:val="32"/>
              <w:lang w:val="en-US" w:eastAsia="zh-CN" w:bidi="ar-SA"/>
            </w:rPr>
            <w:fldChar w:fldCharType="begin"/>
          </w:r>
          <w:r>
            <w:rPr>
              <w:rFonts w:hint="eastAsia" w:asciiTheme="minorHAnsi" w:hAnsiTheme="minorHAnsi" w:eastAsiaTheme="minorEastAsia" w:cstheme="minorBidi"/>
              <w:bCs/>
              <w:kern w:val="2"/>
              <w:sz w:val="21"/>
              <w:szCs w:val="32"/>
              <w:lang w:val="en-US" w:eastAsia="zh-CN" w:bidi="ar-SA"/>
            </w:rPr>
            <w:instrText xml:space="preserve">TOC \o "1-2" \h \u </w:instrText>
          </w:r>
          <w:r>
            <w:rPr>
              <w:rFonts w:hint="eastAsia" w:asciiTheme="minorHAnsi" w:hAnsiTheme="minorHAnsi" w:eastAsiaTheme="minorEastAsia" w:cstheme="minorBidi"/>
              <w:bCs/>
              <w:kern w:val="2"/>
              <w:sz w:val="21"/>
              <w:szCs w:val="32"/>
              <w:lang w:val="en-US" w:eastAsia="zh-CN" w:bidi="ar-SA"/>
            </w:rPr>
            <w:fldChar w:fldCharType="separate"/>
          </w: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_Toc3210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一、事故基本情况</w:t>
          </w:r>
          <w:r>
            <w:tab/>
          </w:r>
          <w:r>
            <w:fldChar w:fldCharType="begin"/>
          </w:r>
          <w:r>
            <w:instrText xml:space="preserve"> PAGEREF _Toc3210 \h </w:instrText>
          </w:r>
          <w:r>
            <w:fldChar w:fldCharType="separate"/>
          </w:r>
          <w:r>
            <w:t>4</w:t>
          </w:r>
          <w:r>
            <w:fldChar w:fldCharType="end"/>
          </w:r>
          <w:r>
            <w:rPr>
              <w:rFonts w:hint="eastAsia" w:asciiTheme="minorHAnsi" w:hAnsiTheme="minorHAnsi" w:eastAsiaTheme="minorEastAsia" w:cstheme="minorBidi"/>
              <w:bCs/>
              <w:kern w:val="2"/>
              <w:szCs w:val="32"/>
              <w:lang w:val="en-US" w:eastAsia="zh-CN" w:bidi="ar-SA"/>
            </w:rPr>
            <w:fldChar w:fldCharType="end"/>
          </w:r>
        </w:p>
        <w:p w14:paraId="0AB7F140">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_Toc11701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（一）事故发生单位概况</w:t>
          </w:r>
          <w:r>
            <w:tab/>
          </w:r>
          <w:r>
            <w:fldChar w:fldCharType="begin"/>
          </w:r>
          <w:r>
            <w:instrText xml:space="preserve"> PAGEREF _Toc11701 \h </w:instrText>
          </w:r>
          <w:r>
            <w:fldChar w:fldCharType="separate"/>
          </w:r>
          <w:r>
            <w:t>4</w:t>
          </w:r>
          <w:r>
            <w:fldChar w:fldCharType="end"/>
          </w:r>
          <w:r>
            <w:rPr>
              <w:rFonts w:hint="eastAsia" w:asciiTheme="minorHAnsi" w:hAnsiTheme="minorHAnsi" w:eastAsiaTheme="minorEastAsia" w:cstheme="minorBidi"/>
              <w:bCs/>
              <w:kern w:val="2"/>
              <w:szCs w:val="32"/>
              <w:lang w:val="en-US" w:eastAsia="zh-CN" w:bidi="ar-SA"/>
            </w:rPr>
            <w:fldChar w:fldCharType="end"/>
          </w:r>
        </w:p>
        <w:p w14:paraId="51962B50">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_Toc28834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（二）事故发生单位安全管理情况</w:t>
          </w:r>
          <w:r>
            <w:tab/>
          </w:r>
          <w:r>
            <w:fldChar w:fldCharType="begin"/>
          </w:r>
          <w:r>
            <w:instrText xml:space="preserve"> PAGEREF _Toc28834 \h </w:instrText>
          </w:r>
          <w:r>
            <w:fldChar w:fldCharType="separate"/>
          </w:r>
          <w:r>
            <w:t>6</w:t>
          </w:r>
          <w:r>
            <w:fldChar w:fldCharType="end"/>
          </w:r>
          <w:r>
            <w:rPr>
              <w:rFonts w:hint="eastAsia" w:asciiTheme="minorHAnsi" w:hAnsiTheme="minorHAnsi" w:eastAsiaTheme="minorEastAsia" w:cstheme="minorBidi"/>
              <w:bCs/>
              <w:kern w:val="2"/>
              <w:szCs w:val="32"/>
              <w:lang w:val="en-US" w:eastAsia="zh-CN" w:bidi="ar-SA"/>
            </w:rPr>
            <w:fldChar w:fldCharType="end"/>
          </w:r>
        </w:p>
        <w:p w14:paraId="5C2A5670">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_Toc3069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（三）事故发生经过</w:t>
          </w:r>
          <w:r>
            <w:tab/>
          </w:r>
          <w:r>
            <w:fldChar w:fldCharType="begin"/>
          </w:r>
          <w:r>
            <w:instrText xml:space="preserve"> PAGEREF _Toc3069 \h </w:instrText>
          </w:r>
          <w:r>
            <w:fldChar w:fldCharType="separate"/>
          </w:r>
          <w:r>
            <w:t>7</w:t>
          </w:r>
          <w:r>
            <w:fldChar w:fldCharType="end"/>
          </w:r>
          <w:r>
            <w:rPr>
              <w:rFonts w:hint="eastAsia" w:asciiTheme="minorHAnsi" w:hAnsiTheme="minorHAnsi" w:eastAsiaTheme="minorEastAsia" w:cstheme="minorBidi"/>
              <w:bCs/>
              <w:kern w:val="2"/>
              <w:szCs w:val="32"/>
              <w:lang w:val="en-US" w:eastAsia="zh-CN" w:bidi="ar-SA"/>
            </w:rPr>
            <w:fldChar w:fldCharType="end"/>
          </w:r>
        </w:p>
        <w:p w14:paraId="1374E2F4">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_Toc18230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（四）事故现场情况</w:t>
          </w:r>
          <w:r>
            <w:tab/>
          </w:r>
          <w:r>
            <w:fldChar w:fldCharType="begin"/>
          </w:r>
          <w:r>
            <w:instrText xml:space="preserve"> PAGEREF _Toc18230 \h </w:instrText>
          </w:r>
          <w:r>
            <w:fldChar w:fldCharType="separate"/>
          </w:r>
          <w:r>
            <w:t>8</w:t>
          </w:r>
          <w:r>
            <w:fldChar w:fldCharType="end"/>
          </w:r>
          <w:r>
            <w:rPr>
              <w:rFonts w:hint="eastAsia" w:asciiTheme="minorHAnsi" w:hAnsiTheme="minorHAnsi" w:eastAsiaTheme="minorEastAsia" w:cstheme="minorBidi"/>
              <w:bCs/>
              <w:kern w:val="2"/>
              <w:szCs w:val="32"/>
              <w:lang w:val="en-US" w:eastAsia="zh-CN" w:bidi="ar-SA"/>
            </w:rPr>
            <w:fldChar w:fldCharType="end"/>
          </w:r>
        </w:p>
        <w:p w14:paraId="3478DF9B">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_Toc163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（五）事故造成的人员伤亡和直接经济损失</w:t>
          </w:r>
          <w:r>
            <w:tab/>
          </w:r>
          <w:r>
            <w:fldChar w:fldCharType="begin"/>
          </w:r>
          <w:r>
            <w:instrText xml:space="preserve"> PAGEREF _Toc163 \h </w:instrText>
          </w:r>
          <w:r>
            <w:fldChar w:fldCharType="separate"/>
          </w:r>
          <w:r>
            <w:t>8</w:t>
          </w:r>
          <w:r>
            <w:fldChar w:fldCharType="end"/>
          </w:r>
          <w:r>
            <w:rPr>
              <w:rFonts w:hint="eastAsia" w:asciiTheme="minorHAnsi" w:hAnsiTheme="minorHAnsi" w:eastAsiaTheme="minorEastAsia" w:cstheme="minorBidi"/>
              <w:bCs/>
              <w:kern w:val="2"/>
              <w:szCs w:val="32"/>
              <w:lang w:val="en-US" w:eastAsia="zh-CN" w:bidi="ar-SA"/>
            </w:rPr>
            <w:fldChar w:fldCharType="end"/>
          </w:r>
        </w:p>
        <w:p w14:paraId="1D71CE1B">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_Toc6723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（六）其他情况</w:t>
          </w:r>
          <w:r>
            <w:tab/>
          </w:r>
          <w:r>
            <w:fldChar w:fldCharType="begin"/>
          </w:r>
          <w:r>
            <w:instrText xml:space="preserve"> PAGEREF _Toc6723 \h </w:instrText>
          </w:r>
          <w:r>
            <w:fldChar w:fldCharType="separate"/>
          </w:r>
          <w:r>
            <w:t>9</w:t>
          </w:r>
          <w:r>
            <w:fldChar w:fldCharType="end"/>
          </w:r>
          <w:r>
            <w:rPr>
              <w:rFonts w:hint="eastAsia" w:asciiTheme="minorHAnsi" w:hAnsiTheme="minorHAnsi" w:eastAsiaTheme="minorEastAsia" w:cstheme="minorBidi"/>
              <w:bCs/>
              <w:kern w:val="2"/>
              <w:szCs w:val="32"/>
              <w:lang w:val="en-US" w:eastAsia="zh-CN" w:bidi="ar-SA"/>
            </w:rPr>
            <w:fldChar w:fldCharType="end"/>
          </w:r>
        </w:p>
        <w:p w14:paraId="2FDA1617">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_Toc9755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二、事故应急处置及评估情况</w:t>
          </w:r>
          <w:r>
            <w:tab/>
          </w:r>
          <w:r>
            <w:fldChar w:fldCharType="begin"/>
          </w:r>
          <w:r>
            <w:instrText xml:space="preserve"> PAGEREF _Toc9755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78B832D7">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_Toc14618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（一）事故信息接报及响应情况</w:t>
          </w:r>
          <w:r>
            <w:tab/>
          </w:r>
          <w:r>
            <w:fldChar w:fldCharType="begin"/>
          </w:r>
          <w:r>
            <w:instrText xml:space="preserve"> PAGEREF _Toc14618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25BB7593">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_Toc23162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（二）事故现场应急处置情况</w:t>
          </w:r>
          <w:r>
            <w:tab/>
          </w:r>
          <w:r>
            <w:fldChar w:fldCharType="begin"/>
          </w:r>
          <w:r>
            <w:instrText xml:space="preserve"> PAGEREF _Toc23162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068BC6F8">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_Toc11637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（三）医疗救治和善后情况</w:t>
          </w:r>
          <w:r>
            <w:tab/>
          </w:r>
          <w:r>
            <w:fldChar w:fldCharType="begin"/>
          </w:r>
          <w:r>
            <w:instrText xml:space="preserve"> PAGEREF _Toc11637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157F0C30">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_Toc31902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（四）事故应急处置评估</w:t>
          </w:r>
          <w:r>
            <w:tab/>
          </w:r>
          <w:r>
            <w:fldChar w:fldCharType="begin"/>
          </w:r>
          <w:r>
            <w:instrText xml:space="preserve"> PAGEREF _Toc31902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78EE6640">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_Toc11908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三、事故原因分析</w:t>
          </w:r>
          <w:r>
            <w:tab/>
          </w:r>
          <w:r>
            <w:fldChar w:fldCharType="begin"/>
          </w:r>
          <w:r>
            <w:instrText xml:space="preserve"> PAGEREF _Toc11908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7914F09B">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_Toc5021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（一）直接原因分析</w:t>
          </w:r>
          <w:r>
            <w:tab/>
          </w:r>
          <w:r>
            <w:fldChar w:fldCharType="begin"/>
          </w:r>
          <w:r>
            <w:instrText xml:space="preserve"> PAGEREF _Toc5021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4383930F">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_Toc10528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（二）事故相关检验检测和鉴定情况</w:t>
          </w:r>
          <w:r>
            <w:tab/>
          </w:r>
          <w:r>
            <w:fldChar w:fldCharType="begin"/>
          </w:r>
          <w:r>
            <w:instrText xml:space="preserve"> PAGEREF _Toc10528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2FCA1293">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_Toc15007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（三）其他可能因素排除</w:t>
          </w:r>
          <w:r>
            <w:tab/>
          </w:r>
          <w:r>
            <w:fldChar w:fldCharType="begin"/>
          </w:r>
          <w:r>
            <w:instrText xml:space="preserve"> PAGEREF _Toc15007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4E3FBFB9">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_Toc28348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（四）间接原因分析</w:t>
          </w:r>
          <w:r>
            <w:tab/>
          </w:r>
          <w:r>
            <w:fldChar w:fldCharType="begin"/>
          </w:r>
          <w:r>
            <w:instrText xml:space="preserve"> PAGEREF _Toc28348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147E349A">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_Toc15500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四、有关责任单位存在的主要问题</w:t>
          </w:r>
          <w:r>
            <w:tab/>
          </w:r>
          <w:r>
            <w:fldChar w:fldCharType="begin"/>
          </w:r>
          <w:r>
            <w:instrText xml:space="preserve"> PAGEREF _Toc15500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69C9FCA4">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_Toc26837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（一）事故单位</w:t>
          </w:r>
          <w:r>
            <w:tab/>
          </w:r>
          <w:r>
            <w:fldChar w:fldCharType="begin"/>
          </w:r>
          <w:r>
            <w:instrText xml:space="preserve"> PAGEREF _Toc26837 \h </w:instrText>
          </w:r>
          <w:r>
            <w:fldChar w:fldCharType="separate"/>
          </w:r>
          <w:r>
            <w:t>12</w:t>
          </w:r>
          <w:r>
            <w:fldChar w:fldCharType="end"/>
          </w:r>
          <w:r>
            <w:rPr>
              <w:rFonts w:hint="eastAsia" w:asciiTheme="minorHAnsi" w:hAnsiTheme="minorHAnsi" w:eastAsiaTheme="minorEastAsia" w:cstheme="minorBidi"/>
              <w:bCs/>
              <w:kern w:val="2"/>
              <w:szCs w:val="32"/>
              <w:lang w:val="en-US" w:eastAsia="zh-CN" w:bidi="ar-SA"/>
            </w:rPr>
            <w:fldChar w:fldCharType="end"/>
          </w:r>
        </w:p>
        <w:p w14:paraId="1252B231">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_Toc26173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（二）有关监管部门</w:t>
          </w:r>
          <w:r>
            <w:tab/>
          </w:r>
          <w:r>
            <w:fldChar w:fldCharType="begin"/>
          </w:r>
          <w:r>
            <w:instrText xml:space="preserve"> PAGEREF _Toc26173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0C47E266">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_Toc23791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（三）地方党委政府</w:t>
          </w:r>
          <w:r>
            <w:tab/>
          </w:r>
          <w:r>
            <w:fldChar w:fldCharType="begin"/>
          </w:r>
          <w:r>
            <w:instrText xml:space="preserve"> PAGEREF _Toc23791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207DDD16">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_Toc2825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五、对有关责任人员和责任单位的处理建议</w:t>
          </w:r>
          <w:r>
            <w:tab/>
          </w:r>
          <w:r>
            <w:fldChar w:fldCharType="begin"/>
          </w:r>
          <w:r>
            <w:instrText xml:space="preserve"> PAGEREF _Toc2825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016EF13C">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_Toc27998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（一）因在事故中死亡免予或不予追究责任人员</w:t>
          </w:r>
          <w:r>
            <w:tab/>
          </w:r>
          <w:r>
            <w:fldChar w:fldCharType="begin"/>
          </w:r>
          <w:r>
            <w:instrText xml:space="preserve"> PAGEREF _Toc27998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7C26A04E">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_Toc22244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（二）已被司法机关采取强制措施人员</w:t>
          </w:r>
          <w:r>
            <w:tab/>
          </w:r>
          <w:r>
            <w:fldChar w:fldCharType="begin"/>
          </w:r>
          <w:r>
            <w:instrText xml:space="preserve"> PAGEREF _Toc22244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60D63951">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_Toc9580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 （三）建议移送司法机关处理的人员</w:t>
          </w:r>
          <w:r>
            <w:tab/>
          </w:r>
          <w:r>
            <w:fldChar w:fldCharType="begin"/>
          </w:r>
          <w:r>
            <w:instrText xml:space="preserve"> PAGEREF _Toc9580 \h </w:instrText>
          </w:r>
          <w:r>
            <w:fldChar w:fldCharType="separate"/>
          </w:r>
          <w:r>
            <w:t>14</w:t>
          </w:r>
          <w:r>
            <w:fldChar w:fldCharType="end"/>
          </w:r>
          <w:r>
            <w:rPr>
              <w:rFonts w:hint="eastAsia" w:asciiTheme="minorHAnsi" w:hAnsiTheme="minorHAnsi" w:eastAsiaTheme="minorEastAsia" w:cstheme="minorBidi"/>
              <w:bCs/>
              <w:kern w:val="2"/>
              <w:szCs w:val="32"/>
              <w:lang w:val="en-US" w:eastAsia="zh-CN" w:bidi="ar-SA"/>
            </w:rPr>
            <w:fldChar w:fldCharType="end"/>
          </w:r>
        </w:p>
        <w:p w14:paraId="50E5EDC5">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_Toc8825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（四）对事故有关责任人员和责任单位的行政处罚建议</w:t>
          </w:r>
          <w:r>
            <w:tab/>
          </w:r>
          <w:r>
            <w:fldChar w:fldCharType="begin"/>
          </w:r>
          <w:r>
            <w:instrText xml:space="preserve"> PAGEREF _Toc8825 \h </w:instrText>
          </w:r>
          <w:r>
            <w:fldChar w:fldCharType="separate"/>
          </w:r>
          <w:r>
            <w:t>14</w:t>
          </w:r>
          <w:r>
            <w:fldChar w:fldCharType="end"/>
          </w:r>
          <w:r>
            <w:rPr>
              <w:rFonts w:hint="eastAsia" w:asciiTheme="minorHAnsi" w:hAnsiTheme="minorHAnsi" w:eastAsiaTheme="minorEastAsia" w:cstheme="minorBidi"/>
              <w:bCs/>
              <w:kern w:val="2"/>
              <w:szCs w:val="32"/>
              <w:lang w:val="en-US" w:eastAsia="zh-CN" w:bidi="ar-SA"/>
            </w:rPr>
            <w:fldChar w:fldCharType="end"/>
          </w:r>
        </w:p>
        <w:p w14:paraId="14889C8D">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_Toc24784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六、事故主要教训</w:t>
          </w:r>
          <w:r>
            <w:tab/>
          </w:r>
          <w:r>
            <w:fldChar w:fldCharType="begin"/>
          </w:r>
          <w:r>
            <w:instrText xml:space="preserve"> PAGEREF _Toc24784 \h </w:instrText>
          </w:r>
          <w:r>
            <w:fldChar w:fldCharType="separate"/>
          </w:r>
          <w:r>
            <w:t>17</w:t>
          </w:r>
          <w:r>
            <w:fldChar w:fldCharType="end"/>
          </w:r>
          <w:r>
            <w:rPr>
              <w:rFonts w:hint="eastAsia" w:asciiTheme="minorHAnsi" w:hAnsiTheme="minorHAnsi" w:eastAsiaTheme="minorEastAsia" w:cstheme="minorBidi"/>
              <w:bCs/>
              <w:kern w:val="2"/>
              <w:szCs w:val="32"/>
              <w:lang w:val="en-US" w:eastAsia="zh-CN" w:bidi="ar-SA"/>
            </w:rPr>
            <w:fldChar w:fldCharType="end"/>
          </w:r>
        </w:p>
        <w:p w14:paraId="49452385">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_Toc19219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七、事故整改和防范措施</w:t>
          </w:r>
          <w:r>
            <w:tab/>
          </w:r>
          <w:r>
            <w:fldChar w:fldCharType="begin"/>
          </w:r>
          <w:r>
            <w:instrText xml:space="preserve"> PAGEREF _Toc19219 \h </w:instrText>
          </w:r>
          <w:r>
            <w:fldChar w:fldCharType="separate"/>
          </w:r>
          <w:r>
            <w:t>17</w:t>
          </w:r>
          <w:r>
            <w:fldChar w:fldCharType="end"/>
          </w:r>
          <w:r>
            <w:rPr>
              <w:rFonts w:hint="eastAsia" w:asciiTheme="minorHAnsi" w:hAnsiTheme="minorHAnsi" w:eastAsiaTheme="minorEastAsia" w:cstheme="minorBidi"/>
              <w:bCs/>
              <w:kern w:val="2"/>
              <w:szCs w:val="32"/>
              <w:lang w:val="en-US" w:eastAsia="zh-CN" w:bidi="ar-SA"/>
            </w:rPr>
            <w:fldChar w:fldCharType="end"/>
          </w:r>
        </w:p>
        <w:p w14:paraId="692BC9F1">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_Toc15244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w:t>
          </w:r>
          <w:r>
            <w:rPr>
              <w:rFonts w:hint="default" w:ascii="方正楷体_GB2312" w:hAnsi="方正楷体_GB2312" w:eastAsia="方正楷体_GB2312" w:cs="方正楷体_GB2312"/>
              <w:bCs/>
              <w:snapToGrid/>
              <w:kern w:val="2"/>
              <w:szCs w:val="24"/>
              <w:lang w:val="en-US" w:eastAsia="zh-CN" w:bidi="ar-SA"/>
            </w:rPr>
            <w:t>开展专项整治，清零安全隐患</w:t>
          </w:r>
          <w:r>
            <w:tab/>
          </w:r>
          <w:r>
            <w:fldChar w:fldCharType="begin"/>
          </w:r>
          <w:r>
            <w:instrText xml:space="preserve"> PAGEREF _Toc15244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1F98880B">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_Toc11656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（二）强化宣传培训，提升安全素养</w:t>
          </w:r>
          <w:r>
            <w:tab/>
          </w:r>
          <w:r>
            <w:fldChar w:fldCharType="begin"/>
          </w:r>
          <w:r>
            <w:instrText xml:space="preserve"> PAGEREF _Toc11656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7411BBC9">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_Toc22988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（三）完善监管机制，消除监管盲区</w:t>
          </w:r>
          <w:r>
            <w:tab/>
          </w:r>
          <w:r>
            <w:fldChar w:fldCharType="begin"/>
          </w:r>
          <w:r>
            <w:instrText xml:space="preserve"> PAGEREF _Toc22988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5976344C">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_Toc10505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（四）健全管理制度，规范施工管控</w:t>
          </w:r>
          <w:r>
            <w:tab/>
          </w:r>
          <w:r>
            <w:fldChar w:fldCharType="begin"/>
          </w:r>
          <w:r>
            <w:instrText xml:space="preserve"> PAGEREF _Toc10505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2637210C">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_Toc28448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（五）压实属地责任，强化履职监督</w:t>
          </w:r>
          <w:r>
            <w:tab/>
          </w:r>
          <w:r>
            <w:fldChar w:fldCharType="begin"/>
          </w:r>
          <w:r>
            <w:instrText xml:space="preserve"> PAGEREF _Toc28448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5EC17A35">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_Toc12705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（六）坚持举一反三，健全长效机制</w:t>
          </w:r>
          <w:r>
            <w:tab/>
          </w:r>
          <w:r>
            <w:fldChar w:fldCharType="begin"/>
          </w:r>
          <w:r>
            <w:instrText xml:space="preserve"> PAGEREF _Toc12705 \h </w:instrText>
          </w:r>
          <w:r>
            <w:fldChar w:fldCharType="separate"/>
          </w:r>
          <w:r>
            <w:t>19</w:t>
          </w:r>
          <w:r>
            <w:fldChar w:fldCharType="end"/>
          </w:r>
          <w:r>
            <w:rPr>
              <w:rFonts w:hint="eastAsia" w:asciiTheme="minorHAnsi" w:hAnsiTheme="minorHAnsi" w:eastAsiaTheme="minorEastAsia" w:cstheme="minorBidi"/>
              <w:bCs/>
              <w:kern w:val="2"/>
              <w:szCs w:val="32"/>
              <w:lang w:val="en-US" w:eastAsia="zh-CN" w:bidi="ar-SA"/>
            </w:rPr>
            <w:fldChar w:fldCharType="end"/>
          </w:r>
        </w:p>
        <w:p w14:paraId="6BCD4781">
          <w:pPr>
            <w:pStyle w:val="8"/>
            <w:tabs>
              <w:tab w:val="right" w:leader="dot" w:pos="8844"/>
            </w:tabs>
          </w:pPr>
          <w:r>
            <w:rPr>
              <w:rFonts w:hint="eastAsia" w:asciiTheme="minorHAnsi" w:hAnsiTheme="minorHAnsi" w:eastAsiaTheme="minorEastAsia" w:cstheme="minorBidi"/>
              <w:bCs/>
              <w:kern w:val="2"/>
              <w:szCs w:val="32"/>
              <w:lang w:val="en-US" w:eastAsia="zh-CN" w:bidi="ar-SA"/>
            </w:rPr>
            <w:fldChar w:fldCharType="end"/>
          </w:r>
        </w:p>
      </w:sdtContent>
    </w:sdt>
    <w:p w14:paraId="64CC3B0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p>
    <w:p w14:paraId="4E44A0E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p>
    <w:p w14:paraId="412EEA6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2024年8月25日8时30分许，吉阳津海建材市场K歌沐足店场地室内打拆清理工程现场发生1起物体打击类高处抛物致人死亡事故，造成1人死亡，直接经济损失约 115 万元。</w:t>
      </w:r>
    </w:p>
    <w:p w14:paraId="614D657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事故发生后，区住建局、区应急管理局、荔枝沟派出所第一时间赶赴现场核查情况。当日16时，涉事责任人李永会主动到荔枝沟派出所投案，该所当即以“过失致人死亡”为由立案侦查。为规避“行刑矛盾”，区政府相关职能部门将事故移交公安机关全权侦查，待公安、司法部门出具最终调查结果。</w:t>
      </w:r>
    </w:p>
    <w:p w14:paraId="48D6423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后续判决书仅认定李永会犯重大责任事故罪，未对涉事装修公司、物业公司等其他相关单位及个人的责任作出明确界定，存在生产安全责任认定漏项问题，直接影响死者邓高家属依法主张民事赔偿的合法权益。</w:t>
      </w:r>
    </w:p>
    <w:p w14:paraId="5FD184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鉴于事故后续赔偿、上诉等相关事宜均需以明确的生产安全责任认定为前提，为进一步厘清各相关单位的生产安全责任，依法配合死者邓高家属开展民事赔偿权益追偿工作，妥善化解后续民事纠纷、明晰责任边界，吉阳区人民政府（或相关监管部门）于2025年11月21日依法成立事故调查组。</w:t>
      </w:r>
    </w:p>
    <w:p w14:paraId="44DAA2E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事故调查组由区住房和城乡建设局牵头调查，由区住房和城乡建设局局长黎炯任组长，成员单位包括区应急管理局、区总工会、市综合行政执法局吉阳分局、区纪委监委机关、市公安局吉阳分局等相关单位，各成员单位协同配合，全面推进事故责任核查工作。</w:t>
      </w:r>
    </w:p>
    <w:p w14:paraId="2420C6B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调查组严格遵循“科学严谨、依法依规、实事求是、注重实效”原则和“四不放过”要求，根据《中华人民共和国安全生产法》（国家主席令第88号）、《生产安全事故报告和调查处理条例》（国务院令第 493 号）、《建设工程安全生产管理条例》（国务院令第393号）等有关法律法规规定，通过现场勘验、技术分析、资料查阅、法规研判、询问谈话、专家论证等多种方式进行综合分析，查明事故发生的经过、原因、人员伤亡和直接经济损失，认定事故性质和责任，提出对有关责任单位和责任人的处理建议。同时，调查组举一反三、以点带面，深入剖析事故暴露的突出问题，总结事故主要教训，针对事故原因提出整改和防范措施建议。</w:t>
      </w:r>
    </w:p>
    <w:p w14:paraId="6E4B670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经调查组全面核查论证，依据《中华人民共和国安全生产法》《生产安全事故报告和调查处理条例》等相关法律法规认定：吉阳津海建材市场K歌沐足店场地室内打拆清理工程“8·25”物体打击事故是一起因海南鳄鱼建筑工程有限公司安全生产主体责任不落实、违规转包，吉阳津海建材市场K歌沐足店未履行监管职责，作业人员违规作业导致风险失控引发的一般生产安全责任事故。</w:t>
      </w:r>
    </w:p>
    <w:p w14:paraId="256B679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1" w:name="_Toc3210"/>
      <w:r>
        <w:rPr>
          <w:rFonts w:hint="eastAsia" w:ascii="黑体" w:hAnsi="黑体" w:eastAsia="黑体" w:cs="黑体"/>
          <w:b w:val="0"/>
          <w:bCs w:val="0"/>
          <w:snapToGrid w:val="0"/>
          <w:color w:val="auto"/>
          <w:kern w:val="0"/>
          <w:sz w:val="32"/>
          <w:szCs w:val="32"/>
          <w:lang w:val="en-US" w:eastAsia="zh-CN"/>
        </w:rPr>
        <w:t>一、事故基本情况</w:t>
      </w:r>
      <w:bookmarkEnd w:id="0"/>
      <w:bookmarkEnd w:id="1"/>
    </w:p>
    <w:p w14:paraId="03713C1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2" w:name="_Toc11701"/>
      <w:bookmarkStart w:id="3" w:name="heading_1"/>
      <w:r>
        <w:rPr>
          <w:rStyle w:val="15"/>
          <w:rFonts w:hint="eastAsia" w:ascii="方正楷体_GB2312" w:hAnsi="方正楷体_GB2312" w:eastAsia="方正楷体_GB2312" w:cs="方正楷体_GB2312"/>
          <w:b w:val="0"/>
          <w:bCs/>
          <w:snapToGrid/>
          <w:color w:val="auto"/>
          <w:kern w:val="2"/>
          <w:szCs w:val="24"/>
          <w:lang w:val="en-US" w:eastAsia="zh-CN" w:bidi="ar-SA"/>
        </w:rPr>
        <w:t>（一）事故发生单位概况</w:t>
      </w:r>
      <w:bookmarkEnd w:id="2"/>
      <w:bookmarkEnd w:id="3"/>
    </w:p>
    <w:p w14:paraId="0EFC09F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1.涉事打拆工程发包方</w:t>
      </w:r>
    </w:p>
    <w:p w14:paraId="73091B8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三亚津海建材市场 K 歌沐足店（以下简称：K 歌沐足店）：涉事室内打拆工程发包方。该店位于三亚津海建材市场型材二区一排 1-14 号第三层，铺面面积 1100 平方米，由常耀辉、孙海平等人合伙经营。事故时营业执照未办结，与三亚津海物业发展有限公司签订的相关租赁、装修及安全协议，分别由常耀辉、孙海军与物业方陈安顺签署。</w:t>
      </w:r>
    </w:p>
    <w:p w14:paraId="6A852A3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2.涉事打拆工程承包方、打拆清理工程发包方</w:t>
      </w:r>
    </w:p>
    <w:p w14:paraId="3D2C359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ascii="仿宋" w:hAnsi="仿宋" w:eastAsia="仿宋" w:cs="仿宋"/>
          <w:spacing w:val="5"/>
          <w:sz w:val="31"/>
          <w:szCs w:val="31"/>
        </w:rPr>
        <w:t>海南鳄鱼建筑工程有限公司</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以下简称</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color w:val="auto"/>
          <w:sz w:val="32"/>
          <w:szCs w:val="32"/>
          <w:lang w:val="en-US" w:eastAsia="zh-CN"/>
        </w:rPr>
        <w:t>鳄鱼公司</w:t>
      </w:r>
      <w:r>
        <w:rPr>
          <w:rFonts w:hint="default" w:ascii="方正仿宋_GB2312" w:hAnsi="方正仿宋_GB2312" w:eastAsia="方正仿宋_GB2312" w:cs="方正仿宋_GB2312"/>
          <w:b w:val="0"/>
          <w:bCs w:val="0"/>
          <w:snapToGrid w:val="0"/>
          <w:color w:val="auto"/>
          <w:kern w:val="0"/>
          <w:sz w:val="32"/>
          <w:szCs w:val="32"/>
          <w:lang w:val="en-US" w:eastAsia="zh-CN"/>
        </w:rPr>
        <w:t>）</w:t>
      </w:r>
      <w:r>
        <w:rPr>
          <w:rFonts w:hint="eastAsia" w:ascii="仿宋" w:hAnsi="仿宋" w:eastAsia="仿宋" w:cs="仿宋"/>
          <w:spacing w:val="5"/>
          <w:sz w:val="31"/>
          <w:szCs w:val="31"/>
          <w:lang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统一社会信用代码</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91469001MA5TP78B9K</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注册地址</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海南省三亚市吉阳区津海建材市场陶瓷区一排五栋26-6</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法定代表人</w:t>
      </w:r>
      <w:r>
        <w:rPr>
          <w:rFonts w:hint="eastAsia" w:ascii="方正仿宋_GB2312" w:hAnsi="方正仿宋_GB2312" w:eastAsia="方正仿宋_GB2312" w:cs="方正仿宋_GB2312"/>
          <w:b w:val="0"/>
          <w:bCs w:val="0"/>
          <w:snapToGrid w:val="0"/>
          <w:color w:val="auto"/>
          <w:kern w:val="0"/>
          <w:sz w:val="32"/>
          <w:szCs w:val="32"/>
          <w:lang w:val="en-US" w:eastAsia="zh-CN"/>
        </w:rPr>
        <w:t>：陈夫。股东信息：陈夫，持股比例 99% ；邓远摇，持股比例 1% 。注册时间：2020年9月28日。</w:t>
      </w:r>
      <w:r>
        <w:rPr>
          <w:rFonts w:hint="default" w:ascii="方正仿宋_GB2312" w:hAnsi="方正仿宋_GB2312" w:eastAsia="方正仿宋_GB2312" w:cs="方正仿宋_GB2312"/>
          <w:b w:val="0"/>
          <w:bCs w:val="0"/>
          <w:snapToGrid w:val="0"/>
          <w:color w:val="auto"/>
          <w:kern w:val="0"/>
          <w:sz w:val="32"/>
          <w:szCs w:val="32"/>
          <w:lang w:val="en-US" w:eastAsia="zh-CN"/>
        </w:rPr>
        <w:t>经营范围包括</w:t>
      </w:r>
      <w:r>
        <w:rPr>
          <w:rFonts w:hint="eastAsia" w:ascii="方正仿宋_GB2312" w:hAnsi="方正仿宋_GB2312" w:eastAsia="方正仿宋_GB2312" w:cs="方正仿宋_GB2312"/>
          <w:b w:val="0"/>
          <w:bCs w:val="0"/>
          <w:snapToGrid w:val="0"/>
          <w:color w:val="auto"/>
          <w:kern w:val="0"/>
          <w:sz w:val="32"/>
          <w:szCs w:val="32"/>
          <w:lang w:val="en-US" w:eastAsia="zh-CN"/>
        </w:rPr>
        <w:t>工程建设、装饰装修等。</w:t>
      </w:r>
    </w:p>
    <w:p w14:paraId="7AD2607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3.涉事打拆清理工程承包方</w:t>
      </w:r>
    </w:p>
    <w:p w14:paraId="6599E35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仿宋" w:hAnsi="仿宋" w:eastAsia="仿宋" w:cs="仿宋"/>
          <w:spacing w:val="5"/>
          <w:sz w:val="31"/>
          <w:szCs w:val="31"/>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李永会，2024 年 8 月 22 日与鳄鱼公司签订《项目打拆工程施工合同》，承接涉事场地的室内打拆及清理工程。</w:t>
      </w:r>
    </w:p>
    <w:p w14:paraId="03EC1BD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4.涉事 K 歌沐足店出租方</w:t>
      </w:r>
    </w:p>
    <w:p w14:paraId="311D124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三亚津海物业发展有限公司（以下简称：物业公司）：统一社会信用代码：9146020069319808XY。法定代表人陈玉安，主营商铺租赁、物业管理，为涉事房屋产权及出租单位。</w:t>
      </w:r>
    </w:p>
    <w:p w14:paraId="1C60459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5.涉事 K 歌沐足店打拆垃圾清运车司机</w:t>
      </w:r>
    </w:p>
    <w:p w14:paraId="7EB3963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邓某，男，51岁，广东徐闻人。长期自带车辆从事装修垃圾清运，本事故中被砸中坠车死亡。</w:t>
      </w:r>
    </w:p>
    <w:p w14:paraId="5D5B790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6.涉事相关单位合同关系</w:t>
      </w:r>
    </w:p>
    <w:p w14:paraId="350F130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涉事相关单位合同情况如下：</w:t>
      </w:r>
    </w:p>
    <w:p w14:paraId="0C5BF86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房屋租赁合同：2024年8月16日，物业公司与常耀辉签订，租赁案涉场地用于K歌沐足经营。</w:t>
      </w:r>
    </w:p>
    <w:p w14:paraId="2E098A7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打拆工程合同：2024年8月20日，K歌沐足店与鳄鱼公司签订，工期8月22日至9月5日，造价7.5万元。</w:t>
      </w:r>
    </w:p>
    <w:p w14:paraId="3796912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转包合同：同日，鳄鱼公司将工程转包给李永会，工期8月22日至9月2日，造价4.8万元。</w:t>
      </w:r>
    </w:p>
    <w:p w14:paraId="350B927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清运约定：李玉堂与邓某</w:t>
      </w:r>
      <w:bookmarkStart w:id="43" w:name="_GoBack"/>
      <w:bookmarkEnd w:id="43"/>
      <w:r>
        <w:rPr>
          <w:rFonts w:hint="eastAsia" w:ascii="方正仿宋_GB2312" w:hAnsi="方正仿宋_GB2312" w:eastAsia="方正仿宋_GB2312" w:cs="方正仿宋_GB2312"/>
          <w:b w:val="0"/>
          <w:bCs w:val="0"/>
          <w:snapToGrid w:val="0"/>
          <w:color w:val="auto"/>
          <w:kern w:val="0"/>
          <w:sz w:val="32"/>
          <w:szCs w:val="32"/>
          <w:lang w:val="en-US" w:eastAsia="zh-CN"/>
        </w:rPr>
        <w:t>口头约定清运垃圾，李永会认可，按车计价。</w:t>
      </w:r>
    </w:p>
    <w:p w14:paraId="5E47661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420" w:firstLineChars="200"/>
        <w:jc w:val="both"/>
        <w:textAlignment w:val="baseline"/>
        <w:outlineLvl w:val="9"/>
        <w:rPr>
          <w:rFonts w:hint="eastAsia" w:ascii="仿宋" w:hAnsi="仿宋" w:eastAsia="仿宋" w:cs="仿宋"/>
          <w:spacing w:val="5"/>
          <w:sz w:val="31"/>
          <w:szCs w:val="31"/>
          <w:lang w:val="en-US" w:eastAsia="zh-CN"/>
        </w:rPr>
      </w:pPr>
      <w:r>
        <w:drawing>
          <wp:anchor distT="0" distB="0" distL="114300" distR="114300" simplePos="0" relativeHeight="251659264" behindDoc="0" locked="0" layoutInCell="1" allowOverlap="1">
            <wp:simplePos x="0" y="0"/>
            <wp:positionH relativeFrom="column">
              <wp:posOffset>-121285</wp:posOffset>
            </wp:positionH>
            <wp:positionV relativeFrom="paragraph">
              <wp:posOffset>497205</wp:posOffset>
            </wp:positionV>
            <wp:extent cx="5241290" cy="3415030"/>
            <wp:effectExtent l="0" t="0" r="3810" b="1270"/>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41290" cy="3415030"/>
                    </a:xfrm>
                    <a:prstGeom prst="rect">
                      <a:avLst/>
                    </a:prstGeom>
                    <a:noFill/>
                    <a:ln>
                      <a:noFill/>
                    </a:ln>
                  </pic:spPr>
                </pic:pic>
              </a:graphicData>
            </a:graphic>
          </wp:anchor>
        </w:drawing>
      </w:r>
      <w:r>
        <w:rPr>
          <w:rFonts w:hint="eastAsia" w:ascii="仿宋" w:hAnsi="仿宋" w:eastAsia="仿宋" w:cs="仿宋"/>
          <w:spacing w:val="5"/>
          <w:sz w:val="31"/>
          <w:szCs w:val="31"/>
          <w:lang w:val="en-US" w:eastAsia="zh-CN"/>
        </w:rPr>
        <w:t>涉事相关单位合同关系详细情况见图1。</w:t>
      </w:r>
    </w:p>
    <w:p w14:paraId="5AEB96BA">
      <w:pPr>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center"/>
        <w:textAlignment w:val="baseline"/>
        <w:outlineLvl w:val="9"/>
        <w:rPr>
          <w:rFonts w:hint="default" w:asciiTheme="minorAscii" w:hAnsiTheme="minorBidi" w:eastAsiaTheme="minorEastAsia"/>
          <w:color w:val="000000" w:themeColor="text1"/>
          <w:kern w:val="24"/>
          <w:sz w:val="28"/>
          <w:szCs w:val="28"/>
          <w:lang w:val="en-US" w:eastAsia="zh-CN"/>
        </w:rPr>
      </w:pPr>
      <w:r>
        <w:rPr>
          <w:rFonts w:hint="eastAsia" w:asciiTheme="minorAscii" w:hAnsiTheme="minorBidi" w:eastAsiaTheme="minorEastAsia"/>
          <w:color w:val="000000" w:themeColor="text1"/>
          <w:kern w:val="24"/>
          <w:sz w:val="28"/>
          <w:szCs w:val="28"/>
          <w:lang w:val="en-US" w:eastAsia="zh-CN"/>
        </w:rPr>
        <w:t>图1  涉事相关单位合同关系图</w:t>
      </w:r>
    </w:p>
    <w:p w14:paraId="6172547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bookmarkStart w:id="4" w:name="heading_2"/>
      <w:r>
        <w:rPr>
          <w:rFonts w:hint="eastAsia" w:ascii="方正仿宋_GB2312" w:hAnsi="方正仿宋_GB2312" w:eastAsia="方正仿宋_GB2312" w:cs="方正仿宋_GB2312"/>
          <w:b/>
          <w:bCs/>
          <w:color w:val="auto"/>
          <w:sz w:val="32"/>
          <w:szCs w:val="32"/>
          <w:lang w:val="en-US" w:eastAsia="zh-CN"/>
        </w:rPr>
        <w:t>5.涉事工程施工进展情况</w:t>
      </w:r>
    </w:p>
    <w:p w14:paraId="46BED98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涉事打拆工程于2024年8月22日10时入场施工，至8月25日事故发生时，已施工3天，未完工。</w:t>
      </w:r>
    </w:p>
    <w:p w14:paraId="620E067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5" w:name="_Toc28834"/>
      <w:r>
        <w:rPr>
          <w:rStyle w:val="15"/>
          <w:rFonts w:hint="eastAsia" w:ascii="方正楷体_GB2312" w:hAnsi="方正楷体_GB2312" w:eastAsia="方正楷体_GB2312" w:cs="方正楷体_GB2312"/>
          <w:b w:val="0"/>
          <w:bCs/>
          <w:snapToGrid/>
          <w:color w:val="auto"/>
          <w:kern w:val="2"/>
          <w:szCs w:val="24"/>
          <w:lang w:val="en-US" w:eastAsia="zh-CN" w:bidi="ar-SA"/>
        </w:rPr>
        <w:t>（二）事故发生单位安全管理情况</w:t>
      </w:r>
    </w:p>
    <w:bookmarkEnd w:id="5"/>
    <w:p w14:paraId="4CFE174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1.发包方未履行安全生产主体责任</w:t>
      </w:r>
    </w:p>
    <w:p w14:paraId="60006D4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发包方（K歌沐足店）K歌沐足店未履行安全生产主体责任，未建立安全生产管理体系；签订承包合同时规避法定安全义务，设定违法免责条款，将施工全过程安全责任全部转移给承包方，违法转移责任行为突出。</w:t>
      </w:r>
    </w:p>
    <w:p w14:paraId="44B0F6F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2.打拆工程承接方安全责任严重缺失</w:t>
      </w:r>
    </w:p>
    <w:p w14:paraId="628DE52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2"/>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承包方鳄鱼公司擅自将打拆工程转包给李永会，未审核其施工资质及安全生产条件；转包合同增设违法免责条款转移安全责任，工程转包后未开展任何安全培训、隐患排查及现场监管工作。</w:t>
      </w:r>
    </w:p>
    <w:p w14:paraId="744151A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3.工程实际施工组织者安全责任悬空</w:t>
      </w:r>
    </w:p>
    <w:p w14:paraId="2C5BC4AE">
      <w:pPr>
        <w:keepNext w:val="0"/>
        <w:keepLines w:val="0"/>
        <w:pageBreakBefore w:val="0"/>
        <w:widowControl w:val="0"/>
        <w:kinsoku/>
        <w:wordWrap/>
        <w:overflowPunct/>
        <w:topLinePunct w:val="0"/>
        <w:autoSpaceDE w:val="0"/>
        <w:autoSpaceDN/>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李永会</w:t>
      </w:r>
      <w:r>
        <w:rPr>
          <w:rStyle w:val="14"/>
          <w:rFonts w:hint="eastAsia" w:ascii="方正仿宋_GB2312" w:hAnsi="方正仿宋_GB2312" w:eastAsia="方正仿宋_GB2312" w:cs="方正仿宋_GB2312"/>
          <w:b w:val="0"/>
          <w:bCs w:val="0"/>
          <w:color w:val="auto"/>
          <w:sz w:val="32"/>
          <w:szCs w:val="32"/>
          <w:lang w:val="en-US" w:eastAsia="zh-CN"/>
        </w:rPr>
        <w:t>[</w:t>
      </w:r>
      <w:r>
        <w:rPr>
          <w:rStyle w:val="14"/>
          <w:rFonts w:hint="eastAsia" w:ascii="方正仿宋_GB2312" w:hAnsi="方正仿宋_GB2312" w:eastAsia="方正仿宋_GB2312" w:cs="方正仿宋_GB2312"/>
          <w:b w:val="0"/>
          <w:bCs w:val="0"/>
          <w:color w:val="auto"/>
          <w:sz w:val="32"/>
          <w:szCs w:val="32"/>
          <w:lang w:val="en-US" w:eastAsia="zh-CN"/>
        </w:rPr>
        <w:footnoteReference w:id="0"/>
      </w:r>
      <w:r>
        <w:rPr>
          <w:rStyle w:val="14"/>
          <w:rFonts w:hint="eastAsia" w:ascii="方正仿宋_GB2312" w:hAnsi="方正仿宋_GB2312" w:eastAsia="方正仿宋_GB2312" w:cs="方正仿宋_GB2312"/>
          <w:b w:val="0"/>
          <w:bCs w:val="0"/>
          <w:color w:val="auto"/>
          <w:sz w:val="32"/>
          <w:szCs w:val="32"/>
          <w:lang w:val="en-US" w:eastAsia="zh-CN"/>
        </w:rPr>
        <w:t>]</w:t>
      </w:r>
      <w:r>
        <w:rPr>
          <w:rFonts w:hint="eastAsia" w:ascii="方正仿宋_GB2312" w:hAnsi="方正仿宋_GB2312" w:eastAsia="方正仿宋_GB2312" w:cs="方正仿宋_GB2312"/>
          <w:b w:val="0"/>
          <w:bCs w:val="0"/>
          <w:color w:val="auto"/>
          <w:sz w:val="32"/>
          <w:szCs w:val="32"/>
          <w:lang w:val="en-US" w:eastAsia="zh-CN"/>
        </w:rPr>
        <w:t>，无任何相关施工、安全及运输资质，作为施工主要负责人，未落实安全风险管控，未制定安全施工方案、配备防护设施及开展隐患排查，施工期间存在违规高空抛物行为。</w:t>
      </w:r>
    </w:p>
    <w:p w14:paraId="696F293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4.清运司机违章冒险作业安全责任未落地</w:t>
      </w:r>
    </w:p>
    <w:p w14:paraId="24E157D8">
      <w:pPr>
        <w:keepNext w:val="0"/>
        <w:keepLines w:val="0"/>
        <w:pageBreakBefore w:val="0"/>
        <w:widowControl w:val="0"/>
        <w:kinsoku/>
        <w:wordWrap/>
        <w:overflowPunct/>
        <w:topLinePunct w:val="0"/>
        <w:autoSpaceDE w:val="0"/>
        <w:autoSpaceDN/>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邓高口头约定承接垃圾清运，作业时违规站在货车车顶指挥高空抛物，未佩戴任何安全防护用品，违反作业安全规定</w:t>
      </w:r>
      <w:r>
        <w:rPr>
          <w:rFonts w:hint="eastAsia" w:ascii="方正仿宋_GB2312" w:hAnsi="方正仿宋_GB2312" w:eastAsia="方正仿宋_GB2312" w:cs="方正仿宋_GB2312"/>
          <w:b w:val="0"/>
          <w:bCs w:val="0"/>
          <w:snapToGrid w:val="0"/>
          <w:color w:val="auto"/>
          <w:kern w:val="0"/>
          <w:sz w:val="32"/>
          <w:szCs w:val="32"/>
          <w:lang w:val="en-US" w:eastAsia="zh-CN"/>
        </w:rPr>
        <w:t>。</w:t>
      </w:r>
    </w:p>
    <w:p w14:paraId="18B73D1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6" w:name="_Toc3069"/>
      <w:r>
        <w:rPr>
          <w:rStyle w:val="15"/>
          <w:rFonts w:hint="eastAsia" w:ascii="方正楷体_GB2312" w:hAnsi="方正楷体_GB2312" w:eastAsia="方正楷体_GB2312" w:cs="方正楷体_GB2312"/>
          <w:b w:val="0"/>
          <w:bCs/>
          <w:snapToGrid/>
          <w:color w:val="auto"/>
          <w:kern w:val="2"/>
          <w:szCs w:val="24"/>
          <w:lang w:val="en-US" w:eastAsia="zh-CN" w:bidi="ar-SA"/>
        </w:rPr>
        <w:t>（三）事故发生经过</w:t>
      </w:r>
      <w:bookmarkEnd w:id="4"/>
    </w:p>
    <w:bookmarkEnd w:id="6"/>
    <w:p w14:paraId="13886DB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事故调查组经过对相关人员的调查问询及现场监控视频的分析，还原事故发生经过如下：</w:t>
      </w:r>
    </w:p>
    <w:p w14:paraId="3202BCE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2024年8月22日，李永会与鳄鱼公司签订合同承接该店室内打拆清理工程；8月25日7时30分许，邓某等人到工地干活，邓某负责清运垃圾；8时36分许，李永会在三楼向邓某站立的货车车顶抛掷木胶合板，第四块木板击中邓某，致其从车顶坠落，经抢救无效死亡。</w:t>
      </w:r>
    </w:p>
    <w:p w14:paraId="237F265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7" w:name="_Toc18230"/>
      <w:bookmarkStart w:id="8" w:name="heading_3"/>
      <w:r>
        <w:rPr>
          <w:rStyle w:val="15"/>
          <w:rFonts w:hint="eastAsia" w:ascii="方正楷体_GB2312" w:hAnsi="方正楷体_GB2312" w:eastAsia="方正楷体_GB2312" w:cs="方正楷体_GB2312"/>
          <w:b w:val="0"/>
          <w:bCs/>
          <w:snapToGrid/>
          <w:color w:val="auto"/>
          <w:kern w:val="2"/>
          <w:szCs w:val="24"/>
          <w:lang w:val="en-US" w:eastAsia="zh-CN" w:bidi="ar-SA"/>
        </w:rPr>
        <w:t>（四）事故现场情况</w:t>
      </w:r>
      <w:bookmarkEnd w:id="7"/>
    </w:p>
    <w:p w14:paraId="18BA6ED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16"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仿宋" w:hAnsi="仿宋" w:eastAsia="仿宋" w:cs="仿宋"/>
          <w:spacing w:val="-1"/>
          <w:sz w:val="31"/>
          <w:szCs w:val="31"/>
          <w:lang w:val="en-US" w:eastAsia="zh-CN"/>
        </w:rPr>
        <w:t>事故调查组通过现场监控视频判定：</w:t>
      </w:r>
    </w:p>
    <w:p w14:paraId="75E5C0E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1.事故现场位置</w:t>
      </w:r>
    </w:p>
    <w:p w14:paraId="0FA220E8">
      <w:pPr>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firstLine="960" w:firstLineChars="300"/>
        <w:jc w:val="left"/>
        <w:textAlignment w:val="baseline"/>
        <w:outlineLvl w:val="9"/>
        <w:rPr>
          <w:rFonts w:hint="default" w:ascii="仿宋" w:hAnsi="仿宋" w:eastAsia="仿宋" w:cs="仿宋"/>
          <w:spacing w:val="-1"/>
          <w:sz w:val="31"/>
          <w:szCs w:val="31"/>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事故现场位于津海建材城津和顺汽配交易中心内道路，邓高站立的车辆为其所有的蓝色福田自卸货车（车牌号：湘11F1690），车内装有建筑垃圾，该车辆未办理垃圾清运手续。</w:t>
      </w:r>
    </w:p>
    <w:p w14:paraId="4AA1D97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2.事故现场安全防护情况</w:t>
      </w:r>
    </w:p>
    <w:p w14:paraId="3DFFD69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16" w:firstLineChars="200"/>
        <w:jc w:val="both"/>
        <w:textAlignment w:val="baseline"/>
        <w:outlineLvl w:val="9"/>
        <w:rPr>
          <w:rFonts w:hint="eastAsia" w:ascii="仿宋" w:hAnsi="仿宋" w:eastAsia="仿宋" w:cs="仿宋"/>
          <w:spacing w:val="-1"/>
          <w:sz w:val="31"/>
          <w:szCs w:val="31"/>
          <w:lang w:val="en-US" w:eastAsia="zh-CN"/>
        </w:rPr>
      </w:pPr>
      <w:r>
        <w:rPr>
          <w:rFonts w:hint="eastAsia" w:ascii="仿宋" w:hAnsi="仿宋" w:eastAsia="仿宋" w:cs="仿宋"/>
          <w:spacing w:val="-1"/>
          <w:sz w:val="31"/>
          <w:szCs w:val="31"/>
          <w:lang w:val="en-US" w:eastAsia="zh-CN"/>
        </w:rPr>
        <w:t>事故现场除一个标有“禁止停车”的安全立锥之外，没有警戒绳、危险警示牌等其他安全防护措施。</w:t>
      </w:r>
    </w:p>
    <w:p w14:paraId="2894ED0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3.邓高个人安全防护</w:t>
      </w:r>
    </w:p>
    <w:p w14:paraId="055CF0B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16" w:firstLineChars="200"/>
        <w:jc w:val="both"/>
        <w:textAlignment w:val="baseline"/>
        <w:outlineLvl w:val="9"/>
        <w:rPr>
          <w:rFonts w:hint="default" w:ascii="仿宋" w:hAnsi="仿宋" w:eastAsia="仿宋" w:cs="仿宋"/>
          <w:spacing w:val="-1"/>
          <w:sz w:val="31"/>
          <w:szCs w:val="31"/>
          <w:lang w:val="en-US" w:eastAsia="zh-CN"/>
        </w:rPr>
      </w:pPr>
      <w:r>
        <w:rPr>
          <w:rFonts w:hint="eastAsia" w:ascii="仿宋" w:hAnsi="仿宋" w:eastAsia="仿宋" w:cs="仿宋"/>
          <w:spacing w:val="-1"/>
          <w:sz w:val="31"/>
          <w:szCs w:val="31"/>
          <w:lang w:val="en-US" w:eastAsia="zh-CN"/>
        </w:rPr>
        <w:t>事故发生时，邓高没有佩戴安全帽、反光衣等任何安全防护用品。</w:t>
      </w:r>
    </w:p>
    <w:p w14:paraId="569C436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9" w:name="_Toc163"/>
      <w:r>
        <w:rPr>
          <w:rStyle w:val="15"/>
          <w:rFonts w:hint="eastAsia" w:ascii="方正楷体_GB2312" w:hAnsi="方正楷体_GB2312" w:eastAsia="方正楷体_GB2312" w:cs="方正楷体_GB2312"/>
          <w:b w:val="0"/>
          <w:bCs/>
          <w:snapToGrid/>
          <w:color w:val="auto"/>
          <w:kern w:val="2"/>
          <w:szCs w:val="24"/>
          <w:lang w:val="en-US" w:eastAsia="zh-CN" w:bidi="ar-SA"/>
        </w:rPr>
        <w:t>（五）事故造成的人员伤亡和直接经济损失</w:t>
      </w:r>
      <w:bookmarkEnd w:id="8"/>
      <w:bookmarkEnd w:id="9"/>
    </w:p>
    <w:p w14:paraId="0962D82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 人员伤亡情况</w:t>
      </w:r>
    </w:p>
    <w:p w14:paraId="4E0A489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仿宋"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事故共造成</w:t>
      </w:r>
      <w:r>
        <w:rPr>
          <w:rFonts w:hint="eastAsia" w:ascii="方正仿宋_GB2312" w:hAnsi="方正仿宋_GB2312" w:eastAsia="方正仿宋_GB2312" w:cs="方正仿宋_GB2312"/>
          <w:b w:val="0"/>
          <w:bCs w:val="0"/>
          <w:snapToGrid w:val="0"/>
          <w:color w:val="auto"/>
          <w:kern w:val="0"/>
          <w:sz w:val="32"/>
          <w:szCs w:val="32"/>
          <w:lang w:val="en-US" w:eastAsia="zh-CN"/>
        </w:rPr>
        <w:t xml:space="preserve"> 1 </w:t>
      </w:r>
      <w:r>
        <w:rPr>
          <w:rFonts w:hint="default" w:ascii="方正仿宋_GB2312" w:hAnsi="方正仿宋_GB2312" w:eastAsia="方正仿宋_GB2312" w:cs="方正仿宋_GB2312"/>
          <w:b w:val="0"/>
          <w:bCs w:val="0"/>
          <w:snapToGrid w:val="0"/>
          <w:color w:val="auto"/>
          <w:kern w:val="0"/>
          <w:sz w:val="32"/>
          <w:szCs w:val="32"/>
          <w:lang w:val="en-US" w:eastAsia="zh-CN"/>
        </w:rPr>
        <w:t>人死亡</w:t>
      </w:r>
      <w:r>
        <w:rPr>
          <w:rFonts w:hint="eastAsia" w:ascii="方正仿宋_GB2312" w:hAnsi="方正仿宋_GB2312" w:eastAsia="方正仿宋_GB2312" w:cs="方正仿宋_GB2312"/>
          <w:b w:val="0"/>
          <w:bCs w:val="0"/>
          <w:snapToGrid w:val="0"/>
          <w:color w:val="auto"/>
          <w:kern w:val="0"/>
          <w:sz w:val="32"/>
          <w:szCs w:val="32"/>
          <w:lang w:val="en-US" w:eastAsia="zh-CN"/>
        </w:rPr>
        <w:t>。死</w:t>
      </w:r>
      <w:r>
        <w:rPr>
          <w:rFonts w:hint="default" w:ascii="方正仿宋_GB2312" w:hAnsi="方正仿宋_GB2312" w:eastAsia="方正仿宋_GB2312" w:cs="方正仿宋_GB2312"/>
          <w:b w:val="0"/>
          <w:bCs w:val="0"/>
          <w:snapToGrid w:val="0"/>
          <w:color w:val="auto"/>
          <w:kern w:val="0"/>
          <w:sz w:val="32"/>
          <w:szCs w:val="32"/>
          <w:lang w:val="en-US" w:eastAsia="zh-CN"/>
        </w:rPr>
        <w:t>亡人员：</w:t>
      </w:r>
      <w:r>
        <w:rPr>
          <w:rFonts w:hint="eastAsia" w:ascii="方正仿宋_GB2312" w:hAnsi="方正仿宋_GB2312" w:eastAsia="方正仿宋_GB2312" w:cs="方正仿宋_GB2312"/>
          <w:b w:val="0"/>
          <w:bCs w:val="0"/>
          <w:snapToGrid w:val="0"/>
          <w:color w:val="auto"/>
          <w:kern w:val="0"/>
          <w:sz w:val="32"/>
          <w:szCs w:val="32"/>
          <w:lang w:val="en-US" w:eastAsia="zh-CN"/>
        </w:rPr>
        <w:t>邓高</w:t>
      </w:r>
      <w:r>
        <w:rPr>
          <w:rFonts w:hint="default" w:ascii="方正仿宋_GB2312" w:hAnsi="方正仿宋_GB2312" w:eastAsia="方正仿宋_GB2312" w:cs="方正仿宋_GB2312"/>
          <w:b w:val="0"/>
          <w:bCs w:val="0"/>
          <w:snapToGrid w:val="0"/>
          <w:color w:val="auto"/>
          <w:kern w:val="0"/>
          <w:sz w:val="32"/>
          <w:szCs w:val="32"/>
          <w:lang w:val="en-US" w:eastAsia="zh-CN"/>
        </w:rPr>
        <w:t>。</w:t>
      </w:r>
    </w:p>
    <w:p w14:paraId="2568277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 直接经济损失情况</w:t>
      </w:r>
    </w:p>
    <w:p w14:paraId="6358600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0000FF"/>
          <w:kern w:val="0"/>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依据《企业职工伤亡事故经济损失统计标准》（GB/T 6721-1986）及《工伤保险条例》（中华人民共和国国务院令第375号）核定，事故直接经济损失约115万元，其中包括：一次性工亡补助金108.3760万元</w:t>
      </w:r>
      <w:r>
        <w:rPr>
          <w:rStyle w:val="14"/>
          <w:rFonts w:hint="eastAsia" w:ascii="方正仿宋_GB2312" w:hAnsi="方正仿宋_GB2312" w:eastAsia="方正仿宋_GB2312" w:cs="方正仿宋_GB2312"/>
          <w:b w:val="0"/>
          <w:bCs w:val="0"/>
          <w:color w:val="auto"/>
          <w:sz w:val="32"/>
          <w:szCs w:val="32"/>
          <w:lang w:val="en-US" w:eastAsia="zh-CN"/>
        </w:rPr>
        <w:t>[</w:t>
      </w:r>
      <w:r>
        <w:rPr>
          <w:rStyle w:val="14"/>
          <w:rFonts w:hint="eastAsia" w:ascii="方正仿宋_GB2312" w:hAnsi="方正仿宋_GB2312" w:eastAsia="方正仿宋_GB2312" w:cs="方正仿宋_GB2312"/>
          <w:b w:val="0"/>
          <w:bCs w:val="0"/>
          <w:color w:val="auto"/>
          <w:sz w:val="32"/>
          <w:szCs w:val="32"/>
          <w:lang w:val="en-US" w:eastAsia="zh-CN"/>
        </w:rPr>
        <w:footnoteReference w:id="1"/>
      </w:r>
      <w:r>
        <w:rPr>
          <w:rStyle w:val="14"/>
          <w:rFonts w:hint="eastAsia" w:ascii="方正仿宋_GB2312" w:hAnsi="方正仿宋_GB2312" w:eastAsia="方正仿宋_GB2312" w:cs="方正仿宋_GB2312"/>
          <w:b w:val="0"/>
          <w:bCs w:val="0"/>
          <w:color w:val="auto"/>
          <w:sz w:val="32"/>
          <w:szCs w:val="32"/>
          <w:lang w:val="en-US" w:eastAsia="zh-CN"/>
        </w:rPr>
        <w:t>]</w:t>
      </w:r>
      <w:r>
        <w:rPr>
          <w:rFonts w:hint="eastAsia" w:ascii="方正仿宋_GB2312" w:hAnsi="方正仿宋_GB2312" w:eastAsia="方正仿宋_GB2312" w:cs="方正仿宋_GB2312"/>
          <w:b w:val="0"/>
          <w:bCs w:val="0"/>
          <w:color w:val="auto"/>
          <w:sz w:val="32"/>
          <w:szCs w:val="32"/>
          <w:lang w:val="en-US" w:eastAsia="zh-CN"/>
        </w:rPr>
        <w:t>、丧葬补助金 5.8716万元</w:t>
      </w:r>
      <w:r>
        <w:rPr>
          <w:rStyle w:val="14"/>
          <w:rFonts w:hint="eastAsia" w:ascii="方正仿宋_GB2312" w:hAnsi="方正仿宋_GB2312" w:eastAsia="方正仿宋_GB2312" w:cs="方正仿宋_GB2312"/>
          <w:b w:val="0"/>
          <w:bCs w:val="0"/>
          <w:color w:val="auto"/>
          <w:sz w:val="32"/>
          <w:szCs w:val="32"/>
          <w:lang w:val="en-US" w:eastAsia="zh-CN"/>
        </w:rPr>
        <w:t>[</w:t>
      </w:r>
      <w:r>
        <w:rPr>
          <w:rStyle w:val="14"/>
          <w:rFonts w:hint="eastAsia" w:ascii="方正仿宋_GB2312" w:hAnsi="方正仿宋_GB2312" w:eastAsia="方正仿宋_GB2312" w:cs="方正仿宋_GB2312"/>
          <w:b w:val="0"/>
          <w:bCs w:val="0"/>
          <w:color w:val="auto"/>
          <w:sz w:val="32"/>
          <w:szCs w:val="32"/>
          <w:lang w:val="en-US" w:eastAsia="zh-CN"/>
        </w:rPr>
        <w:footnoteReference w:id="2"/>
      </w:r>
      <w:r>
        <w:rPr>
          <w:rStyle w:val="14"/>
          <w:rFonts w:hint="eastAsia" w:ascii="方正仿宋_GB2312" w:hAnsi="方正仿宋_GB2312" w:eastAsia="方正仿宋_GB2312" w:cs="方正仿宋_GB2312"/>
          <w:b w:val="0"/>
          <w:bCs w:val="0"/>
          <w:color w:val="auto"/>
          <w:sz w:val="32"/>
          <w:szCs w:val="32"/>
          <w:lang w:val="en-US" w:eastAsia="zh-CN"/>
        </w:rPr>
        <w:t>]</w:t>
      </w:r>
      <w:r>
        <w:rPr>
          <w:rFonts w:hint="default" w:ascii="方正仿宋_GB2312" w:hAnsi="方正仿宋_GB2312" w:eastAsia="方正仿宋_GB2312" w:cs="方正仿宋_GB2312"/>
          <w:b w:val="0"/>
          <w:bCs w:val="0"/>
          <w:snapToGrid w:val="0"/>
          <w:color w:val="0000FF"/>
          <w:kern w:val="0"/>
          <w:sz w:val="32"/>
          <w:szCs w:val="32"/>
          <w:lang w:val="en-US" w:eastAsia="zh-CN"/>
        </w:rPr>
        <w:t>。</w:t>
      </w:r>
    </w:p>
    <w:p w14:paraId="021E4BF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10" w:name="_Toc6723"/>
      <w:r>
        <w:rPr>
          <w:rStyle w:val="15"/>
          <w:rFonts w:hint="eastAsia" w:ascii="方正楷体_GB2312" w:hAnsi="方正楷体_GB2312" w:eastAsia="方正楷体_GB2312" w:cs="方正楷体_GB2312"/>
          <w:b w:val="0"/>
          <w:bCs/>
          <w:snapToGrid/>
          <w:color w:val="auto"/>
          <w:kern w:val="2"/>
          <w:szCs w:val="24"/>
          <w:lang w:val="en-US" w:eastAsia="zh-CN" w:bidi="ar-SA"/>
        </w:rPr>
        <w:t>（六）其他情况</w:t>
      </w:r>
      <w:bookmarkEnd w:id="10"/>
    </w:p>
    <w:p w14:paraId="603A67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w:t>
      </w:r>
      <w:r>
        <w:rPr>
          <w:rFonts w:hint="default" w:ascii="方正仿宋_GB2312" w:hAnsi="方正仿宋_GB2312" w:eastAsia="方正仿宋_GB2312" w:cs="方正仿宋_GB2312"/>
          <w:b/>
          <w:bCs/>
          <w:color w:val="auto"/>
          <w:sz w:val="32"/>
          <w:szCs w:val="32"/>
          <w:lang w:val="en-US" w:eastAsia="zh-CN"/>
        </w:rPr>
        <w:t>与事故相关的气象</w:t>
      </w:r>
    </w:p>
    <w:p w14:paraId="097A824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根据气象局数据，事故当天最高气温 34℃、最低气温 26℃，阴转多云、西南风 2 级，无不良天气，未对事故发生造成影响。</w:t>
      </w:r>
    </w:p>
    <w:p w14:paraId="6B99304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2.事故现场</w:t>
      </w:r>
      <w:r>
        <w:rPr>
          <w:rFonts w:hint="default" w:ascii="方正仿宋_GB2312" w:hAnsi="方正仿宋_GB2312" w:eastAsia="方正仿宋_GB2312" w:cs="方正仿宋_GB2312"/>
          <w:b/>
          <w:bCs/>
          <w:color w:val="auto"/>
          <w:sz w:val="32"/>
          <w:szCs w:val="32"/>
          <w:lang w:val="en-US" w:eastAsia="zh-CN"/>
        </w:rPr>
        <w:t>环境</w:t>
      </w:r>
      <w:r>
        <w:rPr>
          <w:rFonts w:hint="eastAsia" w:ascii="方正仿宋_GB2312" w:hAnsi="方正仿宋_GB2312" w:eastAsia="方正仿宋_GB2312" w:cs="方正仿宋_GB2312"/>
          <w:b/>
          <w:bCs/>
          <w:color w:val="auto"/>
          <w:sz w:val="32"/>
          <w:szCs w:val="32"/>
          <w:lang w:val="en-US" w:eastAsia="zh-CN"/>
        </w:rPr>
        <w:t>情况</w:t>
      </w:r>
    </w:p>
    <w:p w14:paraId="0A23EB4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仿宋"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涉事K歌沐足店位于津海建材城津和顺汽配交易中心内，涉事货车停放在该中心内道路，现场无明显异常</w:t>
      </w:r>
      <w:r>
        <w:rPr>
          <w:rFonts w:hint="eastAsia" w:ascii="仿宋" w:hAnsi="仿宋" w:eastAsia="仿宋" w:cs="仿宋"/>
          <w:spacing w:val="3"/>
          <w:sz w:val="31"/>
          <w:szCs w:val="31"/>
          <w:lang w:eastAsia="zh-CN"/>
        </w:rPr>
        <w:t>。</w:t>
      </w:r>
    </w:p>
    <w:p w14:paraId="0132C0C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w:t>
      </w:r>
      <w:r>
        <w:rPr>
          <w:rFonts w:hint="default" w:ascii="方正仿宋_GB2312" w:hAnsi="方正仿宋_GB2312" w:eastAsia="方正仿宋_GB2312" w:cs="方正仿宋_GB2312"/>
          <w:b/>
          <w:bCs/>
          <w:color w:val="auto"/>
          <w:sz w:val="32"/>
          <w:szCs w:val="32"/>
          <w:lang w:val="en-US" w:eastAsia="zh-CN"/>
        </w:rPr>
        <w:t>舆论关注热点</w:t>
      </w:r>
    </w:p>
    <w:p w14:paraId="174E294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事故发生当天，李永会主动到荔枝沟派出所自首，公安机关第一时间处置，未引发社会舆情，态势平稳。</w:t>
      </w:r>
    </w:p>
    <w:p w14:paraId="0C221E7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9"/>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4.</w:t>
      </w:r>
      <w:r>
        <w:rPr>
          <w:rFonts w:hint="default" w:ascii="方正仿宋_GB2312" w:hAnsi="方正仿宋_GB2312" w:eastAsia="方正仿宋_GB2312" w:cs="方正仿宋_GB2312"/>
          <w:b/>
          <w:bCs/>
          <w:color w:val="auto"/>
          <w:sz w:val="32"/>
          <w:szCs w:val="32"/>
          <w:lang w:val="en-US" w:eastAsia="zh-CN"/>
        </w:rPr>
        <w:t>其他需要说明的情况</w:t>
      </w:r>
    </w:p>
    <w:p w14:paraId="44846E6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2024年8月25日12时47分，相关部门接到事故工单后赶赴现场处置；当日16时，李永会投案，公安机关以“过失致人死亡”立案侦查，区政府相关部门将事故交由公安机关全权侦查。2025年9月3日，法院判决李永会犯重大责任事故罪，但未认定其他相关单位及个人责任，影响死者家属民事赔偿。因需优先保障刑事程序，吉阳区政府于2025年11月21日依法成立事故调查组，厘清各方安全责任，为家属索赔提供依据。</w:t>
      </w:r>
    </w:p>
    <w:p w14:paraId="330380F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11" w:name="_Toc9755"/>
      <w:r>
        <w:rPr>
          <w:rFonts w:hint="eastAsia" w:ascii="黑体" w:hAnsi="黑体" w:eastAsia="黑体" w:cs="黑体"/>
          <w:b w:val="0"/>
          <w:bCs w:val="0"/>
          <w:snapToGrid w:val="0"/>
          <w:color w:val="auto"/>
          <w:kern w:val="0"/>
          <w:sz w:val="32"/>
          <w:szCs w:val="32"/>
          <w:lang w:val="en-US" w:eastAsia="zh-CN"/>
        </w:rPr>
        <w:t>二、事故应急处置及评估情况</w:t>
      </w:r>
      <w:bookmarkEnd w:id="11"/>
    </w:p>
    <w:p w14:paraId="2C73752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12" w:name="_Toc14618"/>
      <w:r>
        <w:rPr>
          <w:rStyle w:val="15"/>
          <w:rFonts w:hint="eastAsia" w:ascii="方正楷体_GB2312" w:hAnsi="方正楷体_GB2312" w:eastAsia="方正楷体_GB2312" w:cs="方正楷体_GB2312"/>
          <w:b w:val="0"/>
          <w:bCs/>
          <w:snapToGrid/>
          <w:color w:val="auto"/>
          <w:kern w:val="2"/>
          <w:szCs w:val="24"/>
          <w:lang w:val="en-US" w:eastAsia="zh-CN" w:bidi="ar-SA"/>
        </w:rPr>
        <w:t>（一）事故信息接报及响应情况</w:t>
      </w:r>
      <w:bookmarkEnd w:id="12"/>
    </w:p>
    <w:p w14:paraId="0B09958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 xml:space="preserve"> 事故发生后，李永会1分钟内抵达现场，立即查看邓高伤情、拨打120并告知鳄鱼公司法人陈夫，上报规范准确。120急救车20分钟内抵达，住建、应急、公安等部门立即启动应急响应赶赴现场，处置及时高效，无迟报、谎报、瞒报行为。</w:t>
      </w:r>
    </w:p>
    <w:p w14:paraId="528A982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13" w:name="_Toc23162"/>
      <w:r>
        <w:rPr>
          <w:rStyle w:val="15"/>
          <w:rFonts w:hint="eastAsia" w:ascii="方正楷体_GB2312" w:hAnsi="方正楷体_GB2312" w:eastAsia="方正楷体_GB2312" w:cs="方正楷体_GB2312"/>
          <w:b w:val="0"/>
          <w:bCs/>
          <w:snapToGrid/>
          <w:color w:val="auto"/>
          <w:kern w:val="2"/>
          <w:szCs w:val="24"/>
          <w:lang w:val="en-US" w:eastAsia="zh-CN" w:bidi="ar-SA"/>
        </w:rPr>
        <w:t>（二）事故现场应急处置情况</w:t>
      </w:r>
      <w:bookmarkEnd w:id="13"/>
    </w:p>
    <w:p w14:paraId="45E0C99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邓高坠落后无法自救，李永会及时施救、筹款救治，无延误行为。120、公安、住建等部门同步响应，20分钟内抵达现场，40分钟内完成伤者转运，医护人员开展紧急救治，民警维护现场秩序，住建、应急部门开展勘查，处置规范有序。</w:t>
      </w:r>
    </w:p>
    <w:p w14:paraId="7E6AB45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14" w:name="_Toc11637"/>
      <w:r>
        <w:rPr>
          <w:rStyle w:val="15"/>
          <w:rFonts w:hint="eastAsia" w:ascii="方正楷体_GB2312" w:hAnsi="方正楷体_GB2312" w:eastAsia="方正楷体_GB2312" w:cs="方正楷体_GB2312"/>
          <w:b w:val="0"/>
          <w:bCs/>
          <w:snapToGrid/>
          <w:color w:val="auto"/>
          <w:kern w:val="2"/>
          <w:szCs w:val="24"/>
          <w:lang w:val="en-US" w:eastAsia="zh-CN" w:bidi="ar-SA"/>
        </w:rPr>
        <w:t>（三）医疗救治和善后情况</w:t>
      </w:r>
      <w:bookmarkEnd w:id="14"/>
    </w:p>
    <w:p w14:paraId="430EC9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邓</w:t>
      </w:r>
      <w:r>
        <w:rPr>
          <w:rFonts w:hint="default" w:ascii="方正仿宋_GB2312" w:hAnsi="方正仿宋_GB2312" w:eastAsia="方正仿宋_GB2312" w:cs="方正仿宋_GB2312"/>
          <w:b w:val="0"/>
          <w:bCs w:val="0"/>
          <w:color w:val="auto"/>
          <w:sz w:val="32"/>
          <w:szCs w:val="32"/>
          <w:lang w:val="en-US" w:eastAsia="zh-CN"/>
        </w:rPr>
        <w:t>高被转运至医院后，因重型颅脑及颈髓损伤抢救无效死亡，诊疗符合规范，无延误。相关部门牵头安抚家属、协调善后，舆情平稳，无负面舆情；事故无环境污染物泄漏，周边环境未受影响。</w:t>
      </w:r>
    </w:p>
    <w:p w14:paraId="5A2F39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15" w:name="_Toc31902"/>
      <w:r>
        <w:rPr>
          <w:rStyle w:val="15"/>
          <w:rFonts w:hint="eastAsia" w:ascii="方正楷体_GB2312" w:hAnsi="方正楷体_GB2312" w:eastAsia="方正楷体_GB2312" w:cs="方正楷体_GB2312"/>
          <w:b w:val="0"/>
          <w:bCs/>
          <w:snapToGrid/>
          <w:color w:val="auto"/>
          <w:kern w:val="2"/>
          <w:szCs w:val="24"/>
          <w:lang w:val="en-US" w:eastAsia="zh-CN" w:bidi="ar-SA"/>
        </w:rPr>
        <w:t>（四）事故应急处置评估</w:t>
      </w:r>
      <w:bookmarkEnd w:id="15"/>
    </w:p>
    <w:p w14:paraId="7D14A3A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default" w:ascii="方正仿宋_GB2312" w:hAnsi="方正仿宋_GB2312" w:eastAsia="方正仿宋_GB2312" w:cs="方正仿宋_GB2312"/>
          <w:b w:val="0"/>
          <w:bCs w:val="0"/>
          <w:color w:val="auto"/>
          <w:sz w:val="32"/>
          <w:szCs w:val="32"/>
          <w:lang w:val="en-US" w:eastAsia="zh-CN"/>
        </w:rPr>
        <w:t>本次事故应急处置整体合格，各环节落实到位，医疗救治、善后及舆情管控成效良好，最大限度降低事故负面影响。</w:t>
      </w:r>
    </w:p>
    <w:p w14:paraId="7ABF866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16" w:name="heading_5"/>
      <w:bookmarkStart w:id="17" w:name="_Toc11908"/>
      <w:r>
        <w:rPr>
          <w:rFonts w:hint="eastAsia" w:ascii="黑体" w:hAnsi="黑体" w:eastAsia="黑体" w:cs="黑体"/>
          <w:b w:val="0"/>
          <w:bCs w:val="0"/>
          <w:snapToGrid w:val="0"/>
          <w:color w:val="auto"/>
          <w:kern w:val="0"/>
          <w:sz w:val="32"/>
          <w:szCs w:val="32"/>
          <w:lang w:val="en-US" w:eastAsia="zh-CN"/>
        </w:rPr>
        <w:t>三、事故原因分析</w:t>
      </w:r>
      <w:bookmarkEnd w:id="16"/>
      <w:bookmarkEnd w:id="17"/>
    </w:p>
    <w:p w14:paraId="0B9EE2C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18" w:name="heading_6"/>
      <w:bookmarkStart w:id="19" w:name="_Toc5021"/>
      <w:r>
        <w:rPr>
          <w:rStyle w:val="15"/>
          <w:rFonts w:hint="eastAsia" w:ascii="方正楷体_GB2312" w:hAnsi="方正楷体_GB2312" w:eastAsia="方正楷体_GB2312" w:cs="方正楷体_GB2312"/>
          <w:b w:val="0"/>
          <w:bCs/>
          <w:snapToGrid/>
          <w:color w:val="auto"/>
          <w:kern w:val="2"/>
          <w:szCs w:val="24"/>
          <w:lang w:val="en-US" w:eastAsia="zh-CN" w:bidi="ar-SA"/>
        </w:rPr>
        <w:t>（一）直接原因</w:t>
      </w:r>
      <w:bookmarkEnd w:id="18"/>
      <w:r>
        <w:rPr>
          <w:rStyle w:val="15"/>
          <w:rFonts w:hint="eastAsia" w:ascii="方正楷体_GB2312" w:hAnsi="方正楷体_GB2312" w:eastAsia="方正楷体_GB2312" w:cs="方正楷体_GB2312"/>
          <w:b w:val="0"/>
          <w:bCs/>
          <w:snapToGrid/>
          <w:color w:val="auto"/>
          <w:kern w:val="2"/>
          <w:szCs w:val="24"/>
          <w:lang w:val="en-US" w:eastAsia="zh-CN" w:bidi="ar-SA"/>
        </w:rPr>
        <w:t>分析</w:t>
      </w:r>
      <w:bookmarkEnd w:id="19"/>
    </w:p>
    <w:p w14:paraId="6353E2E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李永会违规高空抛物，邓高违章站在货车车顶作业且未佩戴防护用品，现场仅设1个安全立锥、无其他必要防护设施，三者共同导致事故发生。</w:t>
      </w:r>
    </w:p>
    <w:p w14:paraId="31D4365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20" w:name="_Toc10528"/>
      <w:r>
        <w:rPr>
          <w:rStyle w:val="15"/>
          <w:rFonts w:hint="eastAsia" w:ascii="方正楷体_GB2312" w:hAnsi="方正楷体_GB2312" w:eastAsia="方正楷体_GB2312" w:cs="方正楷体_GB2312"/>
          <w:b w:val="0"/>
          <w:bCs/>
          <w:snapToGrid/>
          <w:color w:val="auto"/>
          <w:kern w:val="2"/>
          <w:szCs w:val="24"/>
          <w:lang w:val="en-US" w:eastAsia="zh-CN" w:bidi="ar-SA"/>
        </w:rPr>
        <w:t>（二）事故相关检验检测和鉴定情况</w:t>
      </w:r>
      <w:bookmarkEnd w:id="20"/>
    </w:p>
    <w:p w14:paraId="4659A40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default" w:ascii="方正仿宋_GB2312" w:hAnsi="方正仿宋_GB2312" w:eastAsia="方正仿宋_GB2312" w:cs="方正仿宋_GB2312"/>
          <w:b w:val="0"/>
          <w:bCs w:val="0"/>
          <w:color w:val="auto"/>
          <w:sz w:val="32"/>
          <w:szCs w:val="32"/>
          <w:lang w:val="en-US" w:eastAsia="zh-CN"/>
        </w:rPr>
        <w:t>海南祥正司法鉴定意见书</w:t>
      </w:r>
      <w:r>
        <w:rPr>
          <w:rFonts w:hint="eastAsia" w:ascii="方正仿宋_GB2312" w:hAnsi="方正仿宋_GB2312" w:eastAsia="方正仿宋_GB2312" w:cs="方正仿宋_GB2312"/>
          <w:b w:val="0"/>
          <w:bCs w:val="0"/>
          <w:color w:val="auto"/>
          <w:sz w:val="32"/>
          <w:szCs w:val="32"/>
          <w:lang w:val="en-US" w:eastAsia="zh-CN"/>
        </w:rPr>
        <w:t>（</w:t>
      </w:r>
      <w:r>
        <w:rPr>
          <w:rFonts w:hint="default" w:ascii="方正仿宋_GB2312" w:hAnsi="方正仿宋_GB2312" w:eastAsia="方正仿宋_GB2312" w:cs="方正仿宋_GB2312"/>
          <w:b w:val="0"/>
          <w:bCs w:val="0"/>
          <w:color w:val="auto"/>
          <w:sz w:val="32"/>
          <w:szCs w:val="32"/>
          <w:lang w:val="en-US" w:eastAsia="zh-CN"/>
        </w:rPr>
        <w:t>海祥【2024】病鉴字第131号</w:t>
      </w:r>
      <w:r>
        <w:rPr>
          <w:rFonts w:hint="eastAsia" w:ascii="方正仿宋_GB2312" w:hAnsi="方正仿宋_GB2312" w:eastAsia="方正仿宋_GB2312" w:cs="方正仿宋_GB2312"/>
          <w:b w:val="0"/>
          <w:bCs w:val="0"/>
          <w:color w:val="auto"/>
          <w:sz w:val="32"/>
          <w:szCs w:val="32"/>
          <w:lang w:val="en-US" w:eastAsia="zh-CN"/>
        </w:rPr>
        <w:t>）</w:t>
      </w:r>
      <w:r>
        <w:rPr>
          <w:rFonts w:hint="default" w:ascii="方正仿宋_GB2312" w:hAnsi="方正仿宋_GB2312" w:eastAsia="方正仿宋_GB2312" w:cs="方正仿宋_GB2312"/>
          <w:b w:val="0"/>
          <w:bCs w:val="0"/>
          <w:color w:val="auto"/>
          <w:sz w:val="32"/>
          <w:szCs w:val="32"/>
          <w:lang w:val="en-US" w:eastAsia="zh-CN"/>
        </w:rPr>
        <w:t>认定，邓高符合因重型颅脑及颈髓损伤导致呼吸循环功能衰竭死亡，损伤系高处坠落撞击所致。</w:t>
      </w:r>
    </w:p>
    <w:p w14:paraId="302465A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1" w:name="_Toc15007"/>
      <w:r>
        <w:rPr>
          <w:rStyle w:val="15"/>
          <w:rFonts w:hint="eastAsia" w:ascii="方正楷体_GB2312" w:hAnsi="方正楷体_GB2312" w:eastAsia="方正楷体_GB2312" w:cs="方正楷体_GB2312"/>
          <w:b w:val="0"/>
          <w:bCs/>
          <w:snapToGrid/>
          <w:color w:val="auto"/>
          <w:kern w:val="2"/>
          <w:szCs w:val="24"/>
          <w:lang w:val="en-US" w:eastAsia="zh-CN" w:bidi="ar-SA"/>
        </w:rPr>
        <w:t>（三）其他可能因素排除</w:t>
      </w:r>
      <w:bookmarkEnd w:id="21"/>
    </w:p>
    <w:p w14:paraId="39FAC87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经核查，排除天气、现场环境、第三方干扰、人为故意、医疗救治延误等因素对事故发生及结果的影响。</w:t>
      </w:r>
    </w:p>
    <w:p w14:paraId="54BD81B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2" w:name="heading_7"/>
      <w:bookmarkStart w:id="23" w:name="_Toc28348"/>
      <w:r>
        <w:rPr>
          <w:rStyle w:val="15"/>
          <w:rFonts w:hint="eastAsia" w:ascii="方正楷体_GB2312" w:hAnsi="方正楷体_GB2312" w:eastAsia="方正楷体_GB2312" w:cs="方正楷体_GB2312"/>
          <w:b w:val="0"/>
          <w:bCs/>
          <w:snapToGrid/>
          <w:color w:val="auto"/>
          <w:kern w:val="2"/>
          <w:szCs w:val="24"/>
          <w:lang w:val="en-US" w:eastAsia="zh-CN" w:bidi="ar-SA"/>
        </w:rPr>
        <w:t>（四）间接原因</w:t>
      </w:r>
      <w:bookmarkEnd w:id="22"/>
      <w:r>
        <w:rPr>
          <w:rStyle w:val="15"/>
          <w:rFonts w:hint="eastAsia" w:ascii="方正楷体_GB2312" w:hAnsi="方正楷体_GB2312" w:eastAsia="方正楷体_GB2312" w:cs="方正楷体_GB2312"/>
          <w:b w:val="0"/>
          <w:bCs/>
          <w:snapToGrid/>
          <w:color w:val="auto"/>
          <w:kern w:val="2"/>
          <w:szCs w:val="24"/>
          <w:lang w:val="en-US" w:eastAsia="zh-CN" w:bidi="ar-SA"/>
        </w:rPr>
        <w:t>分析</w:t>
      </w:r>
      <w:bookmarkEnd w:id="23"/>
    </w:p>
    <w:p w14:paraId="0A359D2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经调查核实，本次事故</w:t>
      </w:r>
      <w:r>
        <w:rPr>
          <w:rFonts w:hint="eastAsia" w:ascii="方正仿宋_GB2312" w:hAnsi="方正仿宋_GB2312" w:eastAsia="方正仿宋_GB2312" w:cs="方正仿宋_GB2312"/>
          <w:b w:val="0"/>
          <w:bCs w:val="0"/>
          <w:snapToGrid w:val="0"/>
          <w:color w:val="auto"/>
          <w:kern w:val="0"/>
          <w:sz w:val="32"/>
          <w:szCs w:val="32"/>
          <w:lang w:val="en-US" w:eastAsia="zh-CN"/>
        </w:rPr>
        <w:t>的间接原因包括：</w:t>
      </w:r>
    </w:p>
    <w:p w14:paraId="72D8D43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1. 鳄鱼公司违法转包工程给无资质的李永会，未审核资质、未履行安全监管职责；</w:t>
      </w:r>
    </w:p>
    <w:p w14:paraId="0431C7E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 各方主体责任缺失，K歌沐足店转移安全责任、李永会无资质作业、物业公司未履行监管义务；</w:t>
      </w:r>
    </w:p>
    <w:p w14:paraId="04B5862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3. 安全管理制度失效，无施工方案、无培训、无隐患排查；</w:t>
      </w:r>
    </w:p>
    <w:p w14:paraId="2511AD9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4. 监管存在盲区，对小微企业及个体施工管控不足；</w:t>
      </w:r>
    </w:p>
    <w:p w14:paraId="7CC3F45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5. 从业人员安全意识淡薄、技能不足。</w:t>
      </w:r>
    </w:p>
    <w:p w14:paraId="609E4A9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24" w:name="_Toc15500"/>
      <w:bookmarkStart w:id="25" w:name="heading_9"/>
      <w:r>
        <w:rPr>
          <w:rFonts w:hint="eastAsia" w:ascii="黑体" w:hAnsi="黑体" w:eastAsia="黑体" w:cs="黑体"/>
          <w:b w:val="0"/>
          <w:bCs w:val="0"/>
          <w:snapToGrid w:val="0"/>
          <w:color w:val="auto"/>
          <w:kern w:val="0"/>
          <w:sz w:val="32"/>
          <w:szCs w:val="32"/>
          <w:lang w:val="en-US" w:eastAsia="zh-CN"/>
        </w:rPr>
        <w:t>四、有关责任单位存在的主要问题</w:t>
      </w:r>
      <w:bookmarkEnd w:id="24"/>
    </w:p>
    <w:p w14:paraId="0B8860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6" w:name="_Toc26837"/>
      <w:r>
        <w:rPr>
          <w:rStyle w:val="15"/>
          <w:rFonts w:hint="eastAsia" w:ascii="方正楷体_GB2312" w:hAnsi="方正楷体_GB2312" w:eastAsia="方正楷体_GB2312" w:cs="方正楷体_GB2312"/>
          <w:b w:val="0"/>
          <w:bCs/>
          <w:snapToGrid/>
          <w:color w:val="auto"/>
          <w:kern w:val="2"/>
          <w:szCs w:val="24"/>
          <w:lang w:val="en-US" w:eastAsia="zh-CN" w:bidi="ar-SA"/>
        </w:rPr>
        <w:t>（一）事故单位</w:t>
      </w:r>
      <w:bookmarkEnd w:id="26"/>
    </w:p>
    <w:p w14:paraId="0DC53C8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w:t>
      </w:r>
      <w:r>
        <w:rPr>
          <w:rFonts w:hint="default" w:ascii="方正仿宋_GB2312" w:hAnsi="方正仿宋_GB2312" w:eastAsia="方正仿宋_GB2312" w:cs="方正仿宋_GB2312"/>
          <w:b/>
          <w:bCs/>
          <w:color w:val="auto"/>
          <w:sz w:val="32"/>
          <w:szCs w:val="32"/>
          <w:lang w:val="en-US" w:eastAsia="zh-CN"/>
        </w:rPr>
        <w:t>海南鳄鱼建筑工程有限公司</w:t>
      </w:r>
    </w:p>
    <w:p w14:paraId="06CABD6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海南鳄鱼建筑工程有限公司作为打拆工程承包方，存在多项违法违规行为：短期内将全部工程转包给无施工资质的自然人李永会，未审核其资质及安全生产条件，通过合同签订违法免责条款转移安全责任，且转包后未履行任何安全管理职责，导致工程施工脱离有效安全管控。</w:t>
      </w:r>
    </w:p>
    <w:p w14:paraId="4EF8538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w:t>
      </w:r>
      <w:r>
        <w:rPr>
          <w:rFonts w:hint="default" w:ascii="方正仿宋_GB2312" w:hAnsi="方正仿宋_GB2312" w:eastAsia="方正仿宋_GB2312" w:cs="方正仿宋_GB2312"/>
          <w:b/>
          <w:bCs/>
          <w:color w:val="auto"/>
          <w:sz w:val="32"/>
          <w:szCs w:val="32"/>
          <w:lang w:val="en-US" w:eastAsia="zh-CN"/>
        </w:rPr>
        <w:t>三亚津海建材市场</w:t>
      </w:r>
      <w:r>
        <w:rPr>
          <w:rFonts w:hint="eastAsia" w:ascii="方正仿宋_GB2312" w:hAnsi="方正仿宋_GB2312" w:eastAsia="方正仿宋_GB2312" w:cs="方正仿宋_GB2312"/>
          <w:b/>
          <w:bCs/>
          <w:color w:val="auto"/>
          <w:sz w:val="32"/>
          <w:szCs w:val="32"/>
          <w:lang w:val="en-US" w:eastAsia="zh-CN"/>
        </w:rPr>
        <w:t xml:space="preserve"> </w:t>
      </w:r>
      <w:r>
        <w:rPr>
          <w:rFonts w:hint="default" w:ascii="方正仿宋_GB2312" w:hAnsi="方正仿宋_GB2312" w:eastAsia="方正仿宋_GB2312" w:cs="方正仿宋_GB2312"/>
          <w:b/>
          <w:bCs/>
          <w:color w:val="auto"/>
          <w:sz w:val="32"/>
          <w:szCs w:val="32"/>
          <w:lang w:val="en-US" w:eastAsia="zh-CN"/>
        </w:rPr>
        <w:t>K</w:t>
      </w:r>
      <w:r>
        <w:rPr>
          <w:rFonts w:hint="eastAsia" w:ascii="方正仿宋_GB2312" w:hAnsi="方正仿宋_GB2312" w:eastAsia="方正仿宋_GB2312" w:cs="方正仿宋_GB2312"/>
          <w:b/>
          <w:bCs/>
          <w:color w:val="auto"/>
          <w:sz w:val="32"/>
          <w:szCs w:val="32"/>
          <w:lang w:val="en-US" w:eastAsia="zh-CN"/>
        </w:rPr>
        <w:t xml:space="preserve"> </w:t>
      </w:r>
      <w:r>
        <w:rPr>
          <w:rFonts w:hint="default" w:ascii="方正仿宋_GB2312" w:hAnsi="方正仿宋_GB2312" w:eastAsia="方正仿宋_GB2312" w:cs="方正仿宋_GB2312"/>
          <w:b/>
          <w:bCs/>
          <w:color w:val="auto"/>
          <w:sz w:val="32"/>
          <w:szCs w:val="32"/>
          <w:lang w:val="en-US" w:eastAsia="zh-CN"/>
        </w:rPr>
        <w:t>歌沐足店</w:t>
      </w:r>
    </w:p>
    <w:p w14:paraId="4209EE5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三亚津海建材市场 K 歌沐足店作为工程发包方，未依法履行安全生产主体责任，其主要负责人常耀辉、孙海军未建立健全安全生产管理体系，刻意规避法定安全义务、在合同中设定违法免责条款转移自身安全责任，且对承包方鳄鱼公司的违法转包行为放任不管、未履行施工全过程安全监督义务。</w:t>
      </w:r>
    </w:p>
    <w:p w14:paraId="7938415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w:t>
      </w:r>
      <w:r>
        <w:rPr>
          <w:rFonts w:hint="default" w:ascii="方正仿宋_GB2312" w:hAnsi="方正仿宋_GB2312" w:eastAsia="方正仿宋_GB2312" w:cs="方正仿宋_GB2312"/>
          <w:b/>
          <w:bCs/>
          <w:color w:val="auto"/>
          <w:sz w:val="32"/>
          <w:szCs w:val="32"/>
          <w:lang w:val="en-US" w:eastAsia="zh-CN"/>
        </w:rPr>
        <w:t>李永会（实际施工组织者）</w:t>
      </w:r>
    </w:p>
    <w:p w14:paraId="43CB650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以无资质个人身份承揽打拆及清理工程，不具备作业安全条件；与鳄鱼公司签订合同后，未履行生产经营单位主要负责人职责，未制定安全施工方案、配备防护设施及开展隐患排查，对现场不安全行为未制止，放任高空抛物、违章作业，导致现场安全管理完全失控。</w:t>
      </w:r>
    </w:p>
    <w:p w14:paraId="0DEF25B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4.</w:t>
      </w:r>
      <w:r>
        <w:rPr>
          <w:rFonts w:hint="default" w:ascii="方正仿宋_GB2312" w:hAnsi="方正仿宋_GB2312" w:eastAsia="方正仿宋_GB2312" w:cs="方正仿宋_GB2312"/>
          <w:b/>
          <w:bCs/>
          <w:color w:val="auto"/>
          <w:sz w:val="32"/>
          <w:szCs w:val="32"/>
          <w:lang w:val="en-US" w:eastAsia="zh-CN"/>
        </w:rPr>
        <w:t>三亚津海物业发展有限公司</w:t>
      </w:r>
    </w:p>
    <w:p w14:paraId="070E170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作为出租方，虽签订《安全协议书》《装修管理协议》但未有效落实监管义务，未及时发现和制止承租方、施工单位的违法转包、无资质施工、安全防护缺失等问题，未尽到出租场地安全管理及协同监管义务。</w:t>
      </w:r>
    </w:p>
    <w:p w14:paraId="553ED1F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5.邓高（打拆垃圾承运人）</w:t>
      </w:r>
    </w:p>
    <w:p w14:paraId="38B0E5D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作为涉事K歌沐足店打拆清理作业的垃圾承运人，存在多项违法违规行为：一是未取得建筑垃圾运输核准手续，车辆未配备法定要求的全密闭防撒漏、卫星定位电子装置，属于非法承运建筑垃圾的行为；二是违章冒险作业，违规站在货车车顶指挥高空抛物且未佩戴安全防护用品；三是主动配合高空抛物；四是安全意识缺失，未履行安全注意义务；其上述行为对事故发生存在主观过失。</w:t>
      </w:r>
    </w:p>
    <w:p w14:paraId="4755DC9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7" w:name="_Toc26173"/>
      <w:r>
        <w:rPr>
          <w:rStyle w:val="15"/>
          <w:rFonts w:hint="eastAsia" w:ascii="方正楷体_GB2312" w:hAnsi="方正楷体_GB2312" w:eastAsia="方正楷体_GB2312" w:cs="方正楷体_GB2312"/>
          <w:b w:val="0"/>
          <w:bCs/>
          <w:snapToGrid/>
          <w:color w:val="auto"/>
          <w:kern w:val="2"/>
          <w:szCs w:val="24"/>
          <w:lang w:val="en-US" w:eastAsia="zh-CN" w:bidi="ar-SA"/>
        </w:rPr>
        <w:t>（二）有关监管部门</w:t>
      </w:r>
      <w:bookmarkEnd w:id="27"/>
    </w:p>
    <w:p w14:paraId="701AB3B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日常监管存在盲区，对涉事工程违法违规行为未及时发现制止，监管力度不足。</w:t>
      </w:r>
    </w:p>
    <w:p w14:paraId="24FEBC8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8" w:name="_Toc23791"/>
      <w:r>
        <w:rPr>
          <w:rStyle w:val="15"/>
          <w:rFonts w:hint="eastAsia" w:ascii="方正楷体_GB2312" w:hAnsi="方正楷体_GB2312" w:eastAsia="方正楷体_GB2312" w:cs="方正楷体_GB2312"/>
          <w:b w:val="0"/>
          <w:bCs/>
          <w:snapToGrid/>
          <w:color w:val="auto"/>
          <w:kern w:val="2"/>
          <w:szCs w:val="24"/>
          <w:lang w:val="en-US" w:eastAsia="zh-CN" w:bidi="ar-SA"/>
        </w:rPr>
        <w:t>（三）地方党委政府</w:t>
      </w:r>
      <w:bookmarkEnd w:id="28"/>
    </w:p>
    <w:p w14:paraId="06D201D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属地管理责任落实不扎实，对建筑装修领域安全统筹部署、督促检查不到位，风险防控存在薄弱环节。</w:t>
      </w:r>
    </w:p>
    <w:p w14:paraId="3311072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29" w:name="_Toc2825"/>
      <w:r>
        <w:rPr>
          <w:rFonts w:hint="eastAsia" w:ascii="黑体" w:hAnsi="黑体" w:eastAsia="黑体" w:cs="黑体"/>
          <w:b w:val="0"/>
          <w:bCs w:val="0"/>
          <w:snapToGrid w:val="0"/>
          <w:color w:val="auto"/>
          <w:kern w:val="0"/>
          <w:sz w:val="32"/>
          <w:szCs w:val="32"/>
          <w:lang w:val="en-US" w:eastAsia="zh-CN"/>
        </w:rPr>
        <w:t>五、对有关责任人员和责任单位的处理建议</w:t>
      </w:r>
      <w:bookmarkEnd w:id="29"/>
    </w:p>
    <w:p w14:paraId="7D56CD6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30" w:name="_Toc27998"/>
      <w:r>
        <w:rPr>
          <w:rStyle w:val="15"/>
          <w:rFonts w:hint="eastAsia" w:ascii="方正楷体_GB2312" w:hAnsi="方正楷体_GB2312" w:eastAsia="方正楷体_GB2312" w:cs="方正楷体_GB2312"/>
          <w:b w:val="0"/>
          <w:bCs/>
          <w:snapToGrid/>
          <w:color w:val="auto"/>
          <w:kern w:val="2"/>
          <w:szCs w:val="24"/>
          <w:lang w:val="en-US" w:eastAsia="zh-CN" w:bidi="ar-SA"/>
        </w:rPr>
        <w:t>（一）因在事故中死亡免予或不予追究责任人员</w:t>
      </w:r>
      <w:bookmarkEnd w:id="30"/>
    </w:p>
    <w:p w14:paraId="095BAEC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邓某，男，群众，系涉事工地垃圾清运车司机，2024年8月21日左右与李玉堂口头约定承接垃圾清运业务，因在本次事故中死亡，建议免予追究其责任。</w:t>
      </w:r>
    </w:p>
    <w:p w14:paraId="007063D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31" w:name="_Toc22244"/>
      <w:r>
        <w:rPr>
          <w:rStyle w:val="15"/>
          <w:rFonts w:hint="eastAsia" w:ascii="方正楷体_GB2312" w:hAnsi="方正楷体_GB2312" w:eastAsia="方正楷体_GB2312" w:cs="方正楷体_GB2312"/>
          <w:b w:val="0"/>
          <w:bCs/>
          <w:snapToGrid/>
          <w:color w:val="auto"/>
          <w:kern w:val="2"/>
          <w:szCs w:val="24"/>
          <w:lang w:val="en-US" w:eastAsia="zh-CN" w:bidi="ar-SA"/>
        </w:rPr>
        <w:t>（二）已被司法机关采取强制措施人员</w:t>
      </w:r>
      <w:bookmarkEnd w:id="31"/>
    </w:p>
    <w:p w14:paraId="68CE13A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李永会，男，群众，系涉事工程实际施工组织者。2024 年 8 月 22 日，其承接案涉打拆及清理工程，施工期间安全意识淡薄，风险辨识能力不足，在未设置任何安全防护措施的情况下，违规从三楼向地面抛掷木板，致使木板砸中邓某并造成其死亡的严重后果。</w:t>
      </w:r>
    </w:p>
    <w:p w14:paraId="67ED134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其上述作业行为，已触犯《中华人民共和国刑法》第一百三十四条第一款之规定</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3"/>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，涉嫌刑事犯罪。事故发生后，李永会主动投案自首，经司法机关依法审理，海南省三亚市城郊人民法院已作出判决，判决书编号：（2025）琼 0271 刑初 372 号，判处其有期徒刑二年六个月，目前李永会已被司法机关依法采取强制措施。</w:t>
      </w:r>
    </w:p>
    <w:p w14:paraId="22C0728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同时，李永会作为现场实际施工组织管理人，未依法落实安全生产管理责任，现场风险管控缺失、安全防护措施缺位，相关行为违反《中华人民共和国安全生产法》（国家主席令第 88 号）第二十一条第五项相关规定</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4"/>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。建议行政执法部门依据《中华人民共和国安全生产法》（国家主席令第 88 号）第九十四条规定</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5"/>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，对其予以行政处罚；综合考量其具有自首法定从轻、减轻情节，建议行政机关在裁量处罚时，依法予以从轻或减轻处理。</w:t>
      </w:r>
    </w:p>
    <w:p w14:paraId="4FCD6F6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32" w:name="_Toc9580"/>
      <w:r>
        <w:rPr>
          <w:rStyle w:val="15"/>
          <w:rFonts w:hint="eastAsia" w:ascii="方正楷体_GB2312" w:hAnsi="方正楷体_GB2312" w:eastAsia="方正楷体_GB2312" w:cs="方正楷体_GB2312"/>
          <w:b w:val="0"/>
          <w:bCs/>
          <w:snapToGrid/>
          <w:color w:val="auto"/>
          <w:kern w:val="2"/>
          <w:szCs w:val="24"/>
          <w:lang w:val="en-US" w:eastAsia="zh-CN" w:bidi="ar-SA"/>
        </w:rPr>
        <w:t> （三）建议移送司法机关处理的人员</w:t>
      </w:r>
      <w:bookmarkEnd w:id="32"/>
    </w:p>
    <w:p w14:paraId="7C55F39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陈夫，男，群众，海南鳄鱼建筑工程有限公司法定代表人，自2020年9月公司注册起全面负责经营管理及工程承揽、分包工作，其将打拆工程全部转包给无资质的李永会，未审核其安全生产条件，增设违法免责条款转移安全责任，转包后未履行安全监管职责，导致现场安全管理失控、引发1人死亡事故，负主要责任，其行为违反《中华人民共和国刑法》第一百三十四条第一款及《中华人民共和国建筑法》（2019修订）第六十七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6"/>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规定，建议移送司法机关依法追究其刑事责任。</w:t>
      </w:r>
    </w:p>
    <w:p w14:paraId="248FDE4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r>
        <w:rPr>
          <w:rStyle w:val="15"/>
          <w:rFonts w:hint="eastAsia" w:ascii="方正楷体_GB2312" w:hAnsi="方正楷体_GB2312" w:eastAsia="方正楷体_GB2312" w:cs="方正楷体_GB2312"/>
          <w:b w:val="0"/>
          <w:bCs/>
          <w:snapToGrid/>
          <w:color w:val="auto"/>
          <w:kern w:val="2"/>
          <w:szCs w:val="24"/>
          <w:lang w:val="en-US" w:eastAsia="zh-CN" w:bidi="ar-SA"/>
        </w:rPr>
        <w:t xml:space="preserve"> </w:t>
      </w:r>
      <w:bookmarkStart w:id="33" w:name="_Toc8825"/>
      <w:r>
        <w:rPr>
          <w:rStyle w:val="15"/>
          <w:rFonts w:hint="eastAsia" w:ascii="方正楷体_GB2312" w:hAnsi="方正楷体_GB2312" w:eastAsia="方正楷体_GB2312" w:cs="方正楷体_GB2312"/>
          <w:b w:val="0"/>
          <w:bCs/>
          <w:snapToGrid/>
          <w:color w:val="auto"/>
          <w:kern w:val="2"/>
          <w:szCs w:val="24"/>
          <w:lang w:val="en-US" w:eastAsia="zh-CN" w:bidi="ar-SA"/>
        </w:rPr>
        <w:t>（四）对事故有关责任人员和责任单位的行政处罚建议</w:t>
      </w:r>
      <w:bookmarkEnd w:id="33"/>
    </w:p>
    <w:p w14:paraId="50501FD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9"/>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1.对事故有关责任人员的行政处罚建议</w:t>
      </w:r>
    </w:p>
    <w:p w14:paraId="04B28D3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（1）常耀辉</w:t>
      </w:r>
    </w:p>
    <w:p w14:paraId="4031824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常耀辉，男，群众，三亚津海建材市场K歌沐足店合伙人，负责店铺经营及工程发包事宜，作为工程发包方主要负责人，未建立安全生产管理体系，刻意在合同中设定违法免责条款转移法定安全责任，对承包方违法转包行为视而不见，未履行安全监督义务，负重要责任。违反《中华人民共和国安全生产法》（中华人民共和国国家主席令第88号）第二十一条，建议由行政执法部门依据《中华人民共和国安全生产法》（中华人民共和国国家主席令第88号）第九十五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7"/>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相关规定对其进行处罚。</w:t>
      </w:r>
    </w:p>
    <w:p w14:paraId="42565B4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（2）孙海军</w:t>
      </w:r>
    </w:p>
    <w:p w14:paraId="5FCC8AA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孙海军，男，群众，三亚津海建材市场K歌沐足店合伙人，协助负责店铺装修及安全管理相关工作，未履行安全监管义务，对承包方违法转包、现场违规作业等行为未及时发现和制止，放任安全风险蔓延，负次要责任。违反《中华人民共和国安全生产法》（中华人民共和国国家主席令第88号）第二十一条，建议由行政执法部门依据《中华人民共和国安全生产法》（中华人民共和国国家主席令第88号）第九十五条相关规定对其进行处罚。</w:t>
      </w:r>
    </w:p>
    <w:p w14:paraId="72B8F14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9"/>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2.对事故有关责任单位的行政处罚建议</w:t>
      </w:r>
    </w:p>
    <w:p w14:paraId="1DFDE8F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（1）海南鳄鱼建筑工程有限公司</w:t>
      </w:r>
    </w:p>
    <w:p w14:paraId="14BF6F3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因违法转包工程给无资质自然人、未审核承包方安全生产条件、增设违法免责条款转移安全责任、转包后未履行安全监管等法定职责，违反《中华人民共和国建筑法》（2019修订）第二十八条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8"/>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及《中华人民共和国安全生产法》（中华人民共和国国家主席令第88号）第四十九条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9"/>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规定，建议行政执法部门依据《中华人民共和国安全生产法》（中华人民共和国国家主席令第88号）第一百一十四条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10"/>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相关规定对其进行处罚。</w:t>
      </w:r>
    </w:p>
    <w:p w14:paraId="3B84414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（2）三亚津海建材市场K歌沐足店</w:t>
      </w:r>
    </w:p>
    <w:p w14:paraId="54E7C16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作为发包方未履行安全生产主体责任，未建立安全风险管控及隐患排查制度，违法设定免责条款转移安全责任，放任承包方违法转包且未实施安全监督，违反《中华人民共和国安全生产法》第四十九条第二款规定，建议行政执法部门依据《中华人民共和国安全生产法》（中华人民共和国国家主席令第88号）第一百一十四条相关规定对其进行处罚。</w:t>
      </w:r>
    </w:p>
    <w:p w14:paraId="0678E76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（3）三亚津海物业发展有限公司</w:t>
      </w:r>
    </w:p>
    <w:p w14:paraId="2D08ABD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未有效落实出租场地安全监管义务，未及时发现并制止承租方及施工单位的违法违规行为，未履行相关协议约定的监管职责，违反《中华人民共和国安全生产法》第四十九条第二款规定，建议行政执法部门依据《中华人民共和国安全生产法》（中华人民共和国国家主席令第88号）第一百一十四条相关规定对其进行处罚。</w:t>
      </w:r>
    </w:p>
    <w:p w14:paraId="68EA1BD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bookmarkStart w:id="34" w:name="_Toc5018"/>
      <w:r>
        <w:rPr>
          <w:rStyle w:val="15"/>
          <w:rFonts w:hint="eastAsia" w:ascii="方正楷体_GB2312" w:hAnsi="方正楷体_GB2312" w:eastAsia="方正楷体_GB2312" w:cs="方正楷体_GB2312"/>
          <w:b w:val="0"/>
          <w:bCs/>
          <w:snapToGrid/>
          <w:color w:val="auto"/>
          <w:kern w:val="2"/>
          <w:szCs w:val="24"/>
          <w:lang w:val="en-US" w:eastAsia="zh-CN" w:bidi="ar-SA"/>
        </w:rPr>
        <w:t> </w:t>
      </w:r>
      <w:bookmarkEnd w:id="34"/>
      <w:bookmarkStart w:id="35" w:name="_Toc24784"/>
      <w:r>
        <w:rPr>
          <w:rFonts w:hint="eastAsia" w:ascii="黑体" w:hAnsi="黑体" w:eastAsia="黑体" w:cs="黑体"/>
          <w:b w:val="0"/>
          <w:bCs w:val="0"/>
          <w:snapToGrid w:val="0"/>
          <w:color w:val="auto"/>
          <w:kern w:val="0"/>
          <w:sz w:val="32"/>
          <w:szCs w:val="32"/>
          <w:lang w:val="en-US" w:eastAsia="zh-CN"/>
        </w:rPr>
        <w:t>六、事故主要教训</w:t>
      </w:r>
      <w:bookmarkEnd w:id="35"/>
    </w:p>
    <w:p w14:paraId="613C663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本次事故主要教训如下：一是安全生产主体责任缺位，涉事各方漠视法定职责，发包方转移责任、承包方违法转包、实际施工者无资质作业、出租方未尽监管义务，形成“层层转包、责任悬空”的混乱局面；二是违法违规行为整治不力，建筑装修领域违法转包、无资质施工等问题突出，相关违法违规行为未被及时制止，市场监管震慑力不足；三是安全监管存在明显盲区，监管部门对小微企业、个体从业者承揽工程管控薄弱，属地与部门协同监管机制未落地，未能及时排查安全隐患；四是从业人员安全素养低下，现场作业人员及负责人未接受正规安全培训，安全防范意识淡薄，未落实安全操作及防护要求，安全宣传教育成效不足；五是安全管理制度执行失效，涉事工程无专项施工方案、无技术交底、无隐患排查记录，垃圾清运等环节仅口头约定，施工现场安全管控处于失控状态。</w:t>
      </w:r>
    </w:p>
    <w:p w14:paraId="33D1E12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方正仿宋_GB2312" w:hAnsi="方正仿宋_GB2312" w:eastAsia="方正仿宋_GB2312" w:cs="方正仿宋_GB2312"/>
          <w:b w:val="0"/>
          <w:bCs w:val="0"/>
          <w:snapToGrid w:val="0"/>
          <w:color w:val="auto"/>
          <w:kern w:val="0"/>
          <w:sz w:val="32"/>
          <w:szCs w:val="32"/>
          <w:lang w:val="en-US" w:eastAsia="zh-CN"/>
        </w:rPr>
      </w:pPr>
      <w:bookmarkStart w:id="36" w:name="_Toc19219"/>
      <w:r>
        <w:rPr>
          <w:rFonts w:hint="eastAsia" w:ascii="黑体" w:hAnsi="黑体" w:eastAsia="黑体" w:cs="黑体"/>
          <w:b w:val="0"/>
          <w:bCs w:val="0"/>
          <w:snapToGrid w:val="0"/>
          <w:color w:val="auto"/>
          <w:kern w:val="0"/>
          <w:sz w:val="32"/>
          <w:szCs w:val="32"/>
          <w:lang w:val="en-US" w:eastAsia="zh-CN"/>
        </w:rPr>
        <w:t>七、事故整改和防范措施</w:t>
      </w:r>
      <w:bookmarkEnd w:id="36"/>
    </w:p>
    <w:p w14:paraId="43CDD23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37" w:name="_Toc15244"/>
      <w:r>
        <w:rPr>
          <w:rStyle w:val="15"/>
          <w:rFonts w:hint="eastAsia" w:ascii="方正楷体_GB2312" w:hAnsi="方正楷体_GB2312" w:eastAsia="方正楷体_GB2312" w:cs="方正楷体_GB2312"/>
          <w:b w:val="0"/>
          <w:bCs/>
          <w:snapToGrid/>
          <w:color w:val="auto"/>
          <w:kern w:val="2"/>
          <w:szCs w:val="24"/>
          <w:lang w:val="en-US" w:eastAsia="zh-CN" w:bidi="ar-SA"/>
        </w:rPr>
        <w:t>（一）</w:t>
      </w:r>
      <w:r>
        <w:rPr>
          <w:rStyle w:val="15"/>
          <w:rFonts w:hint="default" w:ascii="方正楷体_GB2312" w:hAnsi="方正楷体_GB2312" w:eastAsia="方正楷体_GB2312" w:cs="方正楷体_GB2312"/>
          <w:b w:val="0"/>
          <w:bCs/>
          <w:snapToGrid/>
          <w:color w:val="auto"/>
          <w:kern w:val="2"/>
          <w:szCs w:val="24"/>
          <w:lang w:val="en-US" w:eastAsia="zh-CN" w:bidi="ar-SA"/>
        </w:rPr>
        <w:t>开展专项整治，清零安全隐患</w:t>
      </w:r>
      <w:bookmarkEnd w:id="37"/>
    </w:p>
    <w:bookmarkEnd w:id="25"/>
    <w:p w14:paraId="3DC16E9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由吉阳区住建、应急管理部门牵头，联合多部门组织相关主体开展全覆盖安全生产专项整治，重点排查整治违法转包、无资质施工等突出问题，建立隐患台账并实行闭环管理，对整改不到位的从严查处。</w:t>
      </w:r>
    </w:p>
    <w:p w14:paraId="1A17AA0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38" w:name="_Toc11656"/>
      <w:r>
        <w:rPr>
          <w:rStyle w:val="15"/>
          <w:rFonts w:hint="default" w:ascii="方正楷体_GB2312" w:hAnsi="方正楷体_GB2312" w:eastAsia="方正楷体_GB2312" w:cs="方正楷体_GB2312"/>
          <w:b w:val="0"/>
          <w:bCs/>
          <w:snapToGrid/>
          <w:color w:val="auto"/>
          <w:kern w:val="2"/>
          <w:szCs w:val="24"/>
          <w:lang w:val="en-US" w:eastAsia="zh-CN" w:bidi="ar-SA"/>
        </w:rPr>
        <w:t>（二）强化宣传培训，提升安全素养</w:t>
      </w:r>
      <w:bookmarkEnd w:id="38"/>
    </w:p>
    <w:p w14:paraId="1F37CED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针对建筑装修领域小微企业、个体从业者开展专项安全培训，普及作业规范和实用安全知识，强化企业负责人及安全管理人员履职培训，压实主体责任，确保作业人员培训合格后上岗。</w:t>
      </w:r>
    </w:p>
    <w:p w14:paraId="08F03BA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39" w:name="_Toc22988"/>
      <w:r>
        <w:rPr>
          <w:rStyle w:val="15"/>
          <w:rFonts w:hint="default" w:ascii="方正楷体_GB2312" w:hAnsi="方正楷体_GB2312" w:eastAsia="方正楷体_GB2312" w:cs="方正楷体_GB2312"/>
          <w:b w:val="0"/>
          <w:bCs/>
          <w:snapToGrid/>
          <w:color w:val="auto"/>
          <w:kern w:val="2"/>
          <w:szCs w:val="24"/>
          <w:lang w:val="en-US" w:eastAsia="zh-CN" w:bidi="ar-SA"/>
        </w:rPr>
        <w:t>（三）完善监管机制，消除监管盲区</w:t>
      </w:r>
      <w:bookmarkEnd w:id="39"/>
    </w:p>
    <w:p w14:paraId="2E2C9C1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明确各相关单位监管职责边界，建立联合监管、信息共享和联合执法机制，加大重点区域排查频次，将个体从业者、小微企业承揽工程纳入监管并推行备案管理，防范违法违规行为。</w:t>
      </w:r>
    </w:p>
    <w:p w14:paraId="3593BC7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40" w:name="_Toc10505"/>
      <w:r>
        <w:rPr>
          <w:rStyle w:val="15"/>
          <w:rFonts w:hint="default" w:ascii="方正楷体_GB2312" w:hAnsi="方正楷体_GB2312" w:eastAsia="方正楷体_GB2312" w:cs="方正楷体_GB2312"/>
          <w:b w:val="0"/>
          <w:bCs/>
          <w:snapToGrid/>
          <w:color w:val="auto"/>
          <w:kern w:val="2"/>
          <w:szCs w:val="24"/>
          <w:lang w:val="en-US" w:eastAsia="zh-CN" w:bidi="ar-SA"/>
        </w:rPr>
        <w:t>（四）健全管理制度，规范施工管控</w:t>
      </w:r>
      <w:bookmarkEnd w:id="40"/>
    </w:p>
    <w:p w14:paraId="6216379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督促相关企业完善安全生产管理制度，所有工程需制定专项安全施工方案，落实双重预防机制，强化合同管理，严禁违法免责条款，对转包、违法分包行为实行“零容忍”并从严处罚。</w:t>
      </w:r>
    </w:p>
    <w:p w14:paraId="3824B79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41" w:name="_Toc28448"/>
      <w:r>
        <w:rPr>
          <w:rStyle w:val="15"/>
          <w:rFonts w:hint="default" w:ascii="方正楷体_GB2312" w:hAnsi="方正楷体_GB2312" w:eastAsia="方正楷体_GB2312" w:cs="方正楷体_GB2312"/>
          <w:b w:val="0"/>
          <w:bCs/>
          <w:snapToGrid/>
          <w:color w:val="auto"/>
          <w:kern w:val="2"/>
          <w:szCs w:val="24"/>
          <w:lang w:val="en-US" w:eastAsia="zh-CN" w:bidi="ar-SA"/>
        </w:rPr>
        <w:t>（五）压实属地责任，强化履职监督</w:t>
      </w:r>
      <w:bookmarkEnd w:id="41"/>
    </w:p>
    <w:p w14:paraId="3033E59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地方党委政府落实安全生产属地管理责任，加强重点领域安全风险研判和统筹部署，强化对监管部门履职情况的监督考核，对失职失责行为严肃追责问责。</w:t>
      </w:r>
    </w:p>
    <w:p w14:paraId="60E0ADB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42" w:name="_Toc12705"/>
      <w:r>
        <w:rPr>
          <w:rStyle w:val="15"/>
          <w:rFonts w:hint="default" w:ascii="方正楷体_GB2312" w:hAnsi="方正楷体_GB2312" w:eastAsia="方正楷体_GB2312" w:cs="方正楷体_GB2312"/>
          <w:b w:val="0"/>
          <w:bCs/>
          <w:snapToGrid/>
          <w:color w:val="auto"/>
          <w:kern w:val="2"/>
          <w:szCs w:val="24"/>
          <w:lang w:val="en-US" w:eastAsia="zh-CN" w:bidi="ar-SA"/>
        </w:rPr>
        <w:t>（六）坚持举一反三，健全长效机制</w:t>
      </w:r>
      <w:bookmarkEnd w:id="42"/>
    </w:p>
    <w:p w14:paraId="7E5C12F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组织相关企业吸取事故教训，全面开展自查自纠，制定针对性整改措施，健全安全管理制度和风险管控体系，定期开展警示教育，形成长效监管机制，防范同类事故发生。</w:t>
      </w:r>
    </w:p>
    <w:sectPr>
      <w:footerReference r:id="rId4" w:type="default"/>
      <w:pgSz w:w="11905" w:h="16840"/>
      <w:pgMar w:top="2098" w:right="1474" w:bottom="1984" w:left="1587" w:header="720" w:footer="720"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长城小标宋体">
    <w:panose1 w:val="02010609010101010101"/>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CF457">
    <w:r>
      <w:rPr>
        <w:sz w:val="21"/>
      </w:rPr>
      <w:pict>
        <v:shape id="_x0000_s2050"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2DEF3CF">
                <w:pPr>
                  <w:pStyle w:val="4"/>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  \* MERGEFORMAT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3</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r>
        <w:separator/>
      </w:r>
    </w:p>
  </w:footnote>
  <w:footnote w:type="continuationSeparator" w:id="23">
    <w:p>
      <w:r>
        <w:continuationSeparator/>
      </w:r>
    </w:p>
  </w:footnote>
  <w:footnote w:id="0">
    <w:p w14:paraId="1F80932B">
      <w:pPr>
        <w:pStyle w:val="7"/>
        <w:snapToGrid w:val="0"/>
      </w:pPr>
      <w:r>
        <w:rPr>
          <w:rStyle w:val="14"/>
        </w:rPr>
        <w:t>[</w:t>
      </w:r>
      <w:r>
        <w:rPr>
          <w:rStyle w:val="14"/>
        </w:rPr>
        <w:footnoteRef/>
      </w:r>
      <w:r>
        <w:rPr>
          <w:rStyle w:val="14"/>
        </w:rPr>
        <w:t>]</w:t>
      </w:r>
      <w:r>
        <w:t xml:space="preserve"> </w:t>
      </w:r>
      <w:r>
        <w:rPr>
          <w:rFonts w:hint="default"/>
          <w:lang w:val="en-US" w:eastAsia="zh-CN"/>
        </w:rPr>
        <w:t>《安全生产违法行为行政处罚办法》（国家安全生产监督管理总局令第15号）第六十八条：本办法所称的生产经营单位，是指合法和非法从事生产或者经营活动的基本单元，包括企业法人、不具备企业法人资格的合伙组织、个体工商户和自然人等生产经营主体。</w:t>
      </w:r>
    </w:p>
    <w:p w14:paraId="1E29491A">
      <w:pPr>
        <w:pStyle w:val="7"/>
        <w:snapToGrid w:val="0"/>
      </w:pPr>
    </w:p>
  </w:footnote>
  <w:footnote w:id="1">
    <w:p w14:paraId="2EB5798F">
      <w:pPr>
        <w:pStyle w:val="7"/>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工伤保险条例》（中华人民共和国国务院令第375号）第三十九条：职工因工死亡，其近亲属按照下列规定从工伤保险基金领取丧葬补助金、供养亲属抚恤金和一次性工亡补助金：（一）丧葬补助金为6个月的统筹地区上年度职工月平均工资；（二）供养亲属抚恤金按照职工本人工资的一定比例发给由因工死亡职工生前提供主要生活来源、无劳动能力的亲属。标准为：配偶每月40%，其他亲属每人每月30%，孤寡老人或者孤儿每人每月在上述标准的基础上增加10%。核定的各供养亲属的抚恤金之和不应高于因工死亡职工生前的工资。供养亲属的具体范围由国务院社会保险行政部门规定；（三）一次性工亡补助金标准为上一年度全国城镇居民人均可支配收入的20倍。</w:t>
      </w:r>
    </w:p>
    <w:p w14:paraId="4FF0A17D">
      <w:pPr>
        <w:pStyle w:val="7"/>
        <w:snapToGrid w:val="0"/>
        <w:ind w:firstLine="360" w:firstLineChars="200"/>
        <w:rPr>
          <w:rFonts w:hint="eastAsia" w:eastAsia="宋体"/>
          <w:lang w:val="en-US" w:eastAsia="zh-CN"/>
        </w:rPr>
      </w:pPr>
      <w:r>
        <w:rPr>
          <w:rFonts w:hint="eastAsia"/>
        </w:rPr>
        <w:t>国家统计局发布</w:t>
      </w:r>
      <w:r>
        <w:rPr>
          <w:rFonts w:hint="eastAsia" w:eastAsia="宋体"/>
          <w:lang w:eastAsia="zh-CN"/>
        </w:rPr>
        <w:t>的</w:t>
      </w:r>
      <w:r>
        <w:rPr>
          <w:rFonts w:hint="eastAsia"/>
        </w:rPr>
        <w:t>《2024年全国居民收入和消费支出情况》</w:t>
      </w:r>
      <w:r>
        <w:rPr>
          <w:rFonts w:hint="eastAsia" w:eastAsia="宋体"/>
          <w:lang w:val="en-US" w:eastAsia="zh-CN"/>
        </w:rPr>
        <w:t>中，</w:t>
      </w:r>
      <w:r>
        <w:rPr>
          <w:rFonts w:hint="eastAsia"/>
        </w:rPr>
        <w:t>2024年全国城镇居民人均可支配收入为54188元。54188</w:t>
      </w:r>
      <w:r>
        <w:rPr>
          <w:rFonts w:hint="eastAsia" w:eastAsia="宋体"/>
          <w:lang w:val="en-US" w:eastAsia="zh-CN"/>
        </w:rPr>
        <w:t>元</w:t>
      </w:r>
      <w:r>
        <w:rPr>
          <w:rFonts w:hint="eastAsia" w:eastAsia="宋体"/>
          <w:lang w:eastAsia="zh-CN"/>
        </w:rPr>
        <w:t>×</w:t>
      </w:r>
      <w:r>
        <w:rPr>
          <w:rFonts w:hint="eastAsia" w:eastAsia="宋体"/>
          <w:lang w:val="en-US" w:eastAsia="zh-CN"/>
        </w:rPr>
        <w:t>20</w:t>
      </w:r>
      <w:r>
        <w:rPr>
          <w:rFonts w:hint="eastAsia" w:eastAsia="宋体"/>
          <w:lang w:eastAsia="zh-CN"/>
        </w:rPr>
        <w:t>个月 =</w:t>
      </w:r>
      <w:r>
        <w:rPr>
          <w:rFonts w:hint="eastAsia" w:eastAsia="宋体"/>
          <w:lang w:val="en-US" w:eastAsia="zh-CN"/>
        </w:rPr>
        <w:t>1083760元。</w:t>
      </w:r>
    </w:p>
    <w:p w14:paraId="5C565EE6">
      <w:pPr>
        <w:pStyle w:val="7"/>
        <w:snapToGrid w:val="0"/>
        <w:ind w:firstLine="360" w:firstLineChars="200"/>
        <w:rPr>
          <w:rFonts w:hint="eastAsia" w:eastAsia="宋体"/>
          <w:lang w:val="en-US" w:eastAsia="zh-CN"/>
        </w:rPr>
      </w:pPr>
    </w:p>
  </w:footnote>
  <w:footnote w:id="2">
    <w:p w14:paraId="29303BCB">
      <w:pPr>
        <w:pStyle w:val="7"/>
        <w:snapToGrid w:val="0"/>
        <w:rPr>
          <w:rFonts w:hint="eastAsia" w:eastAsia="宋体"/>
          <w:lang w:eastAsia="zh-CN"/>
        </w:rPr>
      </w:pPr>
      <w:r>
        <w:rPr>
          <w:rStyle w:val="14"/>
        </w:rPr>
        <w:t>[</w:t>
      </w:r>
      <w:r>
        <w:rPr>
          <w:rStyle w:val="14"/>
        </w:rPr>
        <w:footnoteRef/>
      </w:r>
      <w:r>
        <w:rPr>
          <w:rStyle w:val="14"/>
        </w:rPr>
        <w:t>]</w:t>
      </w:r>
      <w:r>
        <w:t xml:space="preserve"> </w:t>
      </w:r>
      <w:r>
        <w:rPr>
          <w:rFonts w:hint="eastAsia" w:eastAsia="宋体"/>
          <w:lang w:val="en-US" w:eastAsia="zh-CN"/>
        </w:rPr>
        <w:t>海南省统计局发布的2024年城镇非私营单位</w:t>
      </w:r>
      <w:r>
        <w:rPr>
          <w:rFonts w:hint="eastAsia"/>
        </w:rPr>
        <w:t>月平均工资约9786.09元</w:t>
      </w:r>
      <w:r>
        <w:rPr>
          <w:rFonts w:hint="eastAsia" w:eastAsia="宋体"/>
          <w:lang w:eastAsia="zh-CN"/>
        </w:rPr>
        <w:t>。9786.09元×6个月 = 58716.54元。</w:t>
      </w:r>
    </w:p>
  </w:footnote>
  <w:footnote w:id="3">
    <w:p w14:paraId="0F3FB71B">
      <w:pPr>
        <w:pStyle w:val="7"/>
        <w:snapToGrid w:val="0"/>
      </w:pPr>
      <w:r>
        <w:rPr>
          <w:rStyle w:val="14"/>
        </w:rPr>
        <w:t>[</w:t>
      </w:r>
      <w:r>
        <w:rPr>
          <w:rStyle w:val="14"/>
        </w:rPr>
        <w:footnoteRef/>
      </w:r>
      <w:r>
        <w:rPr>
          <w:rStyle w:val="14"/>
        </w:rPr>
        <w:t>]</w:t>
      </w:r>
      <w:r>
        <w:t xml:space="preserve"> </w:t>
      </w:r>
      <w:r>
        <w:rPr>
          <w:rFonts w:hint="eastAsia"/>
          <w:lang w:val="en-US" w:eastAsia="zh-CN"/>
        </w:rPr>
        <w:t>《中华人民共和国刑法》第一百三十四条第一款：在生产、作业中违反有关安全管理的规定，因而发生重大伤亡事故或者造成其他严重后果的，处三年以下有期徒刑或者拘役；情节特别恶劣的，处三年以上七年以下有期徒刑。</w:t>
      </w:r>
    </w:p>
  </w:footnote>
  <w:footnote w:id="4">
    <w:p w14:paraId="10C03FF7">
      <w:pPr>
        <w:pStyle w:val="7"/>
        <w:snapToGrid w:val="0"/>
      </w:pPr>
      <w:r>
        <w:rPr>
          <w:rStyle w:val="14"/>
        </w:rPr>
        <w:t>[</w:t>
      </w:r>
      <w:r>
        <w:rPr>
          <w:rStyle w:val="14"/>
        </w:rPr>
        <w:footnoteRef/>
      </w:r>
      <w:r>
        <w:rPr>
          <w:rStyle w:val="14"/>
        </w:rPr>
        <w:t>]</w:t>
      </w:r>
      <w:r>
        <w:t xml:space="preserve"> </w:t>
      </w:r>
      <w:r>
        <w:rPr>
          <w:rFonts w:hint="eastAsia"/>
          <w:lang w:val="en-US" w:eastAsia="zh-CN"/>
        </w:rPr>
        <w:t>《中华人民共和国安全生产法》（国家主席令第88号）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5">
    <w:p w14:paraId="52048BE6">
      <w:pPr>
        <w:pStyle w:val="7"/>
        <w:snapToGrid w:val="0"/>
      </w:pPr>
      <w:r>
        <w:rPr>
          <w:rStyle w:val="14"/>
        </w:rPr>
        <w:t>[</w:t>
      </w:r>
      <w:r>
        <w:rPr>
          <w:rStyle w:val="14"/>
        </w:rPr>
        <w:footnoteRef/>
      </w:r>
      <w:r>
        <w:rPr>
          <w:rStyle w:val="14"/>
        </w:rPr>
        <w:t>]</w:t>
      </w:r>
      <w:r>
        <w:t xml:space="preserve"> </w:t>
      </w:r>
      <w:r>
        <w:rPr>
          <w:rFonts w:hint="eastAsia"/>
          <w:lang w:val="en-US" w:eastAsia="zh-CN"/>
        </w:rPr>
        <w:t>《中华人民共和国安全生产法》（国家主席令第88号）第九十四条：生产经营单位的主要负责人未履行本法规定的安全生产管理职责的，责令限期改正，处二万元以上五万元以下的罚款；逾期未改正的，处五万元以上十万元以下的罚款，责令生产经营单位停产停业整顿。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对重大、特别重大生产安全故负有责任的，终身不得担任本行业生产经营单位的主要负责人。</w:t>
      </w:r>
    </w:p>
  </w:footnote>
  <w:footnote w:id="6">
    <w:p w14:paraId="25DBE209">
      <w:pPr>
        <w:pStyle w:val="7"/>
        <w:snapToGrid w:val="0"/>
      </w:pPr>
      <w:r>
        <w:rPr>
          <w:rStyle w:val="14"/>
        </w:rPr>
        <w:t>[</w:t>
      </w:r>
      <w:r>
        <w:rPr>
          <w:rStyle w:val="14"/>
        </w:rPr>
        <w:footnoteRef/>
      </w:r>
      <w:r>
        <w:rPr>
          <w:rStyle w:val="14"/>
        </w:rPr>
        <w:t>]</w:t>
      </w:r>
      <w:r>
        <w:t xml:space="preserve"> </w:t>
      </w:r>
      <w:r>
        <w:rPr>
          <w:rFonts w:hint="eastAsia"/>
          <w:lang w:val="en-US" w:eastAsia="zh-CN"/>
        </w:rPr>
        <w:t>《中华人民共和国建筑法》（2019修订）第六十七条“承包单位将承包的工程转包的，或者违反本法规定进行分包的，责令改正，没收违法所得，并处罚款，可以责令停业整顿，降低资质等级；情节严重的，吊销资质证书”。</w:t>
      </w:r>
    </w:p>
  </w:footnote>
  <w:footnote w:id="7">
    <w:p w14:paraId="728F0780">
      <w:pPr>
        <w:pStyle w:val="7"/>
        <w:snapToGrid w:val="0"/>
        <w:rPr>
          <w:rFonts w:hint="eastAsia"/>
          <w:b w:val="0"/>
          <w:bCs w:val="0"/>
          <w:lang w:val="en-US" w:eastAsia="zh-CN"/>
        </w:rPr>
      </w:pPr>
      <w:r>
        <w:rPr>
          <w:rStyle w:val="14"/>
        </w:rPr>
        <w:t>[</w:t>
      </w:r>
      <w:r>
        <w:rPr>
          <w:rStyle w:val="14"/>
        </w:rPr>
        <w:footnoteRef/>
      </w:r>
      <w:r>
        <w:rPr>
          <w:rStyle w:val="14"/>
        </w:rPr>
        <w:t>]</w:t>
      </w:r>
      <w:r>
        <w:t xml:space="preserve"> </w:t>
      </w:r>
      <w:r>
        <w:rPr>
          <w:rFonts w:hint="eastAsia"/>
          <w:b w:val="0"/>
          <w:bCs w:val="0"/>
          <w:lang w:val="en-US" w:eastAsia="zh-CN"/>
        </w:rPr>
        <w:t>《中华人民共和国安全生产法》（中华人民共和国国家主席令第88号）第九十五条：生产经营单位的主要负责人未履行本法规定的安全生产管理职责，导致发生生产安全事故的，由应急管理部门依照下列规定处以罚款：</w:t>
      </w:r>
    </w:p>
    <w:p w14:paraId="1B6F1A51">
      <w:pPr>
        <w:pStyle w:val="7"/>
        <w:snapToGrid w:val="0"/>
        <w:rPr>
          <w:rFonts w:hint="eastAsia"/>
          <w:b w:val="0"/>
          <w:bCs w:val="0"/>
          <w:lang w:val="en-US" w:eastAsia="zh-CN"/>
        </w:rPr>
      </w:pPr>
      <w:r>
        <w:rPr>
          <w:rFonts w:hint="eastAsia"/>
          <w:b w:val="0"/>
          <w:bCs w:val="0"/>
          <w:lang w:val="en-US" w:eastAsia="zh-CN"/>
        </w:rPr>
        <w:t>（一）发生一般事故的，处上一年年收入百分之四十的罚款；</w:t>
      </w:r>
    </w:p>
    <w:p w14:paraId="52745DFB">
      <w:pPr>
        <w:pStyle w:val="7"/>
        <w:snapToGrid w:val="0"/>
      </w:pPr>
    </w:p>
  </w:footnote>
  <w:footnote w:id="8">
    <w:p w14:paraId="242ADF93">
      <w:pPr>
        <w:pStyle w:val="7"/>
        <w:snapToGrid w:val="0"/>
        <w:rPr>
          <w:rFonts w:hint="eastAsia" w:eastAsia="宋体"/>
          <w:lang w:eastAsia="zh-CN"/>
        </w:rPr>
      </w:pPr>
      <w:r>
        <w:rPr>
          <w:rStyle w:val="14"/>
        </w:rPr>
        <w:t>[</w:t>
      </w:r>
      <w:r>
        <w:rPr>
          <w:rStyle w:val="14"/>
        </w:rPr>
        <w:footnoteRef/>
      </w:r>
      <w:r>
        <w:rPr>
          <w:rStyle w:val="14"/>
        </w:rPr>
        <w:t>]</w:t>
      </w:r>
      <w:r>
        <w:t xml:space="preserve"> </w:t>
      </w:r>
      <w:r>
        <w:rPr>
          <w:rFonts w:hint="eastAsia"/>
        </w:rPr>
        <w:t>《中华人民共和国建筑法》（2019修订）第二十八条</w:t>
      </w:r>
      <w:r>
        <w:rPr>
          <w:rFonts w:hint="eastAsia"/>
          <w:lang w:eastAsia="zh-CN"/>
        </w:rPr>
        <w:t>：</w:t>
      </w:r>
      <w:r>
        <w:rPr>
          <w:rFonts w:hint="eastAsia"/>
        </w:rPr>
        <w:t>禁止承包单位将其承包的全部建筑工程转包给他人</w:t>
      </w:r>
      <w:r>
        <w:rPr>
          <w:rFonts w:hint="eastAsia"/>
          <w:lang w:eastAsia="zh-CN"/>
        </w:rPr>
        <w:t>。</w:t>
      </w:r>
    </w:p>
  </w:footnote>
  <w:footnote w:id="9">
    <w:p w14:paraId="1BAD9AA5">
      <w:pPr>
        <w:pStyle w:val="7"/>
        <w:snapToGrid w:val="0"/>
      </w:pPr>
      <w:r>
        <w:rPr>
          <w:rStyle w:val="14"/>
        </w:rPr>
        <w:t>[</w:t>
      </w:r>
      <w:r>
        <w:rPr>
          <w:rStyle w:val="14"/>
        </w:rPr>
        <w:footnoteRef/>
      </w:r>
      <w:r>
        <w:rPr>
          <w:rStyle w:val="14"/>
        </w:rPr>
        <w:t>]</w:t>
      </w:r>
      <w:r>
        <w:t xml:space="preserve"> </w:t>
      </w:r>
      <w:r>
        <w:rPr>
          <w:rFonts w:hint="eastAsia"/>
          <w:b w:val="0"/>
          <w:bCs w:val="0"/>
          <w:lang w:val="en-US" w:eastAsia="zh-CN"/>
        </w:rPr>
        <w:t>《中华人民共和国安全生产法》（中华人民共和国国家主席令第88号）</w:t>
      </w:r>
      <w:r>
        <w:t>第四十九条</w:t>
      </w:r>
      <w:r>
        <w:rPr>
          <w:rFonts w:hint="eastAsia"/>
          <w:lang w:eastAsia="zh-CN"/>
        </w:rPr>
        <w:t>：</w:t>
      </w:r>
      <w:r>
        <w:t>生产经营单位不得将生产经营项目、场所、设备发包或者出租给不具备安全生产条件或者相应资质的单位或者个人。</w:t>
      </w:r>
    </w:p>
    <w:p w14:paraId="4B559A9D">
      <w:pPr>
        <w:pStyle w:val="7"/>
        <w:snapToGrid w:val="0"/>
        <w:ind w:firstLine="360" w:firstLineChars="200"/>
      </w:pPr>
      <w: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14:paraId="3AAE949B">
      <w:pPr>
        <w:pStyle w:val="7"/>
        <w:snapToGrid w:val="0"/>
      </w:pPr>
    </w:p>
  </w:footnote>
  <w:footnote w:id="10">
    <w:p w14:paraId="36442D44">
      <w:pPr>
        <w:pStyle w:val="7"/>
        <w:snapToGrid w:val="0"/>
        <w:rPr>
          <w:rFonts w:hint="eastAsia"/>
          <w:lang w:eastAsia="zh-CN"/>
        </w:rPr>
      </w:pPr>
      <w:r>
        <w:rPr>
          <w:rStyle w:val="14"/>
        </w:rPr>
        <w:t>[</w:t>
      </w:r>
      <w:r>
        <w:rPr>
          <w:rStyle w:val="14"/>
        </w:rPr>
        <w:footnoteRef/>
      </w:r>
      <w:r>
        <w:rPr>
          <w:rStyle w:val="14"/>
        </w:rPr>
        <w:t>]</w:t>
      </w:r>
      <w:r>
        <w:t xml:space="preserve"> </w:t>
      </w:r>
      <w:r>
        <w:rPr>
          <w:rFonts w:hint="eastAsia"/>
          <w:b w:val="0"/>
          <w:bCs w:val="0"/>
          <w:lang w:val="en-US" w:eastAsia="zh-CN"/>
        </w:rPr>
        <w:t>《中华人民共和国安全生产法》（中华人民共和国国家主席令第88号）</w:t>
      </w:r>
      <w:r>
        <w:t>第一百一十四条</w:t>
      </w:r>
      <w:r>
        <w:rPr>
          <w:rFonts w:hint="eastAsia"/>
          <w:lang w:eastAsia="zh-CN"/>
        </w:rPr>
        <w:t>：</w:t>
      </w:r>
      <w:r>
        <w:t>发生生产安全事故，对负有责任的生产经营单位除要求其依法承担相应的赔偿等责任外，由应急管理部门依照下列规定处以罚款</w:t>
      </w:r>
      <w:r>
        <w:rPr>
          <w:rFonts w:hint="eastAsia"/>
          <w:lang w:eastAsia="zh-CN"/>
        </w:rPr>
        <w:t>：</w:t>
      </w:r>
    </w:p>
    <w:p w14:paraId="3845EAE4">
      <w:pPr>
        <w:pStyle w:val="7"/>
        <w:snapToGrid w:val="0"/>
      </w:pPr>
      <w:r>
        <w:t>（一）发生一般事故的，处三十万元以上一百万元以下的罚款；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isplayHorizontalDrawingGridEvery w:val="1"/>
  <w:displayVerticalDrawingGridEvery w:val="1"/>
  <w:noPunctuationKerning w:val="1"/>
  <w:hdrShapeDefaults>
    <o:shapelayout v:ext="edit">
      <o:idmap v:ext="edit" data="2"/>
    </o:shapelayout>
  </w:hdrShapeDefaults>
  <w:footnotePr>
    <w:footnote w:id="22"/>
    <w:footnote w:id="23"/>
  </w:footnotePr>
  <w:compat>
    <w:doNotExpandShiftReturn/>
    <w:doNotWrapTextWithPunct/>
    <w:doNotUseEastAsianBreakRules/>
    <w:useFELayout/>
    <w:splitPgBreakAndParaMark/>
    <w:compatSetting w:name="compatibilityMode" w:uri="http://schemas.microsoft.com/office/word" w:val="12"/>
  </w:compat>
  <w:rsids>
    <w:rsidRoot w:val="00000000"/>
    <w:rsid w:val="00253ED9"/>
    <w:rsid w:val="003B7700"/>
    <w:rsid w:val="008C59F3"/>
    <w:rsid w:val="00912865"/>
    <w:rsid w:val="009301C9"/>
    <w:rsid w:val="00BA7EA5"/>
    <w:rsid w:val="00C9437F"/>
    <w:rsid w:val="0101237C"/>
    <w:rsid w:val="01100703"/>
    <w:rsid w:val="01374E54"/>
    <w:rsid w:val="022E6257"/>
    <w:rsid w:val="023D5D50"/>
    <w:rsid w:val="026706BD"/>
    <w:rsid w:val="02811545"/>
    <w:rsid w:val="02BB7746"/>
    <w:rsid w:val="02EA0343"/>
    <w:rsid w:val="02F6463E"/>
    <w:rsid w:val="030A0A72"/>
    <w:rsid w:val="0388408C"/>
    <w:rsid w:val="039A1B3C"/>
    <w:rsid w:val="03A34A22"/>
    <w:rsid w:val="043173FD"/>
    <w:rsid w:val="04C71D1F"/>
    <w:rsid w:val="04C720B8"/>
    <w:rsid w:val="04DE525A"/>
    <w:rsid w:val="04FB6A4B"/>
    <w:rsid w:val="05235738"/>
    <w:rsid w:val="053242B0"/>
    <w:rsid w:val="05393890"/>
    <w:rsid w:val="05477860"/>
    <w:rsid w:val="058F34B0"/>
    <w:rsid w:val="059B6910"/>
    <w:rsid w:val="05E644CC"/>
    <w:rsid w:val="06035C4C"/>
    <w:rsid w:val="06130ED2"/>
    <w:rsid w:val="06420522"/>
    <w:rsid w:val="06891D54"/>
    <w:rsid w:val="06896151"/>
    <w:rsid w:val="075C73C2"/>
    <w:rsid w:val="07972AF0"/>
    <w:rsid w:val="07D16002"/>
    <w:rsid w:val="07E86EA8"/>
    <w:rsid w:val="07F43B2A"/>
    <w:rsid w:val="07F909B2"/>
    <w:rsid w:val="08030185"/>
    <w:rsid w:val="08123F24"/>
    <w:rsid w:val="083B46D5"/>
    <w:rsid w:val="084E1401"/>
    <w:rsid w:val="08A234FA"/>
    <w:rsid w:val="08B63BCD"/>
    <w:rsid w:val="08F24482"/>
    <w:rsid w:val="08F651E1"/>
    <w:rsid w:val="095F13EB"/>
    <w:rsid w:val="095F1D10"/>
    <w:rsid w:val="09B64625"/>
    <w:rsid w:val="0A742C74"/>
    <w:rsid w:val="0A85622A"/>
    <w:rsid w:val="0A9A7350"/>
    <w:rsid w:val="0ADA7FCA"/>
    <w:rsid w:val="0B1541A5"/>
    <w:rsid w:val="0BD75BB1"/>
    <w:rsid w:val="0C0D512F"/>
    <w:rsid w:val="0C1B3467"/>
    <w:rsid w:val="0C2C79C5"/>
    <w:rsid w:val="0C914370"/>
    <w:rsid w:val="0CD16FE4"/>
    <w:rsid w:val="0CF35E5E"/>
    <w:rsid w:val="0D68156A"/>
    <w:rsid w:val="0DC42165"/>
    <w:rsid w:val="0F4636D1"/>
    <w:rsid w:val="0F463DA7"/>
    <w:rsid w:val="0F8349EB"/>
    <w:rsid w:val="0FBC24BC"/>
    <w:rsid w:val="101B4F1B"/>
    <w:rsid w:val="1081220E"/>
    <w:rsid w:val="108C3705"/>
    <w:rsid w:val="10B65D95"/>
    <w:rsid w:val="10F42D61"/>
    <w:rsid w:val="11ED256B"/>
    <w:rsid w:val="12A218F7"/>
    <w:rsid w:val="12C119AD"/>
    <w:rsid w:val="12FD1F6A"/>
    <w:rsid w:val="13023513"/>
    <w:rsid w:val="131D7604"/>
    <w:rsid w:val="132810EB"/>
    <w:rsid w:val="13506042"/>
    <w:rsid w:val="13513D2D"/>
    <w:rsid w:val="135C341D"/>
    <w:rsid w:val="135D2E40"/>
    <w:rsid w:val="13AE22C5"/>
    <w:rsid w:val="13BB36C2"/>
    <w:rsid w:val="13BF15B1"/>
    <w:rsid w:val="13CE33F5"/>
    <w:rsid w:val="140908D1"/>
    <w:rsid w:val="1462278C"/>
    <w:rsid w:val="147D49BD"/>
    <w:rsid w:val="14B039FE"/>
    <w:rsid w:val="14FB2910"/>
    <w:rsid w:val="153C3F19"/>
    <w:rsid w:val="154952FA"/>
    <w:rsid w:val="15AB75AE"/>
    <w:rsid w:val="15BB455F"/>
    <w:rsid w:val="15C7252E"/>
    <w:rsid w:val="15D87D38"/>
    <w:rsid w:val="15F630D7"/>
    <w:rsid w:val="16B13CE3"/>
    <w:rsid w:val="16B5089D"/>
    <w:rsid w:val="16DE3734"/>
    <w:rsid w:val="17013AE2"/>
    <w:rsid w:val="177C058B"/>
    <w:rsid w:val="17C84600"/>
    <w:rsid w:val="18117D55"/>
    <w:rsid w:val="18653FFC"/>
    <w:rsid w:val="186D58D3"/>
    <w:rsid w:val="191B532F"/>
    <w:rsid w:val="19487852"/>
    <w:rsid w:val="19540841"/>
    <w:rsid w:val="19DD358D"/>
    <w:rsid w:val="1A0A7151"/>
    <w:rsid w:val="1A495ECC"/>
    <w:rsid w:val="1ACF1EC1"/>
    <w:rsid w:val="1BBB0703"/>
    <w:rsid w:val="1C3D736A"/>
    <w:rsid w:val="1C3F2B3A"/>
    <w:rsid w:val="1C9D168F"/>
    <w:rsid w:val="1CE66CE9"/>
    <w:rsid w:val="1D47415E"/>
    <w:rsid w:val="1D4C7E58"/>
    <w:rsid w:val="1D764B65"/>
    <w:rsid w:val="1DBC4C07"/>
    <w:rsid w:val="1DCA2E80"/>
    <w:rsid w:val="1DD907F5"/>
    <w:rsid w:val="1E7679C4"/>
    <w:rsid w:val="1EA27958"/>
    <w:rsid w:val="1EE742F0"/>
    <w:rsid w:val="1EF02DBA"/>
    <w:rsid w:val="1F2F40F4"/>
    <w:rsid w:val="1F4E60C9"/>
    <w:rsid w:val="1F503858"/>
    <w:rsid w:val="1F723771"/>
    <w:rsid w:val="1F8758EA"/>
    <w:rsid w:val="20416634"/>
    <w:rsid w:val="204B3D81"/>
    <w:rsid w:val="207B66B3"/>
    <w:rsid w:val="20F85F56"/>
    <w:rsid w:val="21296037"/>
    <w:rsid w:val="21373271"/>
    <w:rsid w:val="21450012"/>
    <w:rsid w:val="21AE2AB8"/>
    <w:rsid w:val="21B20595"/>
    <w:rsid w:val="21BF72A9"/>
    <w:rsid w:val="21E464DA"/>
    <w:rsid w:val="228B3FD8"/>
    <w:rsid w:val="22995516"/>
    <w:rsid w:val="23000B70"/>
    <w:rsid w:val="23464A14"/>
    <w:rsid w:val="237B3F95"/>
    <w:rsid w:val="23EF603D"/>
    <w:rsid w:val="24216576"/>
    <w:rsid w:val="24480FA2"/>
    <w:rsid w:val="24A217AC"/>
    <w:rsid w:val="24E231A5"/>
    <w:rsid w:val="256718FC"/>
    <w:rsid w:val="257F3772"/>
    <w:rsid w:val="26445799"/>
    <w:rsid w:val="27464120"/>
    <w:rsid w:val="277509F4"/>
    <w:rsid w:val="279F537D"/>
    <w:rsid w:val="27A50E64"/>
    <w:rsid w:val="27C748D4"/>
    <w:rsid w:val="27C750CD"/>
    <w:rsid w:val="28C22A06"/>
    <w:rsid w:val="28C36E49"/>
    <w:rsid w:val="290F6532"/>
    <w:rsid w:val="291122AA"/>
    <w:rsid w:val="292F44DF"/>
    <w:rsid w:val="29583A35"/>
    <w:rsid w:val="29917294"/>
    <w:rsid w:val="29D84B76"/>
    <w:rsid w:val="29DA08EE"/>
    <w:rsid w:val="2A371628"/>
    <w:rsid w:val="2A44220C"/>
    <w:rsid w:val="2A483027"/>
    <w:rsid w:val="2A7353F2"/>
    <w:rsid w:val="2AA66A22"/>
    <w:rsid w:val="2AA86D76"/>
    <w:rsid w:val="2BAC1E16"/>
    <w:rsid w:val="2BEF388E"/>
    <w:rsid w:val="2C1907E3"/>
    <w:rsid w:val="2C425B8E"/>
    <w:rsid w:val="2CA13945"/>
    <w:rsid w:val="2CE61358"/>
    <w:rsid w:val="2CEF380C"/>
    <w:rsid w:val="2E4C6417"/>
    <w:rsid w:val="2E886DB4"/>
    <w:rsid w:val="2ED0406E"/>
    <w:rsid w:val="2F53767E"/>
    <w:rsid w:val="2F94153F"/>
    <w:rsid w:val="2F9D539C"/>
    <w:rsid w:val="2FAC4ADB"/>
    <w:rsid w:val="2FF43D8C"/>
    <w:rsid w:val="307153DD"/>
    <w:rsid w:val="30DC7219"/>
    <w:rsid w:val="30E738F1"/>
    <w:rsid w:val="30EA3549"/>
    <w:rsid w:val="30FA48AD"/>
    <w:rsid w:val="314B20D2"/>
    <w:rsid w:val="316971E3"/>
    <w:rsid w:val="31E83DC4"/>
    <w:rsid w:val="31F63610"/>
    <w:rsid w:val="320F28B0"/>
    <w:rsid w:val="3235005B"/>
    <w:rsid w:val="327F2033"/>
    <w:rsid w:val="33136C1F"/>
    <w:rsid w:val="332130EA"/>
    <w:rsid w:val="332B68CB"/>
    <w:rsid w:val="3341378C"/>
    <w:rsid w:val="33D62889"/>
    <w:rsid w:val="340927A0"/>
    <w:rsid w:val="343220A9"/>
    <w:rsid w:val="344840CD"/>
    <w:rsid w:val="34496D9C"/>
    <w:rsid w:val="344F7751"/>
    <w:rsid w:val="345B3482"/>
    <w:rsid w:val="34825821"/>
    <w:rsid w:val="34965FB0"/>
    <w:rsid w:val="35325A82"/>
    <w:rsid w:val="355A6D87"/>
    <w:rsid w:val="35E52AF5"/>
    <w:rsid w:val="36653C36"/>
    <w:rsid w:val="36B424C7"/>
    <w:rsid w:val="36C26992"/>
    <w:rsid w:val="36C66327"/>
    <w:rsid w:val="3734577F"/>
    <w:rsid w:val="37621F23"/>
    <w:rsid w:val="376C5A13"/>
    <w:rsid w:val="37B4317C"/>
    <w:rsid w:val="3821593A"/>
    <w:rsid w:val="38710670"/>
    <w:rsid w:val="38765C86"/>
    <w:rsid w:val="38A0216A"/>
    <w:rsid w:val="38DA2963"/>
    <w:rsid w:val="393C6ED0"/>
    <w:rsid w:val="394A4C0D"/>
    <w:rsid w:val="396106E4"/>
    <w:rsid w:val="397A3554"/>
    <w:rsid w:val="397F500E"/>
    <w:rsid w:val="399D1D58"/>
    <w:rsid w:val="39A30504"/>
    <w:rsid w:val="39FE199A"/>
    <w:rsid w:val="3A2B6883"/>
    <w:rsid w:val="3A5C2DDF"/>
    <w:rsid w:val="3AEC66D3"/>
    <w:rsid w:val="3B301429"/>
    <w:rsid w:val="3B4A33FA"/>
    <w:rsid w:val="3B6444BC"/>
    <w:rsid w:val="3B911029"/>
    <w:rsid w:val="3B9834B0"/>
    <w:rsid w:val="3BAB0EC3"/>
    <w:rsid w:val="3BE62E25"/>
    <w:rsid w:val="3CB3413E"/>
    <w:rsid w:val="3CB94393"/>
    <w:rsid w:val="3D0826B4"/>
    <w:rsid w:val="3D09356D"/>
    <w:rsid w:val="3D25174A"/>
    <w:rsid w:val="3DDB658B"/>
    <w:rsid w:val="3DF8538F"/>
    <w:rsid w:val="3E3F3F7D"/>
    <w:rsid w:val="3E96455C"/>
    <w:rsid w:val="3EB810FD"/>
    <w:rsid w:val="3ED20272"/>
    <w:rsid w:val="3F6C1B91"/>
    <w:rsid w:val="3FB83EE7"/>
    <w:rsid w:val="40087431"/>
    <w:rsid w:val="4037219F"/>
    <w:rsid w:val="40E1035D"/>
    <w:rsid w:val="415E36EB"/>
    <w:rsid w:val="416D399E"/>
    <w:rsid w:val="41AA69A0"/>
    <w:rsid w:val="42AB18DB"/>
    <w:rsid w:val="42ED2FE9"/>
    <w:rsid w:val="42F02E45"/>
    <w:rsid w:val="431943ED"/>
    <w:rsid w:val="431B6A0B"/>
    <w:rsid w:val="43284021"/>
    <w:rsid w:val="432B244C"/>
    <w:rsid w:val="43337E46"/>
    <w:rsid w:val="437E331C"/>
    <w:rsid w:val="43C90D96"/>
    <w:rsid w:val="43F14D5A"/>
    <w:rsid w:val="43F64B3D"/>
    <w:rsid w:val="44124799"/>
    <w:rsid w:val="44342631"/>
    <w:rsid w:val="453C0257"/>
    <w:rsid w:val="45961716"/>
    <w:rsid w:val="46C25D23"/>
    <w:rsid w:val="473610FE"/>
    <w:rsid w:val="47647128"/>
    <w:rsid w:val="48AA54D8"/>
    <w:rsid w:val="48C21418"/>
    <w:rsid w:val="48CB5B7A"/>
    <w:rsid w:val="49A60395"/>
    <w:rsid w:val="49B05835"/>
    <w:rsid w:val="4A58343D"/>
    <w:rsid w:val="4A635855"/>
    <w:rsid w:val="4A80725F"/>
    <w:rsid w:val="4A8202DD"/>
    <w:rsid w:val="4AC56011"/>
    <w:rsid w:val="4AC76815"/>
    <w:rsid w:val="4AF77D90"/>
    <w:rsid w:val="4B1F21AD"/>
    <w:rsid w:val="4B287860"/>
    <w:rsid w:val="4BE13434"/>
    <w:rsid w:val="4C485734"/>
    <w:rsid w:val="4C995F8F"/>
    <w:rsid w:val="4CB20E0E"/>
    <w:rsid w:val="4CBD5B50"/>
    <w:rsid w:val="4CF260A4"/>
    <w:rsid w:val="4D0D6339"/>
    <w:rsid w:val="4D477799"/>
    <w:rsid w:val="4D510618"/>
    <w:rsid w:val="4D907E1F"/>
    <w:rsid w:val="4E0C62CF"/>
    <w:rsid w:val="4E2C6D98"/>
    <w:rsid w:val="4E575930"/>
    <w:rsid w:val="4E810A89"/>
    <w:rsid w:val="4EEA4880"/>
    <w:rsid w:val="4F6309C8"/>
    <w:rsid w:val="4FA90297"/>
    <w:rsid w:val="4FAA370E"/>
    <w:rsid w:val="4FD07C62"/>
    <w:rsid w:val="502262C7"/>
    <w:rsid w:val="503C0DF6"/>
    <w:rsid w:val="503D6DC9"/>
    <w:rsid w:val="505B77CA"/>
    <w:rsid w:val="50854860"/>
    <w:rsid w:val="5111616D"/>
    <w:rsid w:val="511931FB"/>
    <w:rsid w:val="513D338D"/>
    <w:rsid w:val="51816421"/>
    <w:rsid w:val="51826FF2"/>
    <w:rsid w:val="518F28BF"/>
    <w:rsid w:val="51D117C7"/>
    <w:rsid w:val="529C6B0F"/>
    <w:rsid w:val="52A10D06"/>
    <w:rsid w:val="52B5129B"/>
    <w:rsid w:val="52C262DB"/>
    <w:rsid w:val="530879CB"/>
    <w:rsid w:val="533C5C8B"/>
    <w:rsid w:val="53D84797"/>
    <w:rsid w:val="53EF6F2B"/>
    <w:rsid w:val="5418094F"/>
    <w:rsid w:val="541B23CD"/>
    <w:rsid w:val="54494D89"/>
    <w:rsid w:val="547A34CB"/>
    <w:rsid w:val="54A01D1C"/>
    <w:rsid w:val="54AA5D02"/>
    <w:rsid w:val="54C74F61"/>
    <w:rsid w:val="54D264E2"/>
    <w:rsid w:val="54FD4F3F"/>
    <w:rsid w:val="5540344C"/>
    <w:rsid w:val="55747599"/>
    <w:rsid w:val="55C93441"/>
    <w:rsid w:val="55E95892"/>
    <w:rsid w:val="561873B8"/>
    <w:rsid w:val="56327239"/>
    <w:rsid w:val="564D4072"/>
    <w:rsid w:val="566D3F02"/>
    <w:rsid w:val="574F3D09"/>
    <w:rsid w:val="57C02622"/>
    <w:rsid w:val="585039A6"/>
    <w:rsid w:val="58525A22"/>
    <w:rsid w:val="58874B22"/>
    <w:rsid w:val="58B8779D"/>
    <w:rsid w:val="59087C19"/>
    <w:rsid w:val="59710078"/>
    <w:rsid w:val="59E9169B"/>
    <w:rsid w:val="59F86878"/>
    <w:rsid w:val="5A3115B5"/>
    <w:rsid w:val="5A58440E"/>
    <w:rsid w:val="5A5D05FC"/>
    <w:rsid w:val="5A8913F1"/>
    <w:rsid w:val="5ACB03EF"/>
    <w:rsid w:val="5AF251E8"/>
    <w:rsid w:val="5B136F0D"/>
    <w:rsid w:val="5B475B88"/>
    <w:rsid w:val="5B535F4C"/>
    <w:rsid w:val="5BD9458F"/>
    <w:rsid w:val="5C3B496D"/>
    <w:rsid w:val="5CC130C4"/>
    <w:rsid w:val="5CCC7719"/>
    <w:rsid w:val="5D09707E"/>
    <w:rsid w:val="5D14180F"/>
    <w:rsid w:val="5DD30137"/>
    <w:rsid w:val="5E0019CA"/>
    <w:rsid w:val="5E191903"/>
    <w:rsid w:val="5E42709B"/>
    <w:rsid w:val="5E884949"/>
    <w:rsid w:val="5F117C07"/>
    <w:rsid w:val="5F683CCB"/>
    <w:rsid w:val="5F7935AF"/>
    <w:rsid w:val="5F873985"/>
    <w:rsid w:val="5FAB5605"/>
    <w:rsid w:val="5FC6687A"/>
    <w:rsid w:val="6075155E"/>
    <w:rsid w:val="60A70EC5"/>
    <w:rsid w:val="60AB34C9"/>
    <w:rsid w:val="60C02F39"/>
    <w:rsid w:val="60C30974"/>
    <w:rsid w:val="60EC6236"/>
    <w:rsid w:val="60F53D56"/>
    <w:rsid w:val="61616C24"/>
    <w:rsid w:val="626D784A"/>
    <w:rsid w:val="6271541F"/>
    <w:rsid w:val="630006BE"/>
    <w:rsid w:val="63445B96"/>
    <w:rsid w:val="638915D0"/>
    <w:rsid w:val="63A178B1"/>
    <w:rsid w:val="63B572B1"/>
    <w:rsid w:val="6403007B"/>
    <w:rsid w:val="649B069F"/>
    <w:rsid w:val="64A871CF"/>
    <w:rsid w:val="64D67929"/>
    <w:rsid w:val="64D87E3D"/>
    <w:rsid w:val="64DE058B"/>
    <w:rsid w:val="65046244"/>
    <w:rsid w:val="65085608"/>
    <w:rsid w:val="656E190F"/>
    <w:rsid w:val="65B11292"/>
    <w:rsid w:val="65B31A18"/>
    <w:rsid w:val="66796B71"/>
    <w:rsid w:val="66BB5028"/>
    <w:rsid w:val="66C6738F"/>
    <w:rsid w:val="66D9391A"/>
    <w:rsid w:val="66F74963"/>
    <w:rsid w:val="671E05BD"/>
    <w:rsid w:val="673E3563"/>
    <w:rsid w:val="67D85766"/>
    <w:rsid w:val="681D761D"/>
    <w:rsid w:val="682269E1"/>
    <w:rsid w:val="6878659F"/>
    <w:rsid w:val="68D66149"/>
    <w:rsid w:val="69095099"/>
    <w:rsid w:val="692F585A"/>
    <w:rsid w:val="69491767"/>
    <w:rsid w:val="69591C34"/>
    <w:rsid w:val="69A8773E"/>
    <w:rsid w:val="6A18009C"/>
    <w:rsid w:val="6AB733D0"/>
    <w:rsid w:val="6AB9525A"/>
    <w:rsid w:val="6AE172C3"/>
    <w:rsid w:val="6B1541DA"/>
    <w:rsid w:val="6B5E4966"/>
    <w:rsid w:val="6B7B2FD8"/>
    <w:rsid w:val="6C1A20EA"/>
    <w:rsid w:val="6C4B63C8"/>
    <w:rsid w:val="6C5D448C"/>
    <w:rsid w:val="6C755C79"/>
    <w:rsid w:val="6CFE7A1D"/>
    <w:rsid w:val="6D254FA9"/>
    <w:rsid w:val="6D5A02DE"/>
    <w:rsid w:val="6D855A48"/>
    <w:rsid w:val="6DF32B48"/>
    <w:rsid w:val="6DF56252"/>
    <w:rsid w:val="6E1E34B7"/>
    <w:rsid w:val="6E8B52E0"/>
    <w:rsid w:val="6EE60768"/>
    <w:rsid w:val="6EFC21F4"/>
    <w:rsid w:val="6F234BFA"/>
    <w:rsid w:val="6F2F79BF"/>
    <w:rsid w:val="6F5D43DF"/>
    <w:rsid w:val="6FE949B4"/>
    <w:rsid w:val="70A628A5"/>
    <w:rsid w:val="70C42D2B"/>
    <w:rsid w:val="714A1482"/>
    <w:rsid w:val="716D6F1F"/>
    <w:rsid w:val="71A243BD"/>
    <w:rsid w:val="71C86C51"/>
    <w:rsid w:val="71FF2294"/>
    <w:rsid w:val="72072EE6"/>
    <w:rsid w:val="723E2669"/>
    <w:rsid w:val="72C95A2D"/>
    <w:rsid w:val="73687C20"/>
    <w:rsid w:val="736D2381"/>
    <w:rsid w:val="73BF77DA"/>
    <w:rsid w:val="73D30734"/>
    <w:rsid w:val="73E65B57"/>
    <w:rsid w:val="73EF57BD"/>
    <w:rsid w:val="74864B76"/>
    <w:rsid w:val="753B6E07"/>
    <w:rsid w:val="7553467E"/>
    <w:rsid w:val="757A7E5C"/>
    <w:rsid w:val="75895782"/>
    <w:rsid w:val="75A24CA8"/>
    <w:rsid w:val="75F25CC3"/>
    <w:rsid w:val="75F509DF"/>
    <w:rsid w:val="75FB598A"/>
    <w:rsid w:val="769027A6"/>
    <w:rsid w:val="76DE4877"/>
    <w:rsid w:val="772C33D8"/>
    <w:rsid w:val="773504DF"/>
    <w:rsid w:val="774923C9"/>
    <w:rsid w:val="776F5E6A"/>
    <w:rsid w:val="778E7BEF"/>
    <w:rsid w:val="77B74B0E"/>
    <w:rsid w:val="77BB56B8"/>
    <w:rsid w:val="77C67389"/>
    <w:rsid w:val="77D9170E"/>
    <w:rsid w:val="77EF4B32"/>
    <w:rsid w:val="784F3511"/>
    <w:rsid w:val="787D74A8"/>
    <w:rsid w:val="787F52A8"/>
    <w:rsid w:val="78B705EE"/>
    <w:rsid w:val="792A3948"/>
    <w:rsid w:val="79570020"/>
    <w:rsid w:val="799F483E"/>
    <w:rsid w:val="79A050D4"/>
    <w:rsid w:val="79B871A5"/>
    <w:rsid w:val="79E42378"/>
    <w:rsid w:val="7A872C09"/>
    <w:rsid w:val="7A920369"/>
    <w:rsid w:val="7AC12AAF"/>
    <w:rsid w:val="7AC57A5D"/>
    <w:rsid w:val="7B332694"/>
    <w:rsid w:val="7B7470B4"/>
    <w:rsid w:val="7B7D4454"/>
    <w:rsid w:val="7CA924CB"/>
    <w:rsid w:val="7CD65172"/>
    <w:rsid w:val="7CE24C65"/>
    <w:rsid w:val="7CEF1130"/>
    <w:rsid w:val="7D4A0A5C"/>
    <w:rsid w:val="7D6343F9"/>
    <w:rsid w:val="7DB32B26"/>
    <w:rsid w:val="7DDFD820"/>
    <w:rsid w:val="7E5576B9"/>
    <w:rsid w:val="7E9F372D"/>
    <w:rsid w:val="7EF020BD"/>
    <w:rsid w:val="7F582D78"/>
    <w:rsid w:val="7FBE43E0"/>
    <w:rsid w:val="7FCBD802"/>
    <w:rsid w:val="7FFF78DC"/>
    <w:rsid w:val="ABFF3CD2"/>
    <w:rsid w:val="B2F788E1"/>
    <w:rsid w:val="B75F49EF"/>
    <w:rsid w:val="D7EF110B"/>
    <w:rsid w:val="FEBF5C8B"/>
    <w:rsid w:val="FFBFC9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2"/>
    <w:basedOn w:val="1"/>
    <w:next w:val="1"/>
    <w:link w:val="15"/>
    <w:unhideWhenUsed/>
    <w:qFormat/>
    <w:uiPriority w:val="0"/>
    <w:pPr>
      <w:keepNext/>
      <w:keepLines/>
      <w:spacing w:before="260" w:after="260" w:line="413" w:lineRule="auto"/>
      <w:outlineLvl w:val="1"/>
    </w:pPr>
    <w:rPr>
      <w:rFonts w:eastAsia="黑体"/>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footnote text"/>
    <w:basedOn w:val="1"/>
    <w:qFormat/>
    <w:uiPriority w:val="0"/>
    <w:pPr>
      <w:snapToGrid w:val="0"/>
      <w:jc w:val="left"/>
    </w:pPr>
    <w:rPr>
      <w:sz w:val="18"/>
    </w:rPr>
  </w:style>
  <w:style w:type="paragraph" w:styleId="8">
    <w:name w:val="toc 2"/>
    <w:basedOn w:val="1"/>
    <w:next w:val="1"/>
    <w:qFormat/>
    <w:uiPriority w:val="0"/>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footnote reference"/>
    <w:basedOn w:val="11"/>
    <w:qFormat/>
    <w:uiPriority w:val="0"/>
    <w:rPr>
      <w:vertAlign w:val="superscript"/>
    </w:rPr>
  </w:style>
  <w:style w:type="character" w:customStyle="1" w:styleId="15">
    <w:name w:val="标题 2 字符"/>
    <w:link w:val="2"/>
    <w:qFormat/>
    <w:uiPriority w:val="0"/>
    <w:rPr>
      <w:rFonts w:eastAsia="黑体"/>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7691</Words>
  <Characters>7953</Characters>
  <TotalTime>8</TotalTime>
  <ScaleCrop>false</ScaleCrop>
  <LinksUpToDate>false</LinksUpToDate>
  <CharactersWithSpaces>8126</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2026-01-14T01:32:00Z</dcterms:created>
  <dc:creator>Apache POI</dc:creator>
  <cp:lastModifiedBy>Lenovo</cp:lastModifiedBy>
  <dcterms:modified xsi:type="dcterms:W3CDTF">2026-09-15T15:16:20Z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eyJoZGlkIjoiNDgzYjE1MzNmZDAyNGJmZjdmOGIxZjViNzMxYzIxMzciLCJ1c2VySWQiOiI0Mzk4NjkzMjkifQ==</vt:lpwstr>
  </property>
  <property fmtid="{D5CDD505-2E9C-101B-9397-08002B2CF9AE}" pid="3" name="KSOProductBuildVer">
    <vt:lpwstr>2052-12.8.2.1119</vt:lpwstr>
  </property>
  <property fmtid="{D5CDD505-2E9C-101B-9397-08002B2CF9AE}" pid="4" name="ICV">
    <vt:lpwstr>FD31F58D587D44AD850AD8131637C104_12</vt:lpwstr>
  </property>
</Properties>
</file>