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4" w:name="_GoBack"/>
      <w:bookmarkEnd w:id="4"/>
      <w:r>
        <w:rPr>
          <w:rFonts w:hint="default" w:ascii="Times New Roman" w:hAnsi="Times New Roman" w:cs="Calibri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 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1</w:t>
      </w: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Times New Roman" w:hAnsi="Times New Roman" w:cs="Times New Roman"/>
          <w:color w:val="auto"/>
          <w:sz w:val="21"/>
          <w:szCs w:val="24"/>
        </w:rPr>
      </w:pPr>
      <w:bookmarkStart w:id="0" w:name="_Toc259090997"/>
      <w:bookmarkStart w:id="1" w:name="_Toc276645593"/>
      <w:bookmarkStart w:id="2" w:name="_Toc92602866"/>
      <w:bookmarkStart w:id="3" w:name="_Toc413881186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报价表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仿宋" w:eastAsia="仿宋_GB2312" w:cs="Times New Roman"/>
          <w:b/>
          <w:color w:val="auto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b/>
          <w:bCs w:val="0"/>
          <w:color w:val="auto"/>
          <w:sz w:val="24"/>
          <w:szCs w:val="24"/>
        </w:rPr>
        <w:t>项目名称：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</w:rPr>
        <w:t>年三亚市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  <w:u w:val="single"/>
          <w:lang w:eastAsia="zh-CN"/>
        </w:rPr>
        <w:t>吉阳区第一期零售行业及一季度商超促消费补贴项目专项审计</w:t>
      </w:r>
      <w:r>
        <w:rPr>
          <w:rFonts w:hint="eastAsia" w:ascii="仿宋_GB2312" w:hAnsi="宋体" w:eastAsia="仿宋_GB2312" w:cs="Times New Roman"/>
          <w:bCs/>
          <w:color w:val="auto"/>
          <w:sz w:val="24"/>
          <w:szCs w:val="24"/>
        </w:rPr>
        <w:t xml:space="preserve">        </w:t>
      </w: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tbl>
      <w:tblPr>
        <w:tblStyle w:val="4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3320"/>
        <w:gridCol w:w="2162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服务期限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  <w:u w:val="single"/>
              </w:rPr>
              <w:t xml:space="preserve"> 202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  <w:u w:val="single"/>
              </w:rPr>
              <w:t>年三亚市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  <w:u w:val="single"/>
                <w:lang w:eastAsia="zh-CN"/>
              </w:rPr>
              <w:t>吉阳区第一期零售行业及一季度商超促消费补贴</w:t>
            </w:r>
            <w:r>
              <w:rPr>
                <w:rFonts w:hint="eastAsia" w:ascii="仿宋_GB2312" w:hAnsi="宋体" w:eastAsia="仿宋_GB2312"/>
                <w:bCs/>
                <w:color w:val="auto"/>
                <w:sz w:val="24"/>
                <w:u w:val="single"/>
              </w:rPr>
              <w:t>项目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  <w:u w:val="single"/>
                <w:lang w:eastAsia="zh-CN"/>
              </w:rPr>
              <w:t>专项审计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33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大写：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80" w:lineRule="auto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24"/>
              </w:rPr>
              <w:t>小写：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28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21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240" w:lineRule="auto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spacing w:line="360" w:lineRule="exac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报价人名称（加盖公章）：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  <w:lang w:val="en-US" w:eastAsia="zh-CN"/>
        </w:rPr>
        <w:t xml:space="preserve">                          </w:t>
      </w:r>
    </w:p>
    <w:p>
      <w:pPr>
        <w:wordWrap/>
        <w:adjustRightInd w:val="0"/>
        <w:snapToGrid w:val="0"/>
        <w:spacing w:line="240" w:lineRule="auto"/>
        <w:jc w:val="right"/>
        <w:rPr>
          <w:rFonts w:hint="eastAsia" w:ascii="仿宋_GB2312" w:hAnsi="仿宋" w:eastAsia="仿宋_GB2312" w:cs="Times New Roman"/>
          <w:color w:val="auto"/>
          <w:sz w:val="24"/>
          <w:szCs w:val="24"/>
        </w:rPr>
      </w:pPr>
    </w:p>
    <w:p>
      <w:pPr>
        <w:wordWrap w:val="0"/>
        <w:adjustRightInd w:val="0"/>
        <w:snapToGrid w:val="0"/>
        <w:spacing w:line="240" w:lineRule="auto"/>
        <w:jc w:val="right"/>
        <w:rPr>
          <w:rFonts w:hint="default" w:ascii="仿宋_GB2312" w:hAnsi="宋体" w:eastAsia="仿宋_GB2312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日期：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>年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 xml:space="preserve"> 月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</w:rPr>
        <w:t xml:space="preserve"> 日</w:t>
      </w:r>
      <w:r>
        <w:rPr>
          <w:rFonts w:hint="eastAsia" w:ascii="仿宋_GB2312" w:hAnsi="仿宋" w:eastAsia="仿宋_GB2312" w:cs="Times New Roman"/>
          <w:color w:val="auto"/>
          <w:sz w:val="24"/>
          <w:szCs w:val="24"/>
          <w:lang w:val="en-US" w:eastAsia="zh-CN"/>
        </w:rPr>
        <w:t xml:space="preserve">    </w:t>
      </w:r>
    </w:p>
    <w:p>
      <w:pPr>
        <w:rPr>
          <w:rFonts w:hint="eastAsia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auto"/>
          <w:sz w:val="21"/>
          <w:szCs w:val="24"/>
        </w:rPr>
      </w:pPr>
    </w:p>
    <w:p>
      <w:pPr>
        <w:ind w:right="111" w:rightChars="53"/>
        <w:jc w:val="both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2B43"/>
    <w:rsid w:val="34264DBA"/>
    <w:rsid w:val="3EAB0813"/>
    <w:rsid w:val="455D5FB9"/>
    <w:rsid w:val="640F6E78"/>
    <w:rsid w:val="68E27F72"/>
    <w:rsid w:val="77C552F6"/>
    <w:rsid w:val="78602A62"/>
    <w:rsid w:val="BDCDDD59"/>
    <w:rsid w:val="BEBB6A33"/>
    <w:rsid w:val="D7BE78F2"/>
    <w:rsid w:val="FD7FC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2026-04-02T09:29:00Z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