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3923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560" w:lineRule="exact"/>
        <w:ind w:firstLine="642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我单位（单位名称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统一社会信用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代码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，本着诚实信用的原则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自愿申请参加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2025年三亚市吉阳区黄金珠宝消费券发放活动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现郑重向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吉阳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商务局及相关部门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beforeLines="0" w:afterLines="0" w:line="560" w:lineRule="exact"/>
        <w:ind w:left="0" w:firstLine="54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一、已完全知晓本次活动各项要求，将严格遵守活动相关规定及法律法规，规范参与活动。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560" w:lineRule="exact"/>
        <w:ind w:left="8" w:firstLine="477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二、活动期间，本单位不进行任何形式的先涨价、后让利等变相涨价和哄抬物价行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为，不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虚假宣传，不以充值、预存等非实物消费方式核销消费券。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560" w:lineRule="exact"/>
        <w:ind w:left="1" w:firstLine="486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三、积极配合消费券投放平台完成核销条件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28"/>
          <w:szCs w:val="28"/>
        </w:rPr>
        <w:t>；绝不弄虚作假，不利用不正当手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段、规则漏洞等方式进行套利，自觉抵制倒卖消费券、套现等违规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行为。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560" w:lineRule="exact"/>
        <w:ind w:left="509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四、严格按照消费券使用规则办理核销，具体如下：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60" w:lineRule="exact"/>
        <w:ind w:left="9" w:firstLine="492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（一）确保用户按规定核销使用消费券，杜绝同一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用户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同一订单核销多张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同档次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消费</w:t>
      </w:r>
      <w:r>
        <w:rPr>
          <w:rFonts w:hint="eastAsia" w:ascii="仿宋_GB2312" w:hAnsi="仿宋_GB2312" w:eastAsia="仿宋_GB2312" w:cs="仿宋_GB2312"/>
          <w:sz w:val="28"/>
          <w:szCs w:val="28"/>
        </w:rPr>
        <w:t>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</w:rPr>
        <w:t>拍摄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截屏消费券二维码照片核销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以及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同一移动通信设备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同一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用户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持多部移动通信设备登录不同的银联云闪付账户核销消费券的情形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60" w:lineRule="exact"/>
        <w:ind w:firstLine="502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（二）每人单笔交易仅可使用一张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消费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券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消费券不</w:t>
      </w:r>
      <w:r>
        <w:rPr>
          <w:rFonts w:hint="eastAsia" w:ascii="仿宋_GB2312" w:hAnsi="仿宋_GB2312" w:eastAsia="仿宋_GB2312" w:cs="仿宋_GB2312"/>
          <w:sz w:val="28"/>
          <w:szCs w:val="28"/>
        </w:rPr>
        <w:t>找零、不兑换现金、不得转让，不用于购买购物卡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等预付类商品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" w:firstLine="499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（三）妥善保留涉及消费券的相关销售凭证（包含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但不限于与销售金额一致的真实有效</w:t>
      </w:r>
      <w:r>
        <w:rPr>
          <w:rFonts w:hint="eastAsia" w:ascii="仿宋_GB2312" w:hAnsi="仿宋_GB2312" w:eastAsia="仿宋_GB2312" w:cs="仿宋_GB2312"/>
          <w:sz w:val="28"/>
          <w:szCs w:val="28"/>
        </w:rPr>
        <w:t>发票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活动结束后核实；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" w:firstLine="499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（四）积极配合相关部门提供所需的信息及材料，并保证其真实、准确、合规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如需纳统，将主动向统计部门申请办理。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ind w:left="1" w:firstLine="482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五、如违反上述承诺，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吉阳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</w:rPr>
        <w:t>商务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局及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28"/>
          <w:szCs w:val="28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相应的消费券资金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退还</w:t>
      </w:r>
      <w:r>
        <w:rPr>
          <w:rFonts w:hint="eastAsia" w:ascii="仿宋_GB2312" w:hAnsi="仿宋_GB2312" w:eastAsia="仿宋_GB2312" w:cs="仿宋_GB2312"/>
          <w:sz w:val="28"/>
          <w:szCs w:val="28"/>
        </w:rPr>
        <w:t>至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指定账户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如逾期退还，自愿按逾期退还金额的日万分之五标准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支付违约金，且不向消费者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追偿</w:t>
      </w:r>
      <w:r>
        <w:rPr>
          <w:rFonts w:hint="eastAsia" w:ascii="仿宋_GB2312" w:hAnsi="仿宋_GB2312" w:eastAsia="仿宋_GB2312" w:cs="仿宋_GB2312"/>
          <w:sz w:val="28"/>
          <w:szCs w:val="28"/>
        </w:rPr>
        <w:t>消费券抵扣部分资金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</w:rPr>
        <w:t>商务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局及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相关部门将相关失信行为纳入三亚市公共信用信息平台。若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违法违规，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自愿接受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关法律、法规、规章和政策规定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处罚，并依法承担相应责任。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2" w:firstLine="499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六、同意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承诺书在“信用中国（三亚）”网站公示，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接受社会各界监督。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3242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承诺单位（加盖公章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560" w:lineRule="exact"/>
        <w:ind w:left="324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4386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承诺日期：202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560" w:lineRule="exact"/>
        <w:ind w:left="293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附：联系人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sectPr>
      <w:pgSz w:w="11906" w:h="16839"/>
      <w:pgMar w:top="1409" w:right="1360" w:bottom="0" w:left="141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E02138"/>
    <w:rsid w:val="1A113DA4"/>
    <w:rsid w:val="2A5B1E1D"/>
    <w:rsid w:val="31E466F1"/>
    <w:rsid w:val="3D6F7158"/>
    <w:rsid w:val="4CE45CD4"/>
    <w:rsid w:val="6ACD7AC1"/>
    <w:rsid w:val="71F058B9"/>
    <w:rsid w:val="7DEE3C94"/>
    <w:rsid w:val="7FEE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774</Words>
  <Characters>780</Characters>
  <TotalTime>0</TotalTime>
  <ScaleCrop>false</ScaleCrop>
  <LinksUpToDate>false</LinksUpToDate>
  <CharactersWithSpaces>798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2025-09-16T02:27:00Z</dcterms:created>
  <dc:creator>Lenovo</dc:creator>
  <cp:lastModifiedBy>Administrator</cp:lastModifiedBy>
  <dcterms:modified xsi:type="dcterms:W3CDTF">2025-11-10T08:43:09Z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2025-09-16T10:24:51Z</vt:filetime>
  </property>
  <property fmtid="{D5CDD505-2E9C-101B-9397-08002B2CF9AE}" pid="4" name="KSOTemplateDocerSaveRecord">
    <vt:lpwstr>eyJoZGlkIjoiZTI0MjY0OGU3NzI5YjUzZTAxZjllZGQzNmEzZDUxNmUiLCJ1c2VySWQiOiIzOTY4MTA3MDQifQ==</vt:lpwstr>
  </property>
  <property fmtid="{D5CDD505-2E9C-101B-9397-08002B2CF9AE}" pid="5" name="KSOProductBuildVer">
    <vt:lpwstr>2052-11.8.2.8411</vt:lpwstr>
  </property>
  <property fmtid="{D5CDD505-2E9C-101B-9397-08002B2CF9AE}" pid="6" name="ICV">
    <vt:lpwstr>4324728928B54FD28AA451548CEF8C58_12</vt:lpwstr>
  </property>
</Properties>
</file>