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县域商业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建设行动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tbl>
      <w:tblPr>
        <w:tblStyle w:val="3"/>
        <w:tblW w:w="14338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947"/>
        <w:gridCol w:w="615"/>
        <w:gridCol w:w="1207"/>
        <w:gridCol w:w="668"/>
        <w:gridCol w:w="855"/>
        <w:gridCol w:w="697"/>
        <w:gridCol w:w="795"/>
        <w:gridCol w:w="600"/>
        <w:gridCol w:w="2490"/>
        <w:gridCol w:w="1185"/>
        <w:gridCol w:w="3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76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</w:rPr>
              <w:t>序号</w:t>
            </w:r>
          </w:p>
        </w:tc>
        <w:tc>
          <w:tcPr>
            <w:tcW w:w="947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</w:rPr>
              <w:t>项目名称</w:t>
            </w:r>
          </w:p>
        </w:tc>
        <w:tc>
          <w:tcPr>
            <w:tcW w:w="61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  <w:t>项目地点</w:t>
            </w:r>
          </w:p>
        </w:tc>
        <w:tc>
          <w:tcPr>
            <w:tcW w:w="1207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  <w:t>支持方向</w:t>
            </w:r>
          </w:p>
        </w:tc>
        <w:tc>
          <w:tcPr>
            <w:tcW w:w="668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</w:rPr>
              <w:t>建设</w:t>
            </w:r>
          </w:p>
          <w:p>
            <w:pPr>
              <w:spacing w:line="28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</w:rPr>
              <w:t>类型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</w:rPr>
              <w:t>承办企业</w:t>
            </w:r>
          </w:p>
        </w:tc>
        <w:tc>
          <w:tcPr>
            <w:tcW w:w="697" w:type="dxa"/>
            <w:vAlign w:val="center"/>
          </w:tcPr>
          <w:p>
            <w:pPr>
              <w:spacing w:line="280" w:lineRule="exact"/>
              <w:jc w:val="both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</w:rPr>
              <w:t>总投资额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</w:rPr>
              <w:t>万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eastAsia="zh-CN"/>
              </w:rPr>
              <w:t>元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79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  <w:t>设施设备购置额(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</w:rPr>
              <w:t>万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eastAsia="zh-CN"/>
              </w:rPr>
              <w:t>元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both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  <w:t>补贴</w:t>
            </w:r>
          </w:p>
          <w:p>
            <w:pPr>
              <w:spacing w:line="280" w:lineRule="exact"/>
              <w:jc w:val="both"/>
              <w:textAlignment w:val="baseline"/>
              <w:rPr>
                <w:rFonts w:hint="default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  <w:t>金额(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</w:rPr>
              <w:t>万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eastAsia="zh-CN"/>
              </w:rPr>
              <w:t>元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490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</w:rPr>
              <w:t>建设内容</w:t>
            </w:r>
          </w:p>
        </w:tc>
        <w:tc>
          <w:tcPr>
            <w:tcW w:w="118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  <w:lang w:val="en-US" w:eastAsia="zh-CN"/>
              </w:rPr>
              <w:t>建设周期</w:t>
            </w:r>
          </w:p>
        </w:tc>
        <w:tc>
          <w:tcPr>
            <w:tcW w:w="3503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</w:rPr>
              <w:t>实现功能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76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三亚市吉阳区钧润物流配送车辆升级项目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海南省三亚市吉阳区吉阳大道与海榆中线交叉口西南方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完善县乡村三级物流配送体系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改造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钧润科技（海南）有限责任公司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33.2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29.38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11.75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购置厢式运输车，用于三亚市吉阳区周边的县乡村与其他快递公司进行共同配送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底前</w:t>
            </w:r>
          </w:p>
        </w:tc>
        <w:tc>
          <w:tcPr>
            <w:tcW w:w="3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可增加快递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件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运输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量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，降低物流成本，提高县乡村快递配送效率。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6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合计</w:t>
            </w:r>
          </w:p>
        </w:tc>
        <w:tc>
          <w:tcPr>
            <w:tcW w:w="947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33.2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29.38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11.75</w:t>
            </w:r>
          </w:p>
        </w:tc>
        <w:tc>
          <w:tcPr>
            <w:tcW w:w="2490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03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A84517"/>
    <w:rsid w:val="1B45627C"/>
    <w:rsid w:val="1C9B3FF4"/>
    <w:rsid w:val="24A95741"/>
    <w:rsid w:val="56B100B6"/>
    <w:rsid w:val="5B820477"/>
    <w:rsid w:val="70FA1510"/>
    <w:rsid w:val="FFB0E1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2024-04-16T18:01:00Z</dcterms:created>
  <dc:creator>区商务和金融发展局收发员</dc:creator>
  <cp:lastModifiedBy>区商务和金融发展局收发员</cp:lastModifiedBy>
  <dcterms:modified xsi:type="dcterms:W3CDTF">2025-11-04T02:41:33Z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E7F7F01CD1593D24124AF8681F79C261_42</vt:lpwstr>
  </property>
</Properties>
</file>