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both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三亚市吉阳区统计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局责任清单编制说明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cs="Times New Roman"/>
          <w:szCs w:val="32"/>
          <w:lang w:val="en-US" w:eastAsia="zh-CN"/>
        </w:rPr>
        <w:t>三亚市吉阳区统计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局责任清单》，现将有关内容作说明如下：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经梳理，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与相关部门的职责边界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共0项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0817ACB"/>
    <w:rsid w:val="00D27184"/>
    <w:rsid w:val="01546A5A"/>
    <w:rsid w:val="01560E72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0930971"/>
    <w:rsid w:val="23082725"/>
    <w:rsid w:val="26125CFE"/>
    <w:rsid w:val="27B6002E"/>
    <w:rsid w:val="2879640A"/>
    <w:rsid w:val="293A3E5C"/>
    <w:rsid w:val="2A153C94"/>
    <w:rsid w:val="2B4757D2"/>
    <w:rsid w:val="2B90046F"/>
    <w:rsid w:val="2C3A04E8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BE52EF7"/>
    <w:rsid w:val="5EF33294"/>
    <w:rsid w:val="602A37A0"/>
    <w:rsid w:val="61EC77DF"/>
    <w:rsid w:val="62C40281"/>
    <w:rsid w:val="63B75454"/>
    <w:rsid w:val="685C1E23"/>
    <w:rsid w:val="6AC00F08"/>
    <w:rsid w:val="6D1C5D5A"/>
    <w:rsid w:val="6FE713CB"/>
    <w:rsid w:val="70746E88"/>
    <w:rsid w:val="70C930F5"/>
    <w:rsid w:val="713820A0"/>
    <w:rsid w:val="73F47604"/>
    <w:rsid w:val="74283E20"/>
    <w:rsid w:val="75DC31CD"/>
    <w:rsid w:val="78AC6FD9"/>
    <w:rsid w:val="7A4F4F66"/>
    <w:rsid w:val="7CFA3218"/>
    <w:rsid w:val="7D580883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2021-06-10T00:49:00Z</cp:lastPrinted>
  <dcterms:modified xsi:type="dcterms:W3CDTF">2021-09-03T08:18:17Z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