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default" w:ascii="Times New Roman" w:hAnsi="Times New Roman" w:eastAsia="方正小标宋简体" w:cs="Times New Roman"/>
          <w:bCs/>
          <w:color w:val="000000" w:themeColor="text1"/>
          <w:kern w:val="0"/>
          <w:sz w:val="44"/>
          <w:szCs w:val="44"/>
          <w14:textFill>
            <w14:solidFill>
              <w14:schemeClr w14:val="tx1"/>
            </w14:solidFill>
          </w14:textFill>
        </w:rPr>
      </w:pPr>
      <w:r>
        <w:rPr>
          <w:rFonts w:hint="eastAsia" w:eastAsia="方正小标宋简体" w:cs="Times New Roman"/>
          <w:bCs/>
          <w:color w:val="000000" w:themeColor="text1"/>
          <w:kern w:val="0"/>
          <w:sz w:val="44"/>
          <w:szCs w:val="44"/>
          <w:lang w:eastAsia="zh-CN"/>
          <w14:textFill>
            <w14:solidFill>
              <w14:schemeClr w14:val="tx1"/>
            </w14:solidFill>
          </w14:textFill>
        </w:rPr>
        <w:t>三亚市吉阳区环卫所</w:t>
      </w:r>
      <w:r>
        <w:rPr>
          <w:rFonts w:hint="default" w:ascii="Times New Roman" w:hAnsi="Times New Roman" w:eastAsia="方正小标宋简体" w:cs="Times New Roman"/>
          <w:bCs/>
          <w:color w:val="000000" w:themeColor="text1"/>
          <w:kern w:val="0"/>
          <w:sz w:val="44"/>
          <w:szCs w:val="44"/>
          <w14:textFill>
            <w14:solidFill>
              <w14:schemeClr w14:val="tx1"/>
            </w14:solidFill>
          </w14:textFill>
        </w:rPr>
        <w:t>责任清单</w:t>
      </w:r>
    </w:p>
    <w:p>
      <w:pPr>
        <w:pStyle w:val="2"/>
        <w:rPr>
          <w:rFonts w:hint="default"/>
        </w:rPr>
      </w:pPr>
    </w:p>
    <w:p>
      <w:pPr>
        <w:spacing w:line="578" w:lineRule="exact"/>
        <w:jc w:val="center"/>
        <w:rPr>
          <w:rFonts w:hint="default" w:ascii="Times New Roman" w:hAnsi="Times New Roman" w:eastAsia="黑体" w:cs="Times New Roman"/>
          <w:bCs/>
          <w:color w:val="000000" w:themeColor="text1"/>
          <w:kern w:val="0"/>
          <w:szCs w:val="32"/>
          <w14:textFill>
            <w14:solidFill>
              <w14:schemeClr w14:val="tx1"/>
            </w14:solidFill>
          </w14:textFill>
        </w:rPr>
      </w:pPr>
      <w:r>
        <w:rPr>
          <w:rFonts w:hint="default" w:ascii="Times New Roman" w:hAnsi="Times New Roman" w:eastAsia="黑体" w:cs="Times New Roman"/>
          <w:bCs/>
          <w:color w:val="000000" w:themeColor="text1"/>
          <w:kern w:val="0"/>
          <w:szCs w:val="32"/>
          <w14:textFill>
            <w14:solidFill>
              <w14:schemeClr w14:val="tx1"/>
            </w14:solidFill>
          </w14:textFill>
        </w:rPr>
        <w:t>目   录</w:t>
      </w:r>
    </w:p>
    <w:p>
      <w:pPr>
        <w:spacing w:line="578" w:lineRule="exact"/>
        <w:rPr>
          <w:rFonts w:hint="default" w:ascii="Times New Roman" w:hAnsi="Times New Roman" w:cs="Times New Roman"/>
          <w:bCs/>
          <w:color w:val="000000" w:themeColor="text1"/>
          <w:kern w:val="0"/>
          <w:szCs w:val="32"/>
          <w14:textFill>
            <w14:solidFill>
              <w14:schemeClr w14:val="tx1"/>
            </w14:solidFill>
          </w14:textFill>
        </w:rPr>
      </w:pPr>
      <w:r>
        <w:rPr>
          <w:rFonts w:hint="default" w:ascii="Times New Roman" w:hAnsi="Times New Roman" w:cs="Times New Roman"/>
          <w:bCs/>
          <w:color w:val="000000" w:themeColor="text1"/>
          <w:kern w:val="0"/>
          <w:szCs w:val="32"/>
          <w14:textFill>
            <w14:solidFill>
              <w14:schemeClr w14:val="tx1"/>
            </w14:solidFill>
          </w14:textFill>
        </w:rPr>
        <w:t xml:space="preserve">   </w:t>
      </w:r>
    </w:p>
    <w:p>
      <w:pPr>
        <w:numPr>
          <w:ilvl w:val="0"/>
          <w:numId w:val="1"/>
        </w:numPr>
        <w:spacing w:line="540" w:lineRule="exact"/>
        <w:jc w:val="both"/>
        <w:rPr>
          <w:rFonts w:ascii="Times New Roman" w:hAnsi="Times New Roman"/>
          <w:sz w:val="32"/>
          <w:szCs w:val="32"/>
        </w:rPr>
      </w:pPr>
      <w:r>
        <w:rPr>
          <w:rFonts w:ascii="Times New Roman" w:hAnsi="Times New Roman"/>
          <w:sz w:val="32"/>
          <w:szCs w:val="32"/>
        </w:rPr>
        <w:t>部门职责登记表</w:t>
      </w:r>
    </w:p>
    <w:p>
      <w:pPr>
        <w:numPr>
          <w:ilvl w:val="0"/>
          <w:numId w:val="1"/>
        </w:numPr>
        <w:spacing w:line="540" w:lineRule="exact"/>
        <w:jc w:val="both"/>
        <w:rPr>
          <w:rFonts w:ascii="Times New Roman" w:hAnsi="Times New Roman"/>
          <w:sz w:val="32"/>
          <w:szCs w:val="32"/>
        </w:rPr>
      </w:pPr>
      <w:r>
        <w:rPr>
          <w:rFonts w:ascii="Times New Roman" w:hAnsi="Times New Roman"/>
          <w:sz w:val="32"/>
          <w:szCs w:val="32"/>
        </w:rPr>
        <w:t>与相关部门的职责边界登记表</w:t>
      </w:r>
      <w:r>
        <w:rPr>
          <w:rFonts w:hint="eastAsia"/>
          <w:sz w:val="32"/>
          <w:szCs w:val="32"/>
          <w:lang w:eastAsia="zh-CN"/>
        </w:rPr>
        <w:t>（无）</w:t>
      </w:r>
    </w:p>
    <w:p>
      <w:pPr>
        <w:numPr>
          <w:ilvl w:val="0"/>
          <w:numId w:val="0"/>
        </w:numPr>
        <w:spacing w:line="540" w:lineRule="exact"/>
        <w:jc w:val="both"/>
        <w:rPr>
          <w:rFonts w:hint="eastAsia" w:ascii="Times New Roman" w:hAnsi="Times New Roman" w:eastAsia="仿宋_GB2312"/>
          <w:sz w:val="32"/>
          <w:szCs w:val="32"/>
          <w:lang w:eastAsia="zh-CN"/>
        </w:rPr>
      </w:pPr>
      <w:r>
        <w:rPr>
          <w:rFonts w:ascii="Times New Roman" w:hAnsi="Times New Roman"/>
          <w:sz w:val="32"/>
          <w:szCs w:val="32"/>
        </w:rPr>
        <w:t>三、事中事后监管制度</w:t>
      </w:r>
      <w:r>
        <w:rPr>
          <w:rFonts w:hint="eastAsia"/>
          <w:sz w:val="32"/>
          <w:szCs w:val="32"/>
          <w:lang w:eastAsia="zh-CN"/>
        </w:rPr>
        <w:t>（无）</w:t>
      </w:r>
    </w:p>
    <w:p>
      <w:pPr>
        <w:spacing w:line="540" w:lineRule="exact"/>
        <w:jc w:val="both"/>
        <w:rPr>
          <w:rFonts w:hint="eastAsia" w:ascii="Times New Roman" w:hAnsi="Times New Roman"/>
          <w:sz w:val="32"/>
          <w:szCs w:val="32"/>
        </w:rPr>
      </w:pPr>
      <w:r>
        <w:rPr>
          <w:rFonts w:hint="eastAsia" w:ascii="Times New Roman" w:hAnsi="Times New Roman"/>
          <w:sz w:val="32"/>
          <w:szCs w:val="32"/>
        </w:rPr>
        <w:t>四、公共服务事项</w:t>
      </w:r>
    </w:p>
    <w:p>
      <w:pPr>
        <w:spacing w:line="578" w:lineRule="exact"/>
        <w:rPr>
          <w:rFonts w:hint="default" w:ascii="Times New Roman" w:hAnsi="Times New Roman" w:cs="Times New Roman" w:eastAsiaTheme="minorEastAsia"/>
          <w:bCs/>
          <w:color w:val="000000" w:themeColor="text1"/>
          <w:sz w:val="24"/>
          <w:szCs w:val="24"/>
          <w14:textFill>
            <w14:solidFill>
              <w14:schemeClr w14:val="tx1"/>
            </w14:solidFill>
          </w14:textFill>
        </w:rPr>
      </w:pPr>
    </w:p>
    <w:p>
      <w:pPr>
        <w:spacing w:line="578" w:lineRule="exact"/>
        <w:rPr>
          <w:rFonts w:hint="default" w:ascii="Times New Roman" w:hAnsi="Times New Roman" w:eastAsia="黑体" w:cs="Times New Roman"/>
          <w:color w:val="000000"/>
          <w:szCs w:val="32"/>
        </w:rPr>
      </w:pPr>
    </w:p>
    <w:p>
      <w:pPr>
        <w:spacing w:line="578" w:lineRule="exact"/>
        <w:jc w:val="both"/>
        <w:rPr>
          <w:rFonts w:hint="eastAsia" w:eastAsia="方正小标宋简体" w:cs="Times New Roman"/>
          <w:sz w:val="44"/>
          <w:szCs w:val="44"/>
          <w:lang w:eastAsia="zh-CN"/>
        </w:rPr>
      </w:pPr>
    </w:p>
    <w:p>
      <w:pPr>
        <w:pStyle w:val="3"/>
        <w:jc w:val="center"/>
        <w:rPr>
          <w:rFonts w:hint="eastAsia" w:ascii="方正小标宋简体" w:hAnsi="方正小标宋简体" w:eastAsia="方正小标宋简体" w:cs="方正小标宋简体"/>
          <w:b w:val="0"/>
          <w:bCs/>
          <w:lang w:eastAsia="zh-CN"/>
        </w:rPr>
        <w:sectPr>
          <w:footerReference r:id="rId3" w:type="default"/>
          <w:pgSz w:w="11906" w:h="16838"/>
          <w:pgMar w:top="2098" w:right="1474" w:bottom="1984" w:left="1587" w:header="851" w:footer="992" w:gutter="0"/>
          <w:pgNumType w:fmt="decimal" w:start="1"/>
          <w:cols w:space="425" w:num="1"/>
          <w:docGrid w:type="lines" w:linePitch="312" w:charSpace="0"/>
        </w:sect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r>
        <w:rPr>
          <w:rFonts w:hint="eastAsia" w:ascii="黑体" w:hAnsi="宋体" w:eastAsia="黑体" w:cs="黑体"/>
          <w:b w:val="0"/>
          <w:i w:val="0"/>
          <w:caps w:val="0"/>
          <w:color w:val="000000"/>
          <w:spacing w:val="0"/>
          <w:kern w:val="0"/>
          <w:sz w:val="32"/>
          <w:szCs w:val="32"/>
          <w:shd w:val="clear" w:fill="FFFFFF"/>
          <w:vertAlign w:val="baseline"/>
          <w:lang w:val="en-US" w:eastAsia="zh-CN" w:bidi="ar"/>
        </w:rPr>
        <w:t>一、部门职责登记表</w:t>
      </w:r>
    </w:p>
    <w:p>
      <w:pPr>
        <w:spacing w:line="578" w:lineRule="exact"/>
        <w:jc w:val="center"/>
        <w:rPr>
          <w:rFonts w:hint="default" w:ascii="Times New Roman" w:hAnsi="Times New Roman" w:eastAsia="方正小标宋简体" w:cs="Times New Roman"/>
          <w:sz w:val="36"/>
          <w:szCs w:val="36"/>
        </w:rPr>
      </w:pPr>
    </w:p>
    <w:tbl>
      <w:tblPr>
        <w:tblStyle w:val="7"/>
        <w:tblW w:w="9185" w:type="dxa"/>
        <w:jc w:val="center"/>
        <w:tblInd w:w="-15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3228"/>
        <w:gridCol w:w="4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8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b/>
                <w:bCs/>
                <w:kern w:val="0"/>
                <w:sz w:val="28"/>
                <w:szCs w:val="28"/>
                <w:vertAlign w:val="baseline"/>
                <w:lang w:val="en-US" w:eastAsia="zh-CN" w:bidi="ar"/>
              </w:rPr>
            </w:pPr>
            <w:r>
              <w:rPr>
                <w:rFonts w:hint="default" w:ascii="仿宋_GB2312" w:hAnsi="微软雅黑" w:eastAsia="仿宋_GB2312" w:cs="仿宋_GB2312"/>
                <w:b/>
                <w:bCs/>
                <w:kern w:val="0"/>
                <w:sz w:val="28"/>
                <w:szCs w:val="28"/>
                <w:vertAlign w:val="baseline"/>
                <w:lang w:val="en-US" w:eastAsia="zh-CN" w:bidi="ar"/>
              </w:rPr>
              <w:t>序号</w:t>
            </w:r>
          </w:p>
        </w:tc>
        <w:tc>
          <w:tcPr>
            <w:tcW w:w="322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b/>
                <w:bCs/>
                <w:kern w:val="0"/>
                <w:sz w:val="28"/>
                <w:szCs w:val="28"/>
                <w:vertAlign w:val="baseline"/>
                <w:lang w:val="en-US" w:eastAsia="zh-CN" w:bidi="ar"/>
              </w:rPr>
            </w:pPr>
            <w:r>
              <w:rPr>
                <w:rFonts w:hint="default" w:ascii="仿宋_GB2312" w:hAnsi="微软雅黑" w:eastAsia="仿宋_GB2312" w:cs="仿宋_GB2312"/>
                <w:b/>
                <w:bCs/>
                <w:kern w:val="0"/>
                <w:sz w:val="28"/>
                <w:szCs w:val="28"/>
                <w:vertAlign w:val="baseline"/>
                <w:lang w:val="en-US" w:eastAsia="zh-CN" w:bidi="ar"/>
              </w:rPr>
              <w:t>主要职责</w:t>
            </w:r>
          </w:p>
        </w:tc>
        <w:tc>
          <w:tcPr>
            <w:tcW w:w="466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b/>
                <w:bCs/>
                <w:kern w:val="0"/>
                <w:sz w:val="28"/>
                <w:szCs w:val="28"/>
                <w:vertAlign w:val="baseline"/>
                <w:lang w:val="en-US" w:eastAsia="zh-CN" w:bidi="ar"/>
              </w:rPr>
            </w:pPr>
            <w:r>
              <w:rPr>
                <w:rFonts w:hint="default" w:ascii="仿宋_GB2312" w:hAnsi="微软雅黑" w:eastAsia="仿宋_GB2312" w:cs="仿宋_GB2312"/>
                <w:b/>
                <w:bCs/>
                <w:kern w:val="0"/>
                <w:sz w:val="28"/>
                <w:szCs w:val="28"/>
                <w:vertAlign w:val="baseline"/>
                <w:lang w:val="en-US" w:eastAsia="zh-CN" w:bidi="ar"/>
              </w:rPr>
              <w:t>具体工作事项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89"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1</w:t>
            </w:r>
          </w:p>
        </w:tc>
        <w:tc>
          <w:tcPr>
            <w:tcW w:w="3228" w:type="dxa"/>
            <w:vMerge w:val="restart"/>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贯彻执行中央、省、市、区有关环境卫生管理的法律法规并组织实施本区有关环境卫生管理规划及措施；组织实施本区环境卫生的检查和宣传工作；组织本区环境卫生行业有关的普查、资源调查评估、统计申报工作。</w:t>
            </w:r>
          </w:p>
        </w:tc>
        <w:tc>
          <w:tcPr>
            <w:tcW w:w="466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贯彻执行中央、省、市、区有关环境卫生管理的法律法规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128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p>
        </w:tc>
        <w:tc>
          <w:tcPr>
            <w:tcW w:w="3228" w:type="dxa"/>
            <w:vMerge w:val="continue"/>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466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组织实施本区有关环境卫生管理规划及措施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0" w:hRule="atLeast"/>
          <w:jc w:val="center"/>
        </w:trPr>
        <w:tc>
          <w:tcPr>
            <w:tcW w:w="128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p>
        </w:tc>
        <w:tc>
          <w:tcPr>
            <w:tcW w:w="3228" w:type="dxa"/>
            <w:vMerge w:val="continue"/>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466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组织实施本区环境卫生的检查和宣传工作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0" w:hRule="atLeast"/>
          <w:jc w:val="center"/>
        </w:trPr>
        <w:tc>
          <w:tcPr>
            <w:tcW w:w="128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p>
        </w:tc>
        <w:tc>
          <w:tcPr>
            <w:tcW w:w="3228" w:type="dxa"/>
            <w:vMerge w:val="continue"/>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466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组织本区环境卫生行业有关的普查、资源调查评估、统计申报工作。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289"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2</w:t>
            </w:r>
          </w:p>
        </w:tc>
        <w:tc>
          <w:tcPr>
            <w:tcW w:w="3228"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负责本区的道路清扫保洁、水域保洁、道路机械化洒水除尘降温、垃圾收集清运、建筑垃圾处理（非拆迁建筑垃圾）、垃圾广告清理、公共洗手间管理、垃圾分类收集等工作</w:t>
            </w:r>
          </w:p>
        </w:tc>
        <w:tc>
          <w:tcPr>
            <w:tcW w:w="4668" w:type="dxa"/>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对</w:t>
            </w:r>
            <w:r>
              <w:rPr>
                <w:rFonts w:hint="default" w:ascii="仿宋_GB2312" w:hAnsi="微软雅黑" w:eastAsia="仿宋_GB2312" w:cs="仿宋_GB2312"/>
                <w:kern w:val="0"/>
                <w:sz w:val="24"/>
                <w:szCs w:val="24"/>
                <w:vertAlign w:val="baseline"/>
                <w:lang w:val="en-US" w:eastAsia="zh-CN" w:bidi="ar"/>
              </w:rPr>
              <w:t>全区道路清扫，实现“一扫全保”（一次大清扫，全天候保洁）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28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p>
        </w:tc>
        <w:tc>
          <w:tcPr>
            <w:tcW w:w="3228"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466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对本区的</w:t>
            </w:r>
            <w:r>
              <w:rPr>
                <w:rFonts w:hint="default" w:ascii="仿宋_GB2312" w:hAnsi="微软雅黑" w:eastAsia="仿宋_GB2312" w:cs="仿宋_GB2312"/>
                <w:kern w:val="0"/>
                <w:sz w:val="24"/>
                <w:szCs w:val="24"/>
                <w:vertAlign w:val="baseline"/>
                <w:lang w:val="en-US" w:eastAsia="zh-CN" w:bidi="ar"/>
              </w:rPr>
              <w:t>内河（湖）水面、斜坡保洁</w:t>
            </w:r>
            <w:r>
              <w:rPr>
                <w:rFonts w:hint="eastAsia" w:ascii="仿宋_GB2312" w:hAnsi="微软雅黑" w:eastAsia="仿宋_GB2312" w:cs="仿宋_GB2312"/>
                <w:kern w:val="0"/>
                <w:sz w:val="24"/>
                <w:szCs w:val="24"/>
                <w:vertAlign w:val="baseline"/>
                <w:lang w:val="en-US" w:eastAsia="zh-CN" w:bidi="ar"/>
              </w:rPr>
              <w:t>正常保洁，</w:t>
            </w:r>
            <w:r>
              <w:rPr>
                <w:rFonts w:hint="default" w:ascii="仿宋_GB2312" w:hAnsi="微软雅黑" w:eastAsia="仿宋_GB2312" w:cs="仿宋_GB2312"/>
                <w:kern w:val="0"/>
                <w:sz w:val="24"/>
                <w:szCs w:val="24"/>
                <w:vertAlign w:val="baseline"/>
                <w:lang w:val="en-US" w:eastAsia="zh-CN" w:bidi="ar"/>
              </w:rPr>
              <w:t>实行白天巡回保洁制度，每日进行清理和打捞工作（强风暴雨天气除外）</w:t>
            </w:r>
            <w:r>
              <w:rPr>
                <w:rFonts w:hint="eastAsia" w:ascii="仿宋_GB2312" w:hAnsi="微软雅黑" w:eastAsia="仿宋_GB2312" w:cs="仿宋_GB2312"/>
                <w:kern w:val="0"/>
                <w:sz w:val="24"/>
                <w:szCs w:val="24"/>
                <w:vertAlign w:val="baseline"/>
                <w:lang w:val="en-US" w:eastAsia="zh-CN" w:bidi="ar"/>
              </w:rPr>
              <w:t>水域保洁工作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28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p>
        </w:tc>
        <w:tc>
          <w:tcPr>
            <w:tcW w:w="3228"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4668" w:type="dxa"/>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洒水降尘方面，每天固定洒水降尘三次，部分道路污渍泥土较多的，安排水车进行专项清洗。机械清扫方面，每天固定两次清扫，一次由车队集中安排清扫，主要安排在早晨的各主要道路，一次由各清扫队自行安排，主要集中在中午作业环境比较恶劣的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28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p>
        </w:tc>
        <w:tc>
          <w:tcPr>
            <w:tcW w:w="3228"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4668" w:type="dxa"/>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我所</w:t>
            </w:r>
            <w:r>
              <w:rPr>
                <w:rFonts w:hint="default" w:ascii="仿宋_GB2312" w:hAnsi="微软雅黑" w:eastAsia="仿宋_GB2312" w:cs="仿宋_GB2312"/>
                <w:kern w:val="0"/>
                <w:sz w:val="24"/>
                <w:szCs w:val="24"/>
                <w:vertAlign w:val="baseline"/>
                <w:lang w:val="en-US" w:eastAsia="zh-CN" w:bidi="ar"/>
              </w:rPr>
              <w:t>垃圾清运标准“日产日清”，主城区第一次垃圾清运要求在每天早上6:30分前完成，城郊部分在7点30分前完成。垃圾清运</w:t>
            </w:r>
            <w:r>
              <w:rPr>
                <w:rFonts w:hint="eastAsia" w:ascii="仿宋_GB2312" w:hAnsi="微软雅黑" w:eastAsia="仿宋_GB2312" w:cs="仿宋_GB2312"/>
                <w:kern w:val="0"/>
                <w:sz w:val="24"/>
                <w:szCs w:val="24"/>
                <w:vertAlign w:val="baseline"/>
                <w:lang w:val="en-US" w:eastAsia="zh-CN" w:bidi="ar"/>
              </w:rPr>
              <w:t>次数不限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28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p>
        </w:tc>
        <w:tc>
          <w:tcPr>
            <w:tcW w:w="3228" w:type="dxa"/>
            <w:vMerge w:val="continue"/>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466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负责清运农村区域零散及乱堆乱倒的建筑垃圾。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28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p>
        </w:tc>
        <w:tc>
          <w:tcPr>
            <w:tcW w:w="3228"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4668" w:type="dxa"/>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负责本区的垃圾广告清理工作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28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p>
        </w:tc>
        <w:tc>
          <w:tcPr>
            <w:tcW w:w="3228"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4668" w:type="dxa"/>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我所日常管理</w:t>
            </w:r>
            <w:r>
              <w:rPr>
                <w:rFonts w:hint="default" w:ascii="仿宋_GB2312" w:hAnsi="微软雅黑" w:eastAsia="仿宋_GB2312" w:cs="仿宋_GB2312"/>
                <w:kern w:val="0"/>
                <w:sz w:val="24"/>
                <w:szCs w:val="24"/>
                <w:vertAlign w:val="baseline"/>
                <w:lang w:val="en-US" w:eastAsia="zh-CN" w:bidi="ar"/>
              </w:rPr>
              <w:t>公共洗手间，开放时间为早上6点至晚上12点，重要区域如大东海、商品街等在旅游旺季时期公厕24小时开放。公厕污水每天清运一次，基本实现日产日清，公共洗手间管理严格按照海南省公共洗手间管理规定要求进行</w:t>
            </w:r>
            <w:r>
              <w:rPr>
                <w:rFonts w:hint="eastAsia" w:ascii="仿宋_GB2312" w:hAnsi="微软雅黑" w:eastAsia="仿宋_GB2312" w:cs="仿宋_GB2312"/>
                <w:kern w:val="0"/>
                <w:sz w:val="24"/>
                <w:szCs w:val="24"/>
                <w:vertAlign w:val="baseline"/>
                <w:lang w:val="en-US" w:eastAsia="zh-CN" w:bidi="ar"/>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28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p>
        </w:tc>
        <w:tc>
          <w:tcPr>
            <w:tcW w:w="3228"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4668" w:type="dxa"/>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负责本区的垃圾分类收集工作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2" w:hRule="atLeast"/>
          <w:jc w:val="center"/>
        </w:trPr>
        <w:tc>
          <w:tcPr>
            <w:tcW w:w="1289"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3</w:t>
            </w:r>
          </w:p>
        </w:tc>
        <w:tc>
          <w:tcPr>
            <w:tcW w:w="3228"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负责对本区各居（村）委会环卫作业指导、监督、经费拨付等工作。</w:t>
            </w:r>
          </w:p>
        </w:tc>
        <w:tc>
          <w:tcPr>
            <w:tcW w:w="466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负责对本区各居（村）委会环卫作业</w:t>
            </w:r>
            <w:r>
              <w:rPr>
                <w:rFonts w:hint="eastAsia" w:ascii="仿宋_GB2312" w:hAnsi="微软雅黑" w:eastAsia="仿宋_GB2312" w:cs="仿宋_GB2312"/>
                <w:kern w:val="0"/>
                <w:sz w:val="24"/>
                <w:szCs w:val="24"/>
                <w:vertAlign w:val="baseline"/>
                <w:lang w:val="en-US" w:eastAsia="zh-CN" w:bidi="ar"/>
              </w:rPr>
              <w:t>（道路清扫、垃圾清运、垃圾桶的配备）</w:t>
            </w:r>
            <w:r>
              <w:rPr>
                <w:rFonts w:hint="default" w:ascii="仿宋_GB2312" w:hAnsi="微软雅黑" w:eastAsia="仿宋_GB2312" w:cs="仿宋_GB2312"/>
                <w:kern w:val="0"/>
                <w:sz w:val="24"/>
                <w:szCs w:val="24"/>
                <w:vertAlign w:val="baseline"/>
                <w:lang w:val="en-US" w:eastAsia="zh-CN" w:bidi="ar"/>
              </w:rPr>
              <w:t>指导</w:t>
            </w:r>
            <w:r>
              <w:rPr>
                <w:rFonts w:hint="eastAsia" w:ascii="仿宋_GB2312" w:hAnsi="微软雅黑" w:eastAsia="仿宋_GB2312" w:cs="仿宋_GB2312"/>
                <w:kern w:val="0"/>
                <w:sz w:val="24"/>
                <w:szCs w:val="24"/>
                <w:vertAlign w:val="baseline"/>
                <w:lang w:val="en-US" w:eastAsia="zh-CN" w:bidi="ar"/>
              </w:rPr>
              <w:t>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9" w:hRule="atLeast"/>
          <w:jc w:val="center"/>
        </w:trPr>
        <w:tc>
          <w:tcPr>
            <w:tcW w:w="128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3228"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466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负责对本区各居（村）委会环卫作业</w:t>
            </w:r>
            <w:r>
              <w:rPr>
                <w:rFonts w:hint="eastAsia" w:ascii="仿宋_GB2312" w:hAnsi="微软雅黑" w:eastAsia="仿宋_GB2312" w:cs="仿宋_GB2312"/>
                <w:kern w:val="0"/>
                <w:sz w:val="24"/>
                <w:szCs w:val="24"/>
                <w:vertAlign w:val="baseline"/>
                <w:lang w:val="en-US" w:eastAsia="zh-CN" w:bidi="ar"/>
              </w:rPr>
              <w:t>（环卫外包企业作业情况、道路保洁、洒水降尘、垃圾清运情况）</w:t>
            </w:r>
            <w:r>
              <w:rPr>
                <w:rFonts w:hint="default" w:ascii="仿宋_GB2312" w:hAnsi="微软雅黑" w:eastAsia="仿宋_GB2312" w:cs="仿宋_GB2312"/>
                <w:kern w:val="0"/>
                <w:sz w:val="24"/>
                <w:szCs w:val="24"/>
                <w:vertAlign w:val="baseline"/>
                <w:lang w:val="en-US" w:eastAsia="zh-CN" w:bidi="ar"/>
              </w:rPr>
              <w:t>监督</w:t>
            </w:r>
            <w:r>
              <w:rPr>
                <w:rFonts w:hint="eastAsia" w:ascii="仿宋_GB2312" w:hAnsi="微软雅黑" w:eastAsia="仿宋_GB2312" w:cs="仿宋_GB2312"/>
                <w:kern w:val="0"/>
                <w:sz w:val="24"/>
                <w:szCs w:val="24"/>
                <w:vertAlign w:val="baseline"/>
                <w:lang w:val="en-US" w:eastAsia="zh-CN" w:bidi="ar"/>
              </w:rPr>
              <w:t>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128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3228"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466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根据</w:t>
            </w:r>
            <w:r>
              <w:rPr>
                <w:rFonts w:hint="default" w:ascii="仿宋_GB2312" w:hAnsi="微软雅黑" w:eastAsia="仿宋_GB2312" w:cs="仿宋_GB2312"/>
                <w:kern w:val="0"/>
                <w:sz w:val="24"/>
                <w:szCs w:val="24"/>
                <w:vertAlign w:val="baseline"/>
                <w:lang w:val="en-US" w:eastAsia="zh-CN" w:bidi="ar"/>
              </w:rPr>
              <w:t>本区各居（村）委会</w:t>
            </w:r>
            <w:r>
              <w:rPr>
                <w:rFonts w:hint="eastAsia" w:ascii="仿宋_GB2312" w:hAnsi="微软雅黑" w:eastAsia="仿宋_GB2312" w:cs="仿宋_GB2312"/>
                <w:kern w:val="0"/>
                <w:sz w:val="24"/>
                <w:szCs w:val="24"/>
                <w:vertAlign w:val="baseline"/>
                <w:lang w:val="en-US" w:eastAsia="zh-CN" w:bidi="ar"/>
              </w:rPr>
              <w:t>提供</w:t>
            </w:r>
            <w:r>
              <w:rPr>
                <w:rFonts w:hint="default" w:ascii="仿宋_GB2312" w:hAnsi="微软雅黑" w:eastAsia="仿宋_GB2312" w:cs="仿宋_GB2312"/>
                <w:kern w:val="0"/>
                <w:sz w:val="24"/>
                <w:szCs w:val="24"/>
                <w:vertAlign w:val="baseline"/>
                <w:lang w:val="en-US" w:eastAsia="zh-CN" w:bidi="ar"/>
              </w:rPr>
              <w:t>环卫作业经费</w:t>
            </w:r>
            <w:r>
              <w:rPr>
                <w:rFonts w:hint="eastAsia" w:ascii="仿宋_GB2312" w:hAnsi="微软雅黑" w:eastAsia="仿宋_GB2312" w:cs="仿宋_GB2312"/>
                <w:kern w:val="0"/>
                <w:sz w:val="24"/>
                <w:szCs w:val="24"/>
                <w:vertAlign w:val="baseline"/>
                <w:lang w:val="en-US" w:eastAsia="zh-CN" w:bidi="ar"/>
              </w:rPr>
              <w:t>，按期拨付。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6" w:hRule="atLeast"/>
          <w:jc w:val="center"/>
        </w:trPr>
        <w:tc>
          <w:tcPr>
            <w:tcW w:w="128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4</w:t>
            </w:r>
          </w:p>
        </w:tc>
        <w:tc>
          <w:tcPr>
            <w:tcW w:w="322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负责对本区各项重大活动、重要节日的环境卫生保障和突发应急事件环境卫生整治工作。</w:t>
            </w:r>
          </w:p>
        </w:tc>
        <w:tc>
          <w:tcPr>
            <w:tcW w:w="466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zh-TW" w:eastAsia="zh-CN" w:bidi="ar"/>
              </w:rPr>
              <w:t>组织人员做好本区博鳌论坛、春节、五一、中秋、国庆等各项重大活动、重要节日</w:t>
            </w:r>
            <w:r>
              <w:rPr>
                <w:rFonts w:hint="eastAsia" w:ascii="仿宋_GB2312" w:hAnsi="微软雅黑" w:eastAsia="仿宋_GB2312" w:cs="仿宋_GB2312"/>
                <w:kern w:val="0"/>
                <w:sz w:val="24"/>
                <w:szCs w:val="24"/>
                <w:vertAlign w:val="baseline"/>
                <w:lang w:val="zh-TW" w:eastAsia="zh-CN" w:bidi="ar"/>
              </w:rPr>
              <w:t>期间</w:t>
            </w:r>
            <w:r>
              <w:rPr>
                <w:rFonts w:hint="default" w:ascii="仿宋_GB2312" w:hAnsi="微软雅黑" w:eastAsia="仿宋_GB2312" w:cs="仿宋_GB2312"/>
                <w:kern w:val="0"/>
                <w:sz w:val="24"/>
                <w:szCs w:val="24"/>
                <w:vertAlign w:val="baseline"/>
                <w:lang w:val="zh-TW" w:eastAsia="zh-CN" w:bidi="ar"/>
              </w:rPr>
              <w:t>的环境卫生保障和突发应急事件环境卫生整治工作。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0" w:hRule="atLeast"/>
          <w:jc w:val="center"/>
        </w:trPr>
        <w:tc>
          <w:tcPr>
            <w:tcW w:w="128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5</w:t>
            </w:r>
          </w:p>
        </w:tc>
        <w:tc>
          <w:tcPr>
            <w:tcW w:w="322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负责对本区基础环卫设施的规划、建设、维护等工作。</w:t>
            </w:r>
          </w:p>
        </w:tc>
        <w:tc>
          <w:tcPr>
            <w:tcW w:w="466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zh-TW" w:eastAsia="zh-CN" w:bidi="ar"/>
              </w:rPr>
              <w:t>做好本区果皮箱、智慧垃圾屋、公厕、垃圾分类设施设备等规划、建设、维护等工作。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5" w:hRule="atLeast"/>
          <w:jc w:val="center"/>
        </w:trPr>
        <w:tc>
          <w:tcPr>
            <w:tcW w:w="128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6</w:t>
            </w:r>
          </w:p>
        </w:tc>
        <w:tc>
          <w:tcPr>
            <w:tcW w:w="322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负责本区环卫市场化业务的推广、发包、监督、考评、经费拨付等工作。</w:t>
            </w:r>
          </w:p>
        </w:tc>
        <w:tc>
          <w:tcPr>
            <w:tcW w:w="466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根据我所的</w:t>
            </w:r>
            <w:r>
              <w:rPr>
                <w:rFonts w:hint="default" w:ascii="仿宋_GB2312" w:hAnsi="微软雅黑" w:eastAsia="仿宋_GB2312" w:cs="仿宋_GB2312"/>
                <w:kern w:val="0"/>
                <w:sz w:val="24"/>
                <w:szCs w:val="24"/>
                <w:vertAlign w:val="baseline"/>
                <w:lang w:val="en-US" w:eastAsia="zh-CN" w:bidi="ar"/>
              </w:rPr>
              <w:t>《吉阳区环卫所环卫市场化监督检查办法》，</w:t>
            </w:r>
            <w:r>
              <w:rPr>
                <w:rFonts w:hint="eastAsia" w:ascii="仿宋_GB2312" w:hAnsi="微软雅黑" w:eastAsia="仿宋_GB2312" w:cs="仿宋_GB2312"/>
                <w:kern w:val="0"/>
                <w:sz w:val="24"/>
                <w:szCs w:val="24"/>
                <w:vertAlign w:val="baseline"/>
                <w:lang w:val="en-US" w:eastAsia="zh-CN" w:bidi="ar"/>
              </w:rPr>
              <w:t>实行</w:t>
            </w:r>
            <w:r>
              <w:rPr>
                <w:rFonts w:hint="default" w:ascii="仿宋_GB2312" w:hAnsi="微软雅黑" w:eastAsia="仿宋_GB2312" w:cs="仿宋_GB2312"/>
                <w:kern w:val="0"/>
                <w:sz w:val="24"/>
                <w:szCs w:val="24"/>
                <w:vertAlign w:val="baseline"/>
                <w:lang w:val="en-US" w:eastAsia="zh-CN" w:bidi="ar"/>
              </w:rPr>
              <w:t>环卫外包企业监督考核制度，每月一次明察，每周一次暗访，考核结果和外包经费挂钩，奖优罚劣。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atLeast"/>
          <w:jc w:val="center"/>
        </w:trPr>
        <w:tc>
          <w:tcPr>
            <w:tcW w:w="1289"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7</w:t>
            </w:r>
            <w:bookmarkStart w:id="0" w:name="_GoBack"/>
            <w:bookmarkEnd w:id="0"/>
          </w:p>
        </w:tc>
        <w:tc>
          <w:tcPr>
            <w:tcW w:w="3228"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统筹全区卫生整治工作，指导监督全区生活垃圾分类工作；做好生活垃圾处理费征收；做好开展公共厕所、垃圾转运站、果皮箱、环卫车辆等环卫设施设备的建设和配置工作。</w:t>
            </w:r>
          </w:p>
        </w:tc>
        <w:tc>
          <w:tcPr>
            <w:tcW w:w="4668" w:type="dxa"/>
            <w:textDirection w:val="lrTb"/>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统筹全区卫生整治工作，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atLeast"/>
          <w:jc w:val="center"/>
        </w:trPr>
        <w:tc>
          <w:tcPr>
            <w:tcW w:w="128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color w:val="FF0000"/>
                <w:kern w:val="0"/>
                <w:sz w:val="24"/>
                <w:szCs w:val="24"/>
                <w:vertAlign w:val="baseline"/>
                <w:lang w:val="en-US" w:eastAsia="zh-CN" w:bidi="ar"/>
              </w:rPr>
            </w:pPr>
          </w:p>
        </w:tc>
        <w:tc>
          <w:tcPr>
            <w:tcW w:w="3228"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color w:val="FF0000"/>
                <w:kern w:val="0"/>
                <w:sz w:val="24"/>
                <w:szCs w:val="24"/>
                <w:vertAlign w:val="baseline"/>
                <w:lang w:val="en-US" w:eastAsia="zh-CN" w:bidi="ar"/>
              </w:rPr>
            </w:pPr>
          </w:p>
        </w:tc>
        <w:tc>
          <w:tcPr>
            <w:tcW w:w="4668" w:type="dxa"/>
            <w:textDirection w:val="lrTb"/>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指导全区开展生活垃圾分类工作。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atLeast"/>
          <w:jc w:val="center"/>
        </w:trPr>
        <w:tc>
          <w:tcPr>
            <w:tcW w:w="128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color w:val="FF0000"/>
                <w:kern w:val="0"/>
                <w:sz w:val="24"/>
                <w:szCs w:val="24"/>
                <w:vertAlign w:val="baseline"/>
                <w:lang w:val="en-US" w:eastAsia="zh-CN" w:bidi="ar"/>
              </w:rPr>
            </w:pPr>
          </w:p>
        </w:tc>
        <w:tc>
          <w:tcPr>
            <w:tcW w:w="3228"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color w:val="FF0000"/>
                <w:kern w:val="0"/>
                <w:sz w:val="24"/>
                <w:szCs w:val="24"/>
                <w:vertAlign w:val="baseline"/>
                <w:lang w:val="en-US" w:eastAsia="zh-CN" w:bidi="ar"/>
              </w:rPr>
            </w:pPr>
          </w:p>
        </w:tc>
        <w:tc>
          <w:tcPr>
            <w:tcW w:w="4668" w:type="dxa"/>
            <w:textDirection w:val="lrTb"/>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做好生活垃圾处理费征收。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atLeast"/>
          <w:jc w:val="center"/>
        </w:trPr>
        <w:tc>
          <w:tcPr>
            <w:tcW w:w="128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color w:val="FF0000"/>
                <w:kern w:val="0"/>
                <w:sz w:val="24"/>
                <w:szCs w:val="24"/>
                <w:vertAlign w:val="baseline"/>
                <w:lang w:val="en-US" w:eastAsia="zh-CN" w:bidi="ar"/>
              </w:rPr>
            </w:pPr>
          </w:p>
        </w:tc>
        <w:tc>
          <w:tcPr>
            <w:tcW w:w="3228"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color w:val="FF0000"/>
                <w:kern w:val="0"/>
                <w:sz w:val="24"/>
                <w:szCs w:val="24"/>
                <w:vertAlign w:val="baseline"/>
                <w:lang w:val="en-US" w:eastAsia="zh-CN" w:bidi="ar"/>
              </w:rPr>
            </w:pPr>
          </w:p>
        </w:tc>
        <w:tc>
          <w:tcPr>
            <w:tcW w:w="4668" w:type="dxa"/>
            <w:textDirection w:val="lrTb"/>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做好全区基础环卫设施的建设和配置。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0" w:hRule="atLeast"/>
          <w:jc w:val="center"/>
        </w:trPr>
        <w:tc>
          <w:tcPr>
            <w:tcW w:w="1289" w:type="dxa"/>
            <w:textDirection w:val="lrTb"/>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cs="仿宋_GB2312"/>
                <w:kern w:val="0"/>
                <w:sz w:val="24"/>
                <w:szCs w:val="24"/>
                <w:vertAlign w:val="baseline"/>
                <w:lang w:val="en-US" w:eastAsia="zh-CN" w:bidi="ar"/>
              </w:rPr>
              <w:t>8</w:t>
            </w:r>
          </w:p>
        </w:tc>
        <w:tc>
          <w:tcPr>
            <w:tcW w:w="3228" w:type="dxa"/>
            <w:textDirection w:val="lrTb"/>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left"/>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承办区委、区政府及上级部门交办的其他工作。</w:t>
            </w:r>
          </w:p>
        </w:tc>
        <w:tc>
          <w:tcPr>
            <w:tcW w:w="4668" w:type="dxa"/>
            <w:textDirection w:val="lrTb"/>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left"/>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及时承办区委、区政府及上级部门交办的其他工作。如人大代表办理件、中央环保督察、吉阳区重点工作责任分工表。</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left"/>
        <w:textAlignment w:val="baseline"/>
        <w:rPr>
          <w:rFonts w:hint="default" w:ascii="黑体" w:hAnsi="宋体" w:eastAsia="黑体" w:cs="黑体"/>
          <w:b w:val="0"/>
          <w:i w:val="0"/>
          <w:caps w:val="0"/>
          <w:color w:val="000000"/>
          <w:spacing w:val="0"/>
          <w:kern w:val="0"/>
          <w:sz w:val="32"/>
          <w:szCs w:val="32"/>
          <w:shd w:val="clear" w:fill="FFFFFF"/>
          <w:vertAlign w:val="baseline"/>
          <w:lang w:val="en-US" w:eastAsia="zh-CN" w:bidi="ar"/>
        </w:rPr>
      </w:pPr>
      <w:r>
        <w:rPr>
          <w:rFonts w:hint="eastAsia" w:ascii="黑体" w:hAnsi="宋体" w:eastAsia="黑体" w:cs="黑体"/>
          <w:b w:val="0"/>
          <w:i w:val="0"/>
          <w:caps w:val="0"/>
          <w:color w:val="000000"/>
          <w:spacing w:val="0"/>
          <w:kern w:val="0"/>
          <w:sz w:val="32"/>
          <w:szCs w:val="32"/>
          <w:shd w:val="clear" w:fill="FFFFFF"/>
          <w:vertAlign w:val="baseline"/>
          <w:lang w:val="en-US" w:eastAsia="zh-CN" w:bidi="ar"/>
        </w:rPr>
        <w:t>二、</w:t>
      </w:r>
      <w:r>
        <w:rPr>
          <w:rFonts w:hint="default" w:ascii="黑体" w:hAnsi="宋体" w:eastAsia="黑体" w:cs="黑体"/>
          <w:b w:val="0"/>
          <w:i w:val="0"/>
          <w:caps w:val="0"/>
          <w:color w:val="000000"/>
          <w:spacing w:val="0"/>
          <w:kern w:val="0"/>
          <w:sz w:val="32"/>
          <w:szCs w:val="32"/>
          <w:shd w:val="clear" w:fill="FFFFFF"/>
          <w:vertAlign w:val="baseline"/>
          <w:lang w:val="en-US" w:eastAsia="zh-CN" w:bidi="ar"/>
        </w:rPr>
        <w:t>与相关部门的职责边界登记表</w:t>
      </w:r>
      <w:r>
        <w:rPr>
          <w:rFonts w:hint="eastAsia" w:ascii="黑体" w:hAnsi="宋体" w:eastAsia="黑体" w:cs="黑体"/>
          <w:b w:val="0"/>
          <w:i w:val="0"/>
          <w:caps w:val="0"/>
          <w:color w:val="000000"/>
          <w:spacing w:val="0"/>
          <w:kern w:val="0"/>
          <w:sz w:val="32"/>
          <w:szCs w:val="32"/>
          <w:shd w:val="clear" w:fill="FFFFFF"/>
          <w:vertAlign w:val="baseline"/>
          <w:lang w:val="en-US" w:eastAsia="zh-CN" w:bidi="ar"/>
        </w:rPr>
        <w:t>（无）</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left"/>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r>
        <w:rPr>
          <w:rFonts w:hint="eastAsia" w:ascii="黑体" w:hAnsi="宋体" w:eastAsia="黑体" w:cs="黑体"/>
          <w:b w:val="0"/>
          <w:i w:val="0"/>
          <w:caps w:val="0"/>
          <w:color w:val="000000"/>
          <w:spacing w:val="0"/>
          <w:kern w:val="0"/>
          <w:sz w:val="32"/>
          <w:szCs w:val="32"/>
          <w:shd w:val="clear" w:fill="FFFFFF"/>
          <w:vertAlign w:val="baseline"/>
          <w:lang w:val="en-US" w:eastAsia="zh-CN" w:bidi="ar"/>
        </w:rPr>
        <w:t>三、</w:t>
      </w:r>
      <w:r>
        <w:rPr>
          <w:rFonts w:hint="default" w:ascii="黑体" w:hAnsi="宋体" w:eastAsia="黑体" w:cs="黑体"/>
          <w:b w:val="0"/>
          <w:i w:val="0"/>
          <w:caps w:val="0"/>
          <w:color w:val="000000"/>
          <w:spacing w:val="0"/>
          <w:kern w:val="0"/>
          <w:sz w:val="32"/>
          <w:szCs w:val="32"/>
          <w:shd w:val="clear" w:fill="FFFFFF"/>
          <w:vertAlign w:val="baseline"/>
          <w:lang w:val="en-US" w:eastAsia="zh-CN" w:bidi="ar"/>
        </w:rPr>
        <w:t>事中事后监管制度</w:t>
      </w:r>
      <w:r>
        <w:rPr>
          <w:rFonts w:hint="eastAsia" w:ascii="黑体" w:hAnsi="宋体" w:eastAsia="黑体" w:cs="黑体"/>
          <w:b w:val="0"/>
          <w:i w:val="0"/>
          <w:caps w:val="0"/>
          <w:color w:val="000000"/>
          <w:spacing w:val="0"/>
          <w:kern w:val="0"/>
          <w:sz w:val="32"/>
          <w:szCs w:val="32"/>
          <w:shd w:val="clear" w:fill="FFFFFF"/>
          <w:vertAlign w:val="baseline"/>
          <w:lang w:val="en-US" w:eastAsia="zh-CN" w:bidi="ar"/>
        </w:rPr>
        <w:t>（无）</w:t>
      </w:r>
    </w:p>
    <w:p>
      <w:pPr>
        <w:keepNext w:val="0"/>
        <w:keepLines w:val="0"/>
        <w:pageBreakBefore w:val="0"/>
        <w:widowControl w:val="0"/>
        <w:kinsoku/>
        <w:wordWrap/>
        <w:overflowPunct/>
        <w:topLinePunct w:val="0"/>
        <w:autoSpaceDE/>
        <w:autoSpaceDN/>
        <w:bidi w:val="0"/>
        <w:adjustRightInd/>
        <w:snapToGrid/>
        <w:spacing w:line="554" w:lineRule="exact"/>
        <w:ind w:right="0" w:rightChars="0"/>
        <w:textAlignment w:val="auto"/>
        <w:rPr>
          <w:rFonts w:hint="default" w:ascii="Times New Roman" w:hAnsi="Times New Roman" w:eastAsia="宋体" w:cs="Times New Roman"/>
          <w:sz w:val="21"/>
          <w:szCs w:val="24"/>
        </w:rPr>
      </w:pPr>
    </w:p>
    <w:p>
      <w:pPr>
        <w:spacing w:line="578" w:lineRule="exact"/>
        <w:jc w:val="center"/>
        <w:rPr>
          <w:rFonts w:hint="eastAsia" w:ascii="Times New Roman" w:hAnsi="Times New Roman" w:eastAsia="方正小标宋简体" w:cs="Times New Roman"/>
          <w:sz w:val="44"/>
          <w:szCs w:val="44"/>
          <w:lang w:eastAsia="zh-CN"/>
        </w:rPr>
      </w:pPr>
    </w:p>
    <w:p>
      <w:pPr>
        <w:spacing w:line="578" w:lineRule="exact"/>
        <w:jc w:val="center"/>
        <w:rPr>
          <w:rFonts w:hint="eastAsia" w:ascii="Times New Roman" w:hAnsi="Times New Roman" w:eastAsia="方正小标宋简体" w:cs="Times New Roman"/>
          <w:sz w:val="44"/>
          <w:szCs w:val="44"/>
          <w:lang w:eastAsia="zh-CN"/>
        </w:rPr>
      </w:pPr>
    </w:p>
    <w:p>
      <w:pPr>
        <w:spacing w:line="578" w:lineRule="exact"/>
        <w:jc w:val="both"/>
        <w:rPr>
          <w:rFonts w:hint="eastAsia" w:ascii="Times New Roman" w:hAnsi="Times New Roman" w:eastAsia="方正小标宋简体" w:cs="Times New Roman"/>
          <w:sz w:val="44"/>
          <w:szCs w:val="44"/>
          <w:lang w:eastAsia="zh-CN"/>
        </w:rPr>
      </w:pPr>
    </w:p>
    <w:p>
      <w:pPr>
        <w:spacing w:line="578" w:lineRule="exact"/>
        <w:jc w:val="center"/>
        <w:rPr>
          <w:rFonts w:hint="eastAsia" w:ascii="Times New Roman" w:hAnsi="Times New Roman" w:eastAsia="方正小标宋简体" w:cs="Times New Roman"/>
          <w:sz w:val="44"/>
          <w:szCs w:val="44"/>
          <w:lang w:eastAsia="zh-CN"/>
        </w:rPr>
      </w:pPr>
    </w:p>
    <w:p>
      <w:pPr>
        <w:spacing w:line="578" w:lineRule="exact"/>
        <w:jc w:val="center"/>
        <w:rPr>
          <w:rFonts w:hint="eastAsia" w:ascii="Times New Roman" w:hAnsi="Times New Roman" w:eastAsia="方正小标宋简体" w:cs="Times New Roman"/>
          <w:sz w:val="44"/>
          <w:szCs w:val="44"/>
          <w:lang w:eastAsia="zh-CN"/>
        </w:rPr>
      </w:pPr>
    </w:p>
    <w:p>
      <w:pPr>
        <w:spacing w:line="578" w:lineRule="exact"/>
        <w:jc w:val="center"/>
        <w:rPr>
          <w:rFonts w:hint="eastAsia" w:ascii="Times New Roman" w:hAnsi="Times New Roman" w:eastAsia="方正小标宋简体" w:cs="Times New Roman"/>
          <w:sz w:val="44"/>
          <w:szCs w:val="44"/>
          <w:lang w:eastAsia="zh-CN"/>
        </w:rPr>
      </w:pPr>
    </w:p>
    <w:p>
      <w:pPr>
        <w:spacing w:line="578" w:lineRule="exact"/>
        <w:jc w:val="center"/>
        <w:rPr>
          <w:rFonts w:hint="eastAsia" w:ascii="Times New Roman" w:hAnsi="Times New Roman" w:eastAsia="方正小标宋简体" w:cs="Times New Roman"/>
          <w:sz w:val="44"/>
          <w:szCs w:val="44"/>
          <w:lang w:eastAsia="zh-CN"/>
        </w:rPr>
      </w:pPr>
    </w:p>
    <w:p>
      <w:pPr>
        <w:spacing w:line="578" w:lineRule="exact"/>
        <w:jc w:val="center"/>
        <w:rPr>
          <w:rFonts w:hint="eastAsia" w:ascii="Times New Roman" w:hAnsi="Times New Roman" w:eastAsia="方正小标宋简体" w:cs="Times New Roman"/>
          <w:sz w:val="44"/>
          <w:szCs w:val="44"/>
          <w:lang w:eastAsia="zh-CN"/>
        </w:rPr>
      </w:pPr>
    </w:p>
    <w:p>
      <w:pPr>
        <w:spacing w:line="578" w:lineRule="exact"/>
        <w:jc w:val="center"/>
        <w:rPr>
          <w:rFonts w:hint="eastAsia" w:ascii="Times New Roman" w:hAnsi="Times New Roman" w:eastAsia="方正小标宋简体" w:cs="Times New Roman"/>
          <w:sz w:val="44"/>
          <w:szCs w:val="44"/>
          <w:lang w:eastAsia="zh-CN"/>
        </w:rPr>
      </w:pPr>
    </w:p>
    <w:p>
      <w:pPr>
        <w:spacing w:line="578" w:lineRule="exact"/>
        <w:jc w:val="center"/>
        <w:rPr>
          <w:rFonts w:hint="eastAsia" w:ascii="Times New Roman" w:hAnsi="Times New Roman" w:eastAsia="方正小标宋简体" w:cs="Times New Roman"/>
          <w:sz w:val="44"/>
          <w:szCs w:val="44"/>
          <w:lang w:eastAsia="zh-CN"/>
        </w:rPr>
      </w:pPr>
    </w:p>
    <w:p>
      <w:pPr>
        <w:spacing w:line="578" w:lineRule="exact"/>
        <w:jc w:val="center"/>
        <w:rPr>
          <w:rFonts w:hint="eastAsia" w:ascii="Times New Roman" w:hAnsi="Times New Roman" w:eastAsia="方正小标宋简体" w:cs="Times New Roman"/>
          <w:sz w:val="44"/>
          <w:szCs w:val="44"/>
          <w:lang w:eastAsia="zh-CN"/>
        </w:rPr>
      </w:pPr>
    </w:p>
    <w:p>
      <w:pPr>
        <w:spacing w:line="578" w:lineRule="exact"/>
        <w:jc w:val="center"/>
        <w:rPr>
          <w:rFonts w:hint="eastAsia" w:ascii="Times New Roman" w:hAnsi="Times New Roman" w:eastAsia="方正小标宋简体" w:cs="Times New Roman"/>
          <w:sz w:val="44"/>
          <w:szCs w:val="44"/>
          <w:lang w:eastAsia="zh-CN"/>
        </w:rPr>
      </w:pPr>
    </w:p>
    <w:p>
      <w:pPr>
        <w:spacing w:line="578" w:lineRule="exact"/>
        <w:jc w:val="center"/>
        <w:rPr>
          <w:rFonts w:hint="eastAsia" w:ascii="Times New Roman" w:hAnsi="Times New Roman" w:eastAsia="方正小标宋简体" w:cs="Times New Roman"/>
          <w:sz w:val="44"/>
          <w:szCs w:val="44"/>
          <w:lang w:eastAsia="zh-CN"/>
        </w:rPr>
      </w:pPr>
    </w:p>
    <w:p>
      <w:pPr>
        <w:spacing w:line="578" w:lineRule="exact"/>
        <w:jc w:val="center"/>
        <w:rPr>
          <w:rFonts w:hint="eastAsia" w:ascii="Times New Roman" w:hAnsi="Times New Roman" w:eastAsia="方正小标宋简体" w:cs="Times New Roman"/>
          <w:sz w:val="44"/>
          <w:szCs w:val="44"/>
          <w:lang w:eastAsia="zh-CN"/>
        </w:rPr>
      </w:pPr>
    </w:p>
    <w:p>
      <w:pPr>
        <w:spacing w:line="578" w:lineRule="exact"/>
        <w:jc w:val="center"/>
        <w:rPr>
          <w:rFonts w:hint="eastAsia" w:ascii="Times New Roman" w:hAnsi="Times New Roman" w:eastAsia="方正小标宋简体" w:cs="Times New Roman"/>
          <w:sz w:val="44"/>
          <w:szCs w:val="44"/>
          <w:lang w:eastAsia="zh-CN"/>
        </w:rPr>
      </w:pPr>
    </w:p>
    <w:p>
      <w:pPr>
        <w:spacing w:line="578" w:lineRule="exact"/>
        <w:jc w:val="center"/>
        <w:rPr>
          <w:rFonts w:hint="eastAsia" w:ascii="Times New Roman" w:hAnsi="Times New Roman" w:eastAsia="方正小标宋简体" w:cs="Times New Roman"/>
          <w:sz w:val="44"/>
          <w:szCs w:val="44"/>
          <w:lang w:eastAsia="zh-CN"/>
        </w:rPr>
      </w:pPr>
    </w:p>
    <w:p>
      <w:pPr>
        <w:spacing w:line="578" w:lineRule="exact"/>
        <w:jc w:val="center"/>
        <w:rPr>
          <w:rFonts w:hint="eastAsia" w:ascii="Times New Roman" w:hAnsi="Times New Roman" w:eastAsia="方正小标宋简体" w:cs="Times New Roman"/>
          <w:sz w:val="44"/>
          <w:szCs w:val="44"/>
          <w:lang w:eastAsia="zh-CN"/>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both"/>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both"/>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both"/>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both"/>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center"/>
        <w:textAlignment w:val="baseline"/>
        <w:rPr>
          <w:rFonts w:hint="default" w:ascii="黑体" w:hAnsi="宋体" w:eastAsia="黑体" w:cs="黑体"/>
          <w:b w:val="0"/>
          <w:i w:val="0"/>
          <w:caps w:val="0"/>
          <w:color w:val="000000"/>
          <w:spacing w:val="0"/>
          <w:kern w:val="0"/>
          <w:sz w:val="32"/>
          <w:szCs w:val="32"/>
          <w:shd w:val="clear" w:fill="FFFFFF"/>
          <w:vertAlign w:val="baseline"/>
          <w:lang w:val="en-US" w:eastAsia="zh-CN" w:bidi="ar"/>
        </w:rPr>
      </w:pPr>
      <w:r>
        <w:rPr>
          <w:rFonts w:hint="eastAsia" w:ascii="黑体" w:hAnsi="宋体" w:eastAsia="黑体" w:cs="黑体"/>
          <w:b w:val="0"/>
          <w:i w:val="0"/>
          <w:caps w:val="0"/>
          <w:color w:val="000000"/>
          <w:spacing w:val="0"/>
          <w:kern w:val="0"/>
          <w:sz w:val="32"/>
          <w:szCs w:val="32"/>
          <w:shd w:val="clear" w:fill="FFFFFF"/>
          <w:vertAlign w:val="baseline"/>
          <w:lang w:val="en-US" w:eastAsia="zh-CN" w:bidi="ar"/>
        </w:rPr>
        <w:t>四、</w:t>
      </w:r>
      <w:r>
        <w:rPr>
          <w:rFonts w:hint="default" w:ascii="黑体" w:hAnsi="宋体" w:eastAsia="黑体" w:cs="黑体"/>
          <w:b w:val="0"/>
          <w:i w:val="0"/>
          <w:caps w:val="0"/>
          <w:color w:val="000000"/>
          <w:spacing w:val="0"/>
          <w:kern w:val="0"/>
          <w:sz w:val="32"/>
          <w:szCs w:val="32"/>
          <w:shd w:val="clear" w:fill="FFFFFF"/>
          <w:vertAlign w:val="baseline"/>
          <w:lang w:val="en-US" w:eastAsia="zh-CN" w:bidi="ar"/>
        </w:rPr>
        <w:t>公共服务事项</w:t>
      </w:r>
    </w:p>
    <w:p>
      <w:pPr>
        <w:spacing w:line="578" w:lineRule="exact"/>
        <w:jc w:val="center"/>
        <w:rPr>
          <w:rFonts w:hint="default" w:ascii="Times New Roman" w:hAnsi="Times New Roman" w:eastAsia="方正小标宋简体" w:cs="Times New Roman"/>
          <w:sz w:val="36"/>
          <w:szCs w:val="36"/>
        </w:rPr>
      </w:pPr>
    </w:p>
    <w:tbl>
      <w:tblPr>
        <w:tblStyle w:val="7"/>
        <w:tblW w:w="87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521"/>
        <w:gridCol w:w="2042"/>
        <w:gridCol w:w="2010"/>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113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b/>
                <w:bCs/>
                <w:kern w:val="0"/>
                <w:sz w:val="28"/>
                <w:szCs w:val="28"/>
                <w:vertAlign w:val="baseline"/>
                <w:lang w:val="en-US" w:eastAsia="zh-CN" w:bidi="ar"/>
              </w:rPr>
            </w:pPr>
            <w:r>
              <w:rPr>
                <w:rFonts w:hint="default" w:ascii="仿宋_GB2312" w:hAnsi="微软雅黑" w:eastAsia="仿宋_GB2312" w:cs="仿宋_GB2312"/>
                <w:b/>
                <w:bCs/>
                <w:kern w:val="0"/>
                <w:sz w:val="28"/>
                <w:szCs w:val="28"/>
                <w:vertAlign w:val="baseline"/>
                <w:lang w:val="en-US" w:eastAsia="zh-CN" w:bidi="ar"/>
              </w:rPr>
              <w:t>序号</w:t>
            </w:r>
          </w:p>
        </w:tc>
        <w:tc>
          <w:tcPr>
            <w:tcW w:w="1521"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b/>
                <w:bCs/>
                <w:kern w:val="0"/>
                <w:sz w:val="28"/>
                <w:szCs w:val="28"/>
                <w:vertAlign w:val="baseline"/>
                <w:lang w:val="en-US" w:eastAsia="zh-CN" w:bidi="ar"/>
              </w:rPr>
            </w:pPr>
            <w:r>
              <w:rPr>
                <w:rFonts w:hint="default" w:ascii="仿宋_GB2312" w:hAnsi="微软雅黑" w:eastAsia="仿宋_GB2312" w:cs="仿宋_GB2312"/>
                <w:b/>
                <w:bCs/>
                <w:kern w:val="0"/>
                <w:sz w:val="28"/>
                <w:szCs w:val="28"/>
                <w:vertAlign w:val="baseline"/>
                <w:lang w:val="en-US" w:eastAsia="zh-CN" w:bidi="ar"/>
              </w:rPr>
              <w:t>服务事项</w:t>
            </w:r>
          </w:p>
        </w:tc>
        <w:tc>
          <w:tcPr>
            <w:tcW w:w="20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b/>
                <w:bCs/>
                <w:kern w:val="0"/>
                <w:sz w:val="28"/>
                <w:szCs w:val="28"/>
                <w:vertAlign w:val="baseline"/>
                <w:lang w:val="en-US" w:eastAsia="zh-CN" w:bidi="ar"/>
              </w:rPr>
            </w:pPr>
            <w:r>
              <w:rPr>
                <w:rFonts w:hint="default" w:ascii="仿宋_GB2312" w:hAnsi="微软雅黑" w:eastAsia="仿宋_GB2312" w:cs="仿宋_GB2312"/>
                <w:b/>
                <w:bCs/>
                <w:kern w:val="0"/>
                <w:sz w:val="28"/>
                <w:szCs w:val="28"/>
                <w:vertAlign w:val="baseline"/>
                <w:lang w:val="en-US" w:eastAsia="zh-CN" w:bidi="ar"/>
              </w:rPr>
              <w:t>主要内容</w:t>
            </w:r>
          </w:p>
        </w:tc>
        <w:tc>
          <w:tcPr>
            <w:tcW w:w="201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b/>
                <w:bCs/>
                <w:kern w:val="0"/>
                <w:sz w:val="28"/>
                <w:szCs w:val="28"/>
                <w:vertAlign w:val="baseline"/>
                <w:lang w:val="en-US" w:eastAsia="zh-CN" w:bidi="ar"/>
              </w:rPr>
            </w:pPr>
            <w:r>
              <w:rPr>
                <w:rFonts w:hint="default" w:ascii="仿宋_GB2312" w:hAnsi="微软雅黑" w:eastAsia="仿宋_GB2312" w:cs="仿宋_GB2312"/>
                <w:b/>
                <w:bCs/>
                <w:kern w:val="0"/>
                <w:sz w:val="28"/>
                <w:szCs w:val="28"/>
                <w:vertAlign w:val="baseline"/>
                <w:lang w:val="en-US" w:eastAsia="zh-CN" w:bidi="ar"/>
              </w:rPr>
              <w:t>承办机构</w:t>
            </w:r>
          </w:p>
        </w:tc>
        <w:tc>
          <w:tcPr>
            <w:tcW w:w="206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b/>
                <w:bCs/>
                <w:kern w:val="0"/>
                <w:sz w:val="28"/>
                <w:szCs w:val="28"/>
                <w:vertAlign w:val="baseline"/>
                <w:lang w:val="en-US" w:eastAsia="zh-CN" w:bidi="ar"/>
              </w:rPr>
            </w:pPr>
            <w:r>
              <w:rPr>
                <w:rFonts w:hint="default" w:ascii="仿宋_GB2312" w:hAnsi="微软雅黑" w:eastAsia="仿宋_GB2312" w:cs="仿宋_GB2312"/>
                <w:b/>
                <w:bCs/>
                <w:kern w:val="0"/>
                <w:sz w:val="28"/>
                <w:szCs w:val="28"/>
                <w:vertAlign w:val="baseline"/>
                <w:lang w:val="en-US" w:eastAsia="zh-CN"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0" w:type="dxa"/>
            <w:vAlign w:val="center"/>
          </w:tcPr>
          <w:p>
            <w:pPr>
              <w:spacing w:line="578" w:lineRule="exact"/>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rPr>
              <w:t>1</w:t>
            </w:r>
          </w:p>
        </w:tc>
        <w:tc>
          <w:tcPr>
            <w:tcW w:w="1521"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垃圾清运</w:t>
            </w:r>
          </w:p>
        </w:tc>
        <w:tc>
          <w:tcPr>
            <w:tcW w:w="20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接收本区各企业、单位的垃圾清运申请，并安排专人进行垃圾清运。</w:t>
            </w:r>
          </w:p>
        </w:tc>
        <w:tc>
          <w:tcPr>
            <w:tcW w:w="201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三亚市吉阳区环卫所</w:t>
            </w:r>
          </w:p>
        </w:tc>
        <w:tc>
          <w:tcPr>
            <w:tcW w:w="206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88265006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0" w:type="dxa"/>
            <w:vAlign w:val="center"/>
          </w:tcPr>
          <w:p>
            <w:pPr>
              <w:spacing w:line="578" w:lineRule="exact"/>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rPr>
              <w:t>2</w:t>
            </w:r>
          </w:p>
        </w:tc>
        <w:tc>
          <w:tcPr>
            <w:tcW w:w="1521"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组织全区环境卫生的宣传工作</w:t>
            </w:r>
          </w:p>
        </w:tc>
        <w:tc>
          <w:tcPr>
            <w:tcW w:w="20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在本区组织开展环境卫生相关的法律法规的宣传工作，提高市民环保意识。</w:t>
            </w:r>
          </w:p>
        </w:tc>
        <w:tc>
          <w:tcPr>
            <w:tcW w:w="201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三亚市吉阳区环卫所</w:t>
            </w:r>
          </w:p>
        </w:tc>
        <w:tc>
          <w:tcPr>
            <w:tcW w:w="206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88265006</w:t>
            </w:r>
          </w:p>
        </w:tc>
      </w:tr>
    </w:tbl>
    <w:p>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EFF" w:usb1="C0007843"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EFF" w:usb1="C0007843"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仿宋_GB2312">
    <w:panose1 w:val="02010609030101010101"/>
    <w:charset w:val="86"/>
    <w:family w:val="roma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C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楷体_GB2312">
    <w:panose1 w:val="02010609030101010101"/>
    <w:charset w:val="86"/>
    <w:family w:val="roma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504020202030204"/>
    <w:charset w:val="00"/>
    <w:family w:val="swiss"/>
    <w:pitch w:val="default"/>
    <w:sig w:usb0="00000000" w:usb1="00000000" w:usb2="00000000" w:usb3="00000000" w:csb0="00000093"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Helvetica">
    <w:altName w:val="Arial"/>
    <w:panose1 w:val="020B0504020202030204"/>
    <w:charset w:val="00"/>
    <w:family w:val="decorative"/>
    <w:pitch w:val="default"/>
    <w:sig w:usb0="00000000" w:usb1="00000000" w:usb2="00000000" w:usb3="00000000" w:csb0="00000093" w:csb1="00000000"/>
  </w:font>
  <w:font w:name="楷体_GB2312">
    <w:panose1 w:val="02010609030101010101"/>
    <w:charset w:val="86"/>
    <w:family w:val="swiss"/>
    <w:pitch w:val="default"/>
    <w:sig w:usb0="00000001" w:usb1="080E0000" w:usb2="00000000" w:usb3="00000000" w:csb0="00040000" w:csb1="00000000"/>
  </w:font>
  <w:font w:name="Helvetica">
    <w:altName w:val="Arial"/>
    <w:panose1 w:val="020B0504020202030204"/>
    <w:charset w:val="00"/>
    <w:family w:val="roman"/>
    <w:pitch w:val="default"/>
    <w:sig w:usb0="00000000" w:usb1="00000000" w:usb2="00000000" w:usb3="00000000" w:csb0="00000093" w:csb1="00000000"/>
  </w:font>
  <w:font w:name="楷体_GB2312">
    <w:panose1 w:val="02010609030101010101"/>
    <w:charset w:val="86"/>
    <w:family w:val="decorative"/>
    <w:pitch w:val="default"/>
    <w:sig w:usb0="00000001" w:usb1="080E0000" w:usb2="00000000" w:usb3="00000000" w:csb0="00040000" w:csb1="00000000"/>
  </w:font>
  <w:font w:name="Helvetica">
    <w:altName w:val="Arial"/>
    <w:panose1 w:val="020B0504020202030204"/>
    <w:charset w:val="00"/>
    <w:family w:val="modern"/>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25475301">
    <w:nsid w:val="60E2C8E5"/>
    <w:multiLevelType w:val="singleLevel"/>
    <w:tmpl w:val="60E2C8E5"/>
    <w:lvl w:ilvl="0" w:tentative="1">
      <w:start w:val="1"/>
      <w:numFmt w:val="chineseCounting"/>
      <w:suff w:val="nothing"/>
      <w:lvlText w:val="%1、"/>
      <w:lvlJc w:val="left"/>
    </w:lvl>
  </w:abstractNum>
  <w:num w:numId="1">
    <w:abstractNumId w:val="162547530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C87731"/>
    <w:rsid w:val="18C87731"/>
    <w:rsid w:val="2999031F"/>
    <w:rsid w:val="37611734"/>
    <w:rsid w:val="455F35A8"/>
    <w:rsid w:val="4C1F4550"/>
    <w:rsid w:val="70916740"/>
    <w:rsid w:val="7AAE3AE6"/>
    <w:rsid w:val="7FCB599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32"/>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Salutation"/>
    <w:basedOn w:val="1"/>
    <w:next w:val="1"/>
    <w:qFormat/>
    <w:uiPriority w:val="0"/>
  </w:style>
  <w:style w:type="paragraph" w:styleId="4">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吉阳区</Company>
  <Pages>1</Pages>
  <Words>0</Words>
  <Characters>0</Characters>
  <Lines>0</Lines>
  <Paragraphs>0</Paragraphs>
  <ScaleCrop>false</ScaleCrop>
  <LinksUpToDate>false</LinksUpToDate>
  <CharactersWithSpaces>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2021-08-04T03:23:00Z</dcterms:created>
  <dc:creator>Spror</dc:creator>
  <cp:lastModifiedBy>Administrator</cp:lastModifiedBy>
  <dcterms:modified xsi:type="dcterms:W3CDTF">2021-09-06T01:16:23Z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