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r>
        <w:rPr>
          <w:rFonts w:hint="eastAsia" w:eastAsia="方正小标宋简体" w:cs="Times New Roman"/>
          <w:bCs/>
          <w:color w:val="000000" w:themeColor="text1"/>
          <w:kern w:val="0"/>
          <w:sz w:val="44"/>
          <w:szCs w:val="44"/>
          <w:lang w:val="en-US" w:eastAsia="zh-CN"/>
          <w14:textFill>
            <w14:solidFill>
              <w14:schemeClr w14:val="tx1"/>
            </w14:solidFill>
          </w14:textFill>
        </w:rPr>
        <w:t>三亚市吉阳区信息化服务中心</w:t>
      </w: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责任清单</w:t>
      </w:r>
    </w:p>
    <w:p>
      <w:pPr>
        <w:spacing w:line="578" w:lineRule="exact"/>
        <w:jc w:val="center"/>
        <w:rPr>
          <w:rFonts w:hint="default" w:ascii="Times New Roman" w:hAnsi="Times New Roman" w:cs="Times New Roman"/>
          <w:b/>
          <w:color w:val="000000" w:themeColor="text1"/>
          <w:kern w:val="0"/>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pacing w:val="-2"/>
          <w:sz w:val="30"/>
          <w:szCs w:val="30"/>
        </w:rPr>
      </w:pPr>
      <w:r>
        <w:rPr>
          <w:rFonts w:hint="eastAsia" w:ascii="黑体" w:hAnsi="黑体" w:eastAsia="黑体" w:cs="黑体"/>
          <w:spacing w:val="-2"/>
          <w:sz w:val="30"/>
          <w:szCs w:val="30"/>
        </w:rPr>
        <w:t>目  录</w:t>
      </w:r>
    </w:p>
    <w:p>
      <w:pPr>
        <w:spacing w:line="578" w:lineRule="exact"/>
        <w:rPr>
          <w:rFonts w:hint="default" w:ascii="Times New Roman" w:hAnsi="Times New Roman" w:cs="Times New Roman"/>
          <w:bCs/>
          <w:color w:val="000000" w:themeColor="text1"/>
          <w:kern w:val="0"/>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left"/>
        <w:textAlignment w:val="auto"/>
        <w:outlineLvl w:val="9"/>
        <w:rPr>
          <w:rFonts w:hint="eastAsia" w:ascii="仿宋_GB2312" w:hAnsi="仿宋_GB2312" w:eastAsia="仿宋_GB2312" w:cs="仿宋_GB2312"/>
          <w:bCs/>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0"/>
          <w:szCs w:val="30"/>
          <w14:textFill>
            <w14:solidFill>
              <w14:schemeClr w14:val="tx1"/>
            </w14:solidFill>
          </w14:textFill>
        </w:rPr>
        <w:t>一、部门职责登记表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left"/>
        <w:textAlignment w:val="auto"/>
        <w:outlineLvl w:val="9"/>
        <w:rPr>
          <w:rFonts w:hint="eastAsia" w:ascii="仿宋_GB2312" w:hAnsi="仿宋_GB2312" w:eastAsia="仿宋_GB2312" w:cs="仿宋_GB2312"/>
          <w:bCs/>
          <w:color w:val="000000" w:themeColor="text1"/>
          <w:kern w:val="0"/>
          <w:sz w:val="30"/>
          <w:szCs w:val="30"/>
          <w:lang w:eastAsia="zh-CN"/>
          <w14:textFill>
            <w14:solidFill>
              <w14:schemeClr w14:val="tx1"/>
            </w14:solidFill>
          </w14:textFill>
        </w:rPr>
      </w:pPr>
      <w:r>
        <w:rPr>
          <w:rFonts w:hint="eastAsia" w:ascii="仿宋_GB2312" w:hAnsi="仿宋_GB2312" w:eastAsia="仿宋_GB2312" w:cs="仿宋_GB2312"/>
          <w:bCs/>
          <w:color w:val="000000" w:themeColor="text1"/>
          <w:kern w:val="0"/>
          <w:sz w:val="30"/>
          <w:szCs w:val="30"/>
          <w14:textFill>
            <w14:solidFill>
              <w14:schemeClr w14:val="tx1"/>
            </w14:solidFill>
          </w14:textFill>
        </w:rPr>
        <w:t>二、与相关部门的职责边界</w:t>
      </w:r>
      <w:r>
        <w:rPr>
          <w:rFonts w:hint="eastAsia" w:ascii="仿宋_GB2312" w:hAnsi="仿宋_GB2312" w:cs="仿宋_GB2312"/>
          <w:bCs/>
          <w:color w:val="000000" w:themeColor="text1"/>
          <w:kern w:val="0"/>
          <w:sz w:val="30"/>
          <w:szCs w:val="30"/>
          <w:lang w:val="en-US" w:eastAsia="zh-CN"/>
          <w14:textFill>
            <w14:solidFill>
              <w14:schemeClr w14:val="tx1"/>
            </w14:solidFill>
          </w14:textFill>
        </w:rPr>
        <w:t>登记</w:t>
      </w:r>
      <w:r>
        <w:rPr>
          <w:rFonts w:hint="eastAsia" w:ascii="仿宋_GB2312" w:hAnsi="仿宋_GB2312" w:eastAsia="仿宋_GB2312" w:cs="仿宋_GB2312"/>
          <w:bCs/>
          <w:color w:val="000000" w:themeColor="text1"/>
          <w:kern w:val="0"/>
          <w:sz w:val="30"/>
          <w:szCs w:val="30"/>
          <w14:textFill>
            <w14:solidFill>
              <w14:schemeClr w14:val="tx1"/>
            </w14:solidFill>
          </w14:textFill>
        </w:rPr>
        <w:t>表</w:t>
      </w:r>
      <w:r>
        <w:rPr>
          <w:rFonts w:hint="eastAsia" w:ascii="仿宋_GB2312" w:hAnsi="仿宋_GB2312" w:eastAsia="仿宋_GB2312" w:cs="仿宋_GB2312"/>
          <w:bCs/>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bCs/>
          <w:color w:val="000000" w:themeColor="text1"/>
          <w:kern w:val="0"/>
          <w:sz w:val="30"/>
          <w:szCs w:val="30"/>
          <w:lang w:val="en-US" w:eastAsia="zh-CN"/>
          <w14:textFill>
            <w14:solidFill>
              <w14:schemeClr w14:val="tx1"/>
            </w14:solidFill>
          </w14:textFill>
        </w:rPr>
        <w:t>无</w:t>
      </w:r>
      <w:r>
        <w:rPr>
          <w:rFonts w:hint="eastAsia" w:ascii="仿宋_GB2312" w:hAnsi="仿宋_GB2312" w:eastAsia="仿宋_GB2312" w:cs="仿宋_GB2312"/>
          <w:bCs/>
          <w:color w:val="000000" w:themeColor="text1"/>
          <w:kern w:val="0"/>
          <w:sz w:val="30"/>
          <w:szCs w:val="3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left"/>
        <w:textAlignment w:val="auto"/>
        <w:outlineLvl w:val="9"/>
        <w:rPr>
          <w:rFonts w:hint="eastAsia" w:ascii="仿宋_GB2312" w:hAnsi="仿宋_GB2312" w:eastAsia="仿宋_GB2312" w:cs="仿宋_GB2312"/>
          <w:bCs/>
          <w:color w:val="000000" w:themeColor="text1"/>
          <w:kern w:val="0"/>
          <w:sz w:val="30"/>
          <w:szCs w:val="30"/>
          <w:lang w:eastAsia="zh-CN"/>
          <w14:textFill>
            <w14:solidFill>
              <w14:schemeClr w14:val="tx1"/>
            </w14:solidFill>
          </w14:textFill>
        </w:rPr>
      </w:pPr>
      <w:r>
        <w:rPr>
          <w:rFonts w:hint="eastAsia" w:ascii="仿宋_GB2312" w:hAnsi="仿宋_GB2312" w:eastAsia="仿宋_GB2312" w:cs="仿宋_GB2312"/>
          <w:bCs/>
          <w:color w:val="000000" w:themeColor="text1"/>
          <w:kern w:val="0"/>
          <w:sz w:val="30"/>
          <w:szCs w:val="30"/>
          <w14:textFill>
            <w14:solidFill>
              <w14:schemeClr w14:val="tx1"/>
            </w14:solidFill>
          </w14:textFill>
        </w:rPr>
        <w:t>三、事中事后监管制度</w:t>
      </w:r>
      <w:r>
        <w:rPr>
          <w:rFonts w:hint="eastAsia" w:ascii="仿宋_GB2312" w:hAnsi="仿宋_GB2312" w:eastAsia="仿宋_GB2312" w:cs="仿宋_GB2312"/>
          <w:bCs/>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bCs/>
          <w:color w:val="000000" w:themeColor="text1"/>
          <w:kern w:val="0"/>
          <w:sz w:val="30"/>
          <w:szCs w:val="30"/>
          <w:lang w:val="en-US" w:eastAsia="zh-CN"/>
          <w14:textFill>
            <w14:solidFill>
              <w14:schemeClr w14:val="tx1"/>
            </w14:solidFill>
          </w14:textFill>
        </w:rPr>
        <w:t>无</w:t>
      </w:r>
      <w:r>
        <w:rPr>
          <w:rFonts w:hint="eastAsia" w:ascii="仿宋_GB2312" w:hAnsi="仿宋_GB2312" w:eastAsia="仿宋_GB2312" w:cs="仿宋_GB2312"/>
          <w:bCs/>
          <w:color w:val="000000" w:themeColor="text1"/>
          <w:kern w:val="0"/>
          <w:sz w:val="30"/>
          <w:szCs w:val="3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left"/>
        <w:textAlignment w:val="auto"/>
        <w:outlineLvl w:val="9"/>
        <w:rPr>
          <w:rFonts w:hint="eastAsia" w:ascii="黑体" w:hAnsi="黑体" w:eastAsia="黑体" w:cs="黑体"/>
          <w:sz w:val="32"/>
          <w:szCs w:val="32"/>
          <w:lang w:eastAsia="zh-CN"/>
        </w:rPr>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bCs/>
          <w:color w:val="000000" w:themeColor="text1"/>
          <w:kern w:val="0"/>
          <w:sz w:val="30"/>
          <w:szCs w:val="30"/>
          <w14:textFill>
            <w14:solidFill>
              <w14:schemeClr w14:val="tx1"/>
            </w14:solidFill>
          </w14:textFill>
        </w:rPr>
        <w:t>四、公共服务事项</w:t>
      </w:r>
      <w:r>
        <w:rPr>
          <w:rFonts w:hint="eastAsia" w:ascii="仿宋_GB2312" w:hAnsi="仿宋_GB2312" w:cs="仿宋_GB2312"/>
          <w:bCs/>
          <w:color w:val="000000" w:themeColor="text1"/>
          <w:kern w:val="0"/>
          <w:sz w:val="30"/>
          <w:szCs w:val="30"/>
          <w:lang w:eastAsia="zh-CN"/>
          <w14:textFill>
            <w14:solidFill>
              <w14:schemeClr w14:val="tx1"/>
            </w14:solidFill>
          </w14:textFill>
        </w:rPr>
        <w:t>（</w:t>
      </w:r>
      <w:r>
        <w:rPr>
          <w:rFonts w:hint="eastAsia" w:ascii="仿宋_GB2312" w:hAnsi="仿宋_GB2312" w:cs="仿宋_GB2312"/>
          <w:bCs/>
          <w:color w:val="000000" w:themeColor="text1"/>
          <w:kern w:val="0"/>
          <w:sz w:val="30"/>
          <w:szCs w:val="30"/>
          <w:lang w:val="en-US" w:eastAsia="zh-CN"/>
          <w14:textFill>
            <w14:solidFill>
              <w14:schemeClr w14:val="tx1"/>
            </w14:solidFill>
          </w14:textFill>
        </w:rPr>
        <w:t>无</w:t>
      </w:r>
      <w:r>
        <w:rPr>
          <w:rFonts w:hint="eastAsia" w:ascii="仿宋_GB2312" w:hAnsi="仿宋_GB2312" w:cs="仿宋_GB2312"/>
          <w:bCs/>
          <w:color w:val="000000" w:themeColor="text1"/>
          <w:kern w:val="0"/>
          <w:sz w:val="30"/>
          <w:szCs w:val="30"/>
          <w:lang w:eastAsia="zh-CN"/>
          <w14:textFill>
            <w14:solidFill>
              <w14:schemeClr w14:val="tx1"/>
            </w14:solidFill>
          </w14:textFill>
        </w:rPr>
        <w:t>）</w:t>
      </w:r>
    </w:p>
    <w:p>
      <w:pPr>
        <w:spacing w:line="578" w:lineRule="exact"/>
        <w:jc w:val="center"/>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部门职责登记表</w:t>
      </w:r>
    </w:p>
    <w:p>
      <w:pPr>
        <w:spacing w:line="578" w:lineRule="exact"/>
        <w:jc w:val="center"/>
        <w:rPr>
          <w:rFonts w:hint="default" w:ascii="Times New Roman" w:hAnsi="Times New Roman" w:eastAsia="方正小标宋简体" w:cs="Times New Roman"/>
          <w:sz w:val="36"/>
          <w:szCs w:val="36"/>
        </w:rPr>
      </w:pPr>
    </w:p>
    <w:tbl>
      <w:tblPr>
        <w:tblStyle w:val="7"/>
        <w:tblW w:w="8592" w:type="dxa"/>
        <w:jc w:val="center"/>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790"/>
        <w:gridCol w:w="4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6" w:type="dxa"/>
            <w:vAlign w:val="center"/>
          </w:tcPr>
          <w:p>
            <w:pPr>
              <w:spacing w:line="578" w:lineRule="exact"/>
              <w:jc w:val="center"/>
              <w:rPr>
                <w:rFonts w:hint="default" w:ascii="Times New Roman" w:hAnsi="Times New Roman" w:cs="Times New Roman"/>
                <w:b/>
                <w:sz w:val="28"/>
                <w:szCs w:val="28"/>
              </w:rPr>
            </w:pPr>
            <w:bookmarkStart w:id="0" w:name="_GoBack" w:colFirst="2" w:colLast="2"/>
            <w:r>
              <w:rPr>
                <w:rFonts w:hint="default" w:ascii="Times New Roman" w:hAnsi="Times New Roman" w:cs="Times New Roman"/>
                <w:b/>
                <w:sz w:val="28"/>
                <w:szCs w:val="28"/>
              </w:rPr>
              <w:t>序号</w:t>
            </w:r>
          </w:p>
        </w:tc>
        <w:tc>
          <w:tcPr>
            <w:tcW w:w="2790"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主要职责</w:t>
            </w:r>
          </w:p>
        </w:tc>
        <w:tc>
          <w:tcPr>
            <w:tcW w:w="4936"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jc w:val="center"/>
        </w:trPr>
        <w:tc>
          <w:tcPr>
            <w:tcW w:w="866" w:type="dxa"/>
            <w:vMerge w:val="restart"/>
            <w:vAlign w:val="center"/>
          </w:tcPr>
          <w:p>
            <w:pPr>
              <w:spacing w:line="578" w:lineRule="exact"/>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w:t>
            </w:r>
          </w:p>
        </w:tc>
        <w:tc>
          <w:tcPr>
            <w:tcW w:w="2790" w:type="dxa"/>
            <w:vMerge w:val="restart"/>
            <w:vAlign w:val="center"/>
          </w:tcPr>
          <w:p>
            <w:pPr>
              <w:spacing w:line="578"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负责吉阳区党政综合信息网络的规划建设、运行维护管理</w:t>
            </w:r>
          </w:p>
        </w:tc>
        <w:tc>
          <w:tcPr>
            <w:tcW w:w="4936" w:type="dxa"/>
            <w:vAlign w:val="top"/>
          </w:tcPr>
          <w:p>
            <w:pPr>
              <w:spacing w:line="578" w:lineRule="exact"/>
              <w:jc w:val="both"/>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负责</w:t>
            </w:r>
            <w:r>
              <w:rPr>
                <w:rFonts w:hint="eastAsia" w:ascii="仿宋_GB2312" w:hAnsi="仿宋_GB2312" w:eastAsia="仿宋_GB2312" w:cs="仿宋_GB2312"/>
                <w:sz w:val="24"/>
                <w:szCs w:val="24"/>
                <w:lang w:val="en-US" w:eastAsia="zh-CN"/>
              </w:rPr>
              <w:t>全区网络巡查与维护，确保全区网络与各大信息系统安全稳定运行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866" w:type="dxa"/>
            <w:vMerge w:val="continue"/>
            <w:vAlign w:val="center"/>
          </w:tcPr>
          <w:p>
            <w:pPr>
              <w:spacing w:line="578" w:lineRule="exact"/>
              <w:jc w:val="center"/>
              <w:rPr>
                <w:rFonts w:hint="default" w:ascii="仿宋_GB2312" w:hAnsi="仿宋_GB2312" w:eastAsia="仿宋_GB2312" w:cs="仿宋_GB2312"/>
                <w:sz w:val="24"/>
                <w:szCs w:val="24"/>
                <w:lang w:val="en-US" w:eastAsia="zh-CN"/>
              </w:rPr>
            </w:pPr>
          </w:p>
        </w:tc>
        <w:tc>
          <w:tcPr>
            <w:tcW w:w="2790" w:type="dxa"/>
            <w:vMerge w:val="continue"/>
            <w:vAlign w:val="center"/>
          </w:tcPr>
          <w:p>
            <w:pPr>
              <w:spacing w:line="578" w:lineRule="exact"/>
              <w:jc w:val="both"/>
              <w:rPr>
                <w:rFonts w:hint="default" w:ascii="仿宋_GB2312" w:hAnsi="仿宋_GB2312" w:eastAsia="仿宋_GB2312" w:cs="仿宋_GB2312"/>
                <w:sz w:val="24"/>
                <w:szCs w:val="24"/>
                <w:lang w:val="en-US" w:eastAsia="zh-CN"/>
              </w:rPr>
            </w:pPr>
          </w:p>
        </w:tc>
        <w:tc>
          <w:tcPr>
            <w:tcW w:w="4936" w:type="dxa"/>
            <w:vAlign w:val="top"/>
          </w:tcPr>
          <w:p>
            <w:pPr>
              <w:spacing w:line="578" w:lineRule="exact"/>
              <w:jc w:val="both"/>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负责规划</w:t>
            </w:r>
            <w:r>
              <w:rPr>
                <w:rFonts w:hint="eastAsia" w:ascii="仿宋_GB2312" w:hAnsi="仿宋_GB2312" w:eastAsia="仿宋_GB2312" w:cs="仿宋_GB2312"/>
                <w:sz w:val="24"/>
                <w:szCs w:val="24"/>
                <w:lang w:val="en-US" w:eastAsia="zh-CN"/>
              </w:rPr>
              <w:t>建设吉阳区中心机房，并做好机房的管理与运维工作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jc w:val="center"/>
        </w:trPr>
        <w:tc>
          <w:tcPr>
            <w:tcW w:w="866"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790" w:type="dxa"/>
            <w:vMerge w:val="continue"/>
            <w:vAlign w:val="center"/>
          </w:tcPr>
          <w:p>
            <w:pPr>
              <w:spacing w:line="578" w:lineRule="exact"/>
              <w:jc w:val="both"/>
              <w:rPr>
                <w:rFonts w:hint="eastAsia" w:ascii="仿宋_GB2312" w:hAnsi="仿宋_GB2312" w:eastAsia="仿宋_GB2312" w:cs="仿宋_GB2312"/>
                <w:sz w:val="24"/>
                <w:szCs w:val="24"/>
                <w:lang w:val="en-US" w:eastAsia="zh-CN"/>
              </w:rPr>
            </w:pPr>
          </w:p>
        </w:tc>
        <w:tc>
          <w:tcPr>
            <w:tcW w:w="4936" w:type="dxa"/>
            <w:vAlign w:val="top"/>
          </w:tcPr>
          <w:p>
            <w:pPr>
              <w:spacing w:line="578" w:lineRule="exact"/>
              <w:jc w:val="both"/>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做好</w:t>
            </w:r>
            <w:r>
              <w:rPr>
                <w:rFonts w:hint="eastAsia" w:ascii="仿宋_GB2312" w:hAnsi="仿宋_GB2312" w:eastAsia="仿宋_GB2312" w:cs="仿宋_GB2312"/>
                <w:sz w:val="24"/>
                <w:szCs w:val="24"/>
                <w:lang w:val="en-US" w:eastAsia="zh-CN"/>
              </w:rPr>
              <w:t>全区政务外网及政务外网互联网的</w:t>
            </w:r>
            <w:r>
              <w:rPr>
                <w:rFonts w:hint="eastAsia" w:ascii="仿宋_GB2312" w:hAnsi="仿宋_GB2312" w:cs="仿宋_GB2312"/>
                <w:sz w:val="24"/>
                <w:szCs w:val="24"/>
                <w:lang w:val="en-US" w:eastAsia="zh-CN"/>
              </w:rPr>
              <w:t>接入</w:t>
            </w:r>
            <w:r>
              <w:rPr>
                <w:rFonts w:hint="eastAsia" w:ascii="仿宋_GB2312" w:hAnsi="仿宋_GB2312" w:eastAsia="仿宋_GB2312" w:cs="仿宋_GB2312"/>
                <w:sz w:val="24"/>
                <w:szCs w:val="24"/>
                <w:lang w:val="en-US" w:eastAsia="zh-CN"/>
              </w:rPr>
              <w:t>建设与运维工作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866"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w:t>
            </w:r>
          </w:p>
        </w:tc>
        <w:tc>
          <w:tcPr>
            <w:tcW w:w="2790" w:type="dxa"/>
            <w:vAlign w:val="center"/>
          </w:tcPr>
          <w:p>
            <w:pPr>
              <w:spacing w:line="578"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组织协调机关办公自动化的规划建设并提供技术指导和信息咨询服务</w:t>
            </w:r>
          </w:p>
        </w:tc>
        <w:tc>
          <w:tcPr>
            <w:tcW w:w="4936" w:type="dxa"/>
            <w:vAlign w:val="top"/>
          </w:tcPr>
          <w:p>
            <w:pPr>
              <w:spacing w:line="578"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为吉阳区办公OA提供技术指导和信息咨询服务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866"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790" w:type="dxa"/>
            <w:vMerge w:val="restart"/>
            <w:vAlign w:val="center"/>
          </w:tcPr>
          <w:p>
            <w:pPr>
              <w:spacing w:line="578"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负责吉阳区党务、政务系统的数据交换及党政网络信息发布</w:t>
            </w:r>
          </w:p>
        </w:tc>
        <w:tc>
          <w:tcPr>
            <w:tcW w:w="4936" w:type="dxa"/>
            <w:vAlign w:val="top"/>
          </w:tcPr>
          <w:p>
            <w:pPr>
              <w:spacing w:line="578"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为全区政务信息公开工作提供技术指导和信息咨询服务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866"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790" w:type="dxa"/>
            <w:vMerge w:val="continue"/>
            <w:vAlign w:val="center"/>
          </w:tcPr>
          <w:p>
            <w:pPr>
              <w:spacing w:line="578" w:lineRule="exact"/>
              <w:jc w:val="both"/>
              <w:rPr>
                <w:rFonts w:hint="eastAsia" w:ascii="仿宋_GB2312" w:hAnsi="仿宋_GB2312" w:eastAsia="仿宋_GB2312" w:cs="仿宋_GB2312"/>
                <w:sz w:val="24"/>
                <w:szCs w:val="24"/>
                <w:lang w:val="en-US" w:eastAsia="zh-CN"/>
              </w:rPr>
            </w:pPr>
          </w:p>
        </w:tc>
        <w:tc>
          <w:tcPr>
            <w:tcW w:w="4936" w:type="dxa"/>
            <w:vAlign w:val="top"/>
          </w:tcPr>
          <w:p>
            <w:pPr>
              <w:spacing w:line="578" w:lineRule="exact"/>
              <w:jc w:val="both"/>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全力</w:t>
            </w:r>
            <w:r>
              <w:rPr>
                <w:rFonts w:hint="eastAsia" w:ascii="仿宋_GB2312" w:hAnsi="仿宋_GB2312" w:eastAsia="仿宋_GB2312" w:cs="仿宋_GB2312"/>
                <w:sz w:val="24"/>
                <w:szCs w:val="24"/>
                <w:lang w:val="en-US" w:eastAsia="zh-CN"/>
              </w:rPr>
              <w:t>做好本中心政务信息公开工作</w:t>
            </w:r>
          </w:p>
          <w:p>
            <w:pPr>
              <w:spacing w:line="578" w:lineRule="exact"/>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6" w:type="dxa"/>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790" w:type="dxa"/>
            <w:vAlign w:val="center"/>
          </w:tcPr>
          <w:p>
            <w:pPr>
              <w:spacing w:line="578"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负责吉阳区各部门数据信息集中处理的技术服务工作</w:t>
            </w:r>
          </w:p>
        </w:tc>
        <w:tc>
          <w:tcPr>
            <w:tcW w:w="4936" w:type="dxa"/>
            <w:vAlign w:val="top"/>
          </w:tcPr>
          <w:p>
            <w:pPr>
              <w:spacing w:line="578"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为全区各部门数据信息集中处理提供技术支持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66"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790" w:type="dxa"/>
            <w:vMerge w:val="restart"/>
            <w:vAlign w:val="center"/>
          </w:tcPr>
          <w:p>
            <w:pPr>
              <w:spacing w:line="578"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协助全区通信与信息安全</w:t>
            </w:r>
          </w:p>
        </w:tc>
        <w:tc>
          <w:tcPr>
            <w:tcW w:w="4936" w:type="dxa"/>
            <w:vAlign w:val="top"/>
          </w:tcPr>
          <w:p>
            <w:pPr>
              <w:spacing w:line="578"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确保全区政务外网及政务外网互联网安全运行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866"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790" w:type="dxa"/>
            <w:vMerge w:val="continue"/>
            <w:vAlign w:val="center"/>
          </w:tcPr>
          <w:p>
            <w:pPr>
              <w:spacing w:line="578" w:lineRule="exact"/>
              <w:jc w:val="both"/>
              <w:rPr>
                <w:rFonts w:hint="eastAsia" w:ascii="仿宋_GB2312" w:hAnsi="仿宋_GB2312" w:eastAsia="仿宋_GB2312" w:cs="仿宋_GB2312"/>
                <w:sz w:val="24"/>
                <w:szCs w:val="24"/>
                <w:lang w:val="en-US" w:eastAsia="zh-CN"/>
              </w:rPr>
            </w:pPr>
          </w:p>
        </w:tc>
        <w:tc>
          <w:tcPr>
            <w:tcW w:w="4936" w:type="dxa"/>
            <w:vAlign w:val="top"/>
          </w:tcPr>
          <w:p>
            <w:pPr>
              <w:spacing w:line="578"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做好全区网络与信息安全培训工作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866" w:type="dxa"/>
            <w:vMerge w:val="continue"/>
            <w:vAlign w:val="center"/>
          </w:tcPr>
          <w:p>
            <w:pPr>
              <w:spacing w:line="578" w:lineRule="exact"/>
              <w:jc w:val="center"/>
              <w:rPr>
                <w:sz w:val="24"/>
                <w:szCs w:val="24"/>
              </w:rPr>
            </w:pPr>
          </w:p>
        </w:tc>
        <w:tc>
          <w:tcPr>
            <w:tcW w:w="2790" w:type="dxa"/>
            <w:vMerge w:val="continue"/>
            <w:vAlign w:val="center"/>
          </w:tcPr>
          <w:p>
            <w:pPr>
              <w:spacing w:line="578" w:lineRule="exact"/>
              <w:jc w:val="both"/>
              <w:rPr>
                <w:sz w:val="24"/>
                <w:szCs w:val="24"/>
              </w:rPr>
            </w:pPr>
          </w:p>
        </w:tc>
        <w:tc>
          <w:tcPr>
            <w:tcW w:w="4936" w:type="dxa"/>
            <w:vAlign w:val="top"/>
          </w:tcPr>
          <w:p>
            <w:pPr>
              <w:spacing w:line="578"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做好区各综合办公点及部分村（社区）上网行为管理服务工作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66" w:type="dxa"/>
            <w:vMerge w:val="continue"/>
            <w:vAlign w:val="center"/>
          </w:tcPr>
          <w:p>
            <w:pPr>
              <w:spacing w:line="578" w:lineRule="exact"/>
              <w:jc w:val="center"/>
              <w:rPr>
                <w:sz w:val="24"/>
                <w:szCs w:val="24"/>
              </w:rPr>
            </w:pPr>
          </w:p>
        </w:tc>
        <w:tc>
          <w:tcPr>
            <w:tcW w:w="2790" w:type="dxa"/>
            <w:vMerge w:val="continue"/>
            <w:vAlign w:val="center"/>
          </w:tcPr>
          <w:p>
            <w:pPr>
              <w:spacing w:line="578" w:lineRule="exact"/>
              <w:jc w:val="both"/>
              <w:rPr>
                <w:sz w:val="24"/>
                <w:szCs w:val="24"/>
              </w:rPr>
            </w:pPr>
          </w:p>
        </w:tc>
        <w:tc>
          <w:tcPr>
            <w:tcW w:w="4936" w:type="dxa"/>
            <w:vAlign w:val="top"/>
          </w:tcPr>
          <w:p>
            <w:pPr>
              <w:spacing w:line="578"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加强办公用网终端安全防护工作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66"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790" w:type="dxa"/>
            <w:vMerge w:val="restart"/>
            <w:vAlign w:val="center"/>
          </w:tcPr>
          <w:p>
            <w:pPr>
              <w:spacing w:line="578"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承办区政府及上级部门交办的工作</w:t>
            </w:r>
          </w:p>
        </w:tc>
        <w:tc>
          <w:tcPr>
            <w:tcW w:w="4936" w:type="dxa"/>
            <w:vAlign w:val="center"/>
          </w:tcPr>
          <w:p>
            <w:pPr>
              <w:spacing w:line="578"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做好</w:t>
            </w:r>
            <w:r>
              <w:rPr>
                <w:rFonts w:hint="eastAsia" w:ascii="仿宋_GB2312" w:hAnsi="仿宋_GB2312" w:cs="仿宋_GB2312"/>
                <w:sz w:val="24"/>
                <w:szCs w:val="24"/>
                <w:lang w:val="en-US" w:eastAsia="zh-CN"/>
              </w:rPr>
              <w:t>本中心包片</w:t>
            </w:r>
            <w:r>
              <w:rPr>
                <w:rFonts w:hint="eastAsia" w:ascii="仿宋_GB2312" w:hAnsi="仿宋_GB2312" w:eastAsia="仿宋_GB2312" w:cs="仿宋_GB2312"/>
                <w:sz w:val="24"/>
                <w:szCs w:val="24"/>
                <w:lang w:val="en-US" w:eastAsia="zh-CN"/>
              </w:rPr>
              <w:t>的棚改工作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866" w:type="dxa"/>
            <w:vMerge w:val="continue"/>
            <w:vAlign w:val="top"/>
          </w:tcPr>
          <w:p>
            <w:pPr>
              <w:pStyle w:val="2"/>
              <w:jc w:val="both"/>
              <w:rPr>
                <w:sz w:val="24"/>
                <w:szCs w:val="24"/>
              </w:rPr>
            </w:pPr>
          </w:p>
        </w:tc>
        <w:tc>
          <w:tcPr>
            <w:tcW w:w="2790" w:type="dxa"/>
            <w:vMerge w:val="continue"/>
            <w:vAlign w:val="top"/>
          </w:tcPr>
          <w:p>
            <w:pPr>
              <w:pStyle w:val="2"/>
              <w:jc w:val="both"/>
              <w:rPr>
                <w:rFonts w:hint="eastAsia" w:ascii="仿宋_GB2312" w:hAnsi="仿宋_GB2312" w:eastAsia="仿宋_GB2312" w:cs="仿宋_GB2312"/>
                <w:kern w:val="2"/>
                <w:sz w:val="24"/>
                <w:szCs w:val="24"/>
                <w:lang w:val="en-US" w:eastAsia="zh-CN" w:bidi="ar-SA"/>
              </w:rPr>
            </w:pPr>
          </w:p>
        </w:tc>
        <w:tc>
          <w:tcPr>
            <w:tcW w:w="4936" w:type="dxa"/>
            <w:vAlign w:val="center"/>
          </w:tcPr>
          <w:p>
            <w:pPr>
              <w:pStyle w:val="2"/>
              <w:numPr>
                <w:ilvl w:val="0"/>
                <w:numId w:val="0"/>
              </w:numPr>
              <w:jc w:val="both"/>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做好包点社区“创文巩卫”工作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866" w:type="dxa"/>
            <w:vMerge w:val="continue"/>
            <w:vAlign w:val="top"/>
          </w:tcPr>
          <w:p>
            <w:pPr>
              <w:pStyle w:val="2"/>
              <w:jc w:val="both"/>
              <w:rPr>
                <w:sz w:val="24"/>
                <w:szCs w:val="24"/>
              </w:rPr>
            </w:pPr>
          </w:p>
        </w:tc>
        <w:tc>
          <w:tcPr>
            <w:tcW w:w="2790" w:type="dxa"/>
            <w:vMerge w:val="continue"/>
            <w:vAlign w:val="top"/>
          </w:tcPr>
          <w:p>
            <w:pPr>
              <w:pStyle w:val="2"/>
              <w:jc w:val="both"/>
              <w:rPr>
                <w:sz w:val="24"/>
                <w:szCs w:val="24"/>
              </w:rPr>
            </w:pPr>
          </w:p>
        </w:tc>
        <w:tc>
          <w:tcPr>
            <w:tcW w:w="4936" w:type="dxa"/>
            <w:vAlign w:val="center"/>
          </w:tcPr>
          <w:p>
            <w:pPr>
              <w:pStyle w:val="2"/>
              <w:numPr>
                <w:ilvl w:val="0"/>
                <w:numId w:val="0"/>
              </w:numPr>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做好</w:t>
            </w:r>
            <w:r>
              <w:rPr>
                <w:rFonts w:hint="eastAsia" w:ascii="仿宋_GB2312" w:hAnsi="仿宋_GB2312" w:cs="仿宋_GB2312"/>
                <w:kern w:val="2"/>
                <w:sz w:val="24"/>
                <w:szCs w:val="24"/>
                <w:lang w:val="en-US" w:eastAsia="zh-CN" w:bidi="ar-SA"/>
              </w:rPr>
              <w:t>包点户的</w:t>
            </w:r>
            <w:r>
              <w:rPr>
                <w:rFonts w:hint="eastAsia" w:ascii="仿宋_GB2312" w:hAnsi="仿宋_GB2312" w:eastAsia="仿宋_GB2312" w:cs="仿宋_GB2312"/>
                <w:kern w:val="2"/>
                <w:sz w:val="24"/>
                <w:szCs w:val="24"/>
                <w:lang w:val="en-US" w:eastAsia="zh-CN" w:bidi="ar-SA"/>
              </w:rPr>
              <w:t>脱贫攻坚工作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66" w:type="dxa"/>
            <w:vMerge w:val="continue"/>
            <w:vAlign w:val="top"/>
          </w:tcPr>
          <w:p>
            <w:pPr>
              <w:pStyle w:val="2"/>
              <w:jc w:val="both"/>
              <w:rPr>
                <w:sz w:val="24"/>
                <w:szCs w:val="24"/>
              </w:rPr>
            </w:pPr>
          </w:p>
        </w:tc>
        <w:tc>
          <w:tcPr>
            <w:tcW w:w="2790" w:type="dxa"/>
            <w:vMerge w:val="continue"/>
            <w:vAlign w:val="top"/>
          </w:tcPr>
          <w:p>
            <w:pPr>
              <w:pStyle w:val="2"/>
              <w:jc w:val="both"/>
              <w:rPr>
                <w:sz w:val="24"/>
                <w:szCs w:val="24"/>
              </w:rPr>
            </w:pPr>
          </w:p>
        </w:tc>
        <w:tc>
          <w:tcPr>
            <w:tcW w:w="4936" w:type="dxa"/>
            <w:vAlign w:val="center"/>
          </w:tcPr>
          <w:p>
            <w:pPr>
              <w:pStyle w:val="2"/>
              <w:numPr>
                <w:ilvl w:val="0"/>
                <w:numId w:val="0"/>
              </w:numPr>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做好驻村包点工作</w:t>
            </w:r>
          </w:p>
        </w:tc>
      </w:tr>
      <w:bookmarkEnd w:id="0"/>
    </w:tbl>
    <w:p>
      <w:pPr>
        <w:spacing w:line="578" w:lineRule="exact"/>
        <w:rPr>
          <w:rFonts w:hint="default" w:ascii="Times New Roman" w:hAnsi="Times New Roman" w:eastAsia="黑体" w:cs="Times New Roman"/>
          <w:color w:val="000000"/>
          <w:szCs w:val="32"/>
        </w:rPr>
      </w:pPr>
    </w:p>
    <w:p>
      <w:pPr>
        <w:numPr>
          <w:ilvl w:val="0"/>
          <w:numId w:val="0"/>
        </w:numPr>
        <w:spacing w:line="578" w:lineRule="exact"/>
        <w:jc w:val="both"/>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与相关部门的职责边界登记表</w:t>
      </w:r>
      <w:r>
        <w:rPr>
          <w:rFonts w:hint="eastAsia" w:ascii="黑体" w:hAnsi="黑体" w:eastAsia="黑体" w:cs="黑体"/>
          <w:sz w:val="32"/>
          <w:szCs w:val="32"/>
          <w:lang w:eastAsia="zh-CN"/>
        </w:rPr>
        <w:t>（无）</w:t>
      </w:r>
    </w:p>
    <w:p>
      <w:pPr>
        <w:numPr>
          <w:ilvl w:val="0"/>
          <w:numId w:val="0"/>
        </w:numPr>
        <w:spacing w:line="578" w:lineRule="exact"/>
        <w:jc w:val="both"/>
        <w:rPr>
          <w:rFonts w:hint="default" w:ascii="Times New Roman" w:hAnsi="Times New Roman" w:eastAsia="方正小标宋简体" w:cs="Times New Roman"/>
          <w:sz w:val="44"/>
          <w:szCs w:val="44"/>
          <w:lang w:val="en-US"/>
        </w:rPr>
      </w:pPr>
      <w:r>
        <w:rPr>
          <w:rFonts w:hint="eastAsia" w:ascii="黑体" w:hAnsi="黑体" w:eastAsia="黑体" w:cs="黑体"/>
          <w:sz w:val="32"/>
          <w:szCs w:val="32"/>
          <w:lang w:val="en-US" w:eastAsia="zh-CN"/>
        </w:rPr>
        <w:t>三、事中事后监管制度（无）</w:t>
      </w:r>
      <w:r>
        <w:rPr>
          <w:rFonts w:hint="eastAsia" w:ascii="Times New Roman" w:hAnsi="Times New Roman" w:eastAsia="方正小标宋简体" w:cs="Times New Roman"/>
          <w:sz w:val="44"/>
          <w:szCs w:val="44"/>
          <w:lang w:val="en-US" w:eastAsia="zh-CN"/>
        </w:rPr>
        <w:t xml:space="preserve">        </w:t>
      </w:r>
    </w:p>
    <w:p>
      <w:pPr>
        <w:numPr>
          <w:ilvl w:val="0"/>
          <w:numId w:val="0"/>
        </w:numPr>
        <w:spacing w:line="578"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公共服务事项</w:t>
      </w:r>
      <w:r>
        <w:rPr>
          <w:rFonts w:hint="eastAsia" w:ascii="黑体" w:hAnsi="黑体" w:eastAsia="黑体" w:cs="黑体"/>
          <w:sz w:val="32"/>
          <w:szCs w:val="32"/>
          <w:lang w:val="en-US" w:eastAsia="zh-CN"/>
        </w:rPr>
        <w:t>（无）</w:t>
      </w:r>
    </w:p>
    <w:p>
      <w:pPr>
        <w:pStyle w:val="2"/>
        <w:rPr>
          <w:rFonts w:hint="default"/>
          <w:lang w:val="en-US" w:eastAsia="zh-CN"/>
        </w:rPr>
      </w:pPr>
    </w:p>
    <w:p>
      <w:pPr>
        <w:spacing w:line="578" w:lineRule="exact"/>
        <w:rPr>
          <w:rFonts w:hint="default" w:ascii="Times New Roman" w:hAnsi="Times New Roman" w:eastAsia="黑体" w:cs="Times New Roman"/>
          <w:color w:val="000000"/>
          <w:szCs w:val="32"/>
        </w:rPr>
      </w:pPr>
    </w:p>
    <w:p>
      <w:pPr>
        <w:spacing w:line="578" w:lineRule="exact"/>
        <w:rPr>
          <w:rFonts w:hint="default" w:ascii="Times New Roman" w:hAnsi="Times New Roman" w:eastAsia="黑体" w:cs="Times New Roman"/>
          <w:color w:val="000000"/>
          <w:szCs w:val="32"/>
        </w:rPr>
      </w:pPr>
    </w:p>
    <w:p>
      <w:pPr>
        <w:pStyle w:val="2"/>
        <w:spacing w:line="578" w:lineRule="exact"/>
        <w:rPr>
          <w:rFonts w:hint="default" w:ascii="Times New Roman" w:hAnsi="Times New Roman" w:eastAsia="黑体" w:cs="Times New Roman"/>
          <w:color w:val="000000"/>
          <w:szCs w:val="32"/>
        </w:rPr>
      </w:pPr>
    </w:p>
    <w:p>
      <w:pPr>
        <w:pStyle w:val="2"/>
        <w:spacing w:line="578" w:lineRule="exact"/>
        <w:jc w:val="left"/>
        <w:rPr>
          <w:rFonts w:hint="default" w:ascii="Times New Roman" w:hAnsi="Times New Roman" w:cs="Times New Roman"/>
          <w:b/>
          <w:bCs/>
          <w:color w:val="000000"/>
          <w:szCs w:val="32"/>
        </w:rPr>
      </w:pPr>
    </w:p>
    <w:p>
      <w:pPr>
        <w:spacing w:line="0" w:lineRule="atLeast"/>
        <w:jc w:val="left"/>
        <w:rPr>
          <w:rFonts w:hint="default" w:ascii="Times New Roman" w:hAnsi="Times New Roman" w:cs="Times New Roman"/>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-459105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15pt;height:144pt;width:144pt;mso-position-horizontal:inside;mso-position-horizontal-relative:margin;mso-wrap-style:none;z-index:251658240;mso-width-relative:page;mso-height-relative:page;" filled="f" stroked="f" coordsize="21600,21600" o:gfxdata="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vRId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-450215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5.45pt;height:144pt;width:144pt;mso-position-horizontal:inside;mso-position-horizontal-relative:margin;mso-wrap-style:none;z-index:251659264;mso-width-relative:page;mso-height-relative:page;" filled="f" stroked="f" coordsize="21600,21600" o:gfxdata="UEsDBAoAAAAAAIdO4kAAAAAAAAAAAAAAAAAEAAAAZHJzL1BLAwQUAAAACACHTuJAEP6UsN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2qr7kGwvMlzvhx5yLYZ&#10;yKqU/wtUP1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P6UsNUAAAAI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7E"/>
    <w:rsid w:val="000305BE"/>
    <w:rsid w:val="005B307E"/>
    <w:rsid w:val="007662C4"/>
    <w:rsid w:val="01031382"/>
    <w:rsid w:val="01546A5A"/>
    <w:rsid w:val="038C1C4C"/>
    <w:rsid w:val="04046400"/>
    <w:rsid w:val="04155D48"/>
    <w:rsid w:val="04277D5C"/>
    <w:rsid w:val="04C0312C"/>
    <w:rsid w:val="04D84057"/>
    <w:rsid w:val="05960D64"/>
    <w:rsid w:val="05F97E29"/>
    <w:rsid w:val="066B1319"/>
    <w:rsid w:val="06866A44"/>
    <w:rsid w:val="06970489"/>
    <w:rsid w:val="06D67A15"/>
    <w:rsid w:val="072946CB"/>
    <w:rsid w:val="08EF55B8"/>
    <w:rsid w:val="0B2C7E5B"/>
    <w:rsid w:val="0BB005D6"/>
    <w:rsid w:val="0C0F1A5D"/>
    <w:rsid w:val="0C4B24B1"/>
    <w:rsid w:val="0DBC3718"/>
    <w:rsid w:val="0FAE0589"/>
    <w:rsid w:val="115C410F"/>
    <w:rsid w:val="12744C88"/>
    <w:rsid w:val="12F81701"/>
    <w:rsid w:val="16D873F2"/>
    <w:rsid w:val="17597248"/>
    <w:rsid w:val="17AF792E"/>
    <w:rsid w:val="19006D44"/>
    <w:rsid w:val="197A0147"/>
    <w:rsid w:val="19CC140B"/>
    <w:rsid w:val="19FB65B5"/>
    <w:rsid w:val="1A7E6B05"/>
    <w:rsid w:val="1ABB268D"/>
    <w:rsid w:val="1D054B2F"/>
    <w:rsid w:val="1D9C4C7C"/>
    <w:rsid w:val="1E14315F"/>
    <w:rsid w:val="1EC53339"/>
    <w:rsid w:val="1F576EA3"/>
    <w:rsid w:val="1F947F87"/>
    <w:rsid w:val="23082725"/>
    <w:rsid w:val="24A7272F"/>
    <w:rsid w:val="26125CFE"/>
    <w:rsid w:val="27B6002E"/>
    <w:rsid w:val="2879640A"/>
    <w:rsid w:val="2A0055C2"/>
    <w:rsid w:val="2A153C94"/>
    <w:rsid w:val="2B4757D2"/>
    <w:rsid w:val="2BCB0F5F"/>
    <w:rsid w:val="2C74066E"/>
    <w:rsid w:val="2D9C2201"/>
    <w:rsid w:val="2DBE7648"/>
    <w:rsid w:val="307916BF"/>
    <w:rsid w:val="31054F6A"/>
    <w:rsid w:val="3289357E"/>
    <w:rsid w:val="342329D9"/>
    <w:rsid w:val="34F71425"/>
    <w:rsid w:val="35D471D5"/>
    <w:rsid w:val="36934425"/>
    <w:rsid w:val="36963885"/>
    <w:rsid w:val="38231CDD"/>
    <w:rsid w:val="383A0458"/>
    <w:rsid w:val="38BB210F"/>
    <w:rsid w:val="395C06E6"/>
    <w:rsid w:val="3A1B1E18"/>
    <w:rsid w:val="3AEB2DD4"/>
    <w:rsid w:val="3DC90787"/>
    <w:rsid w:val="3EAF373F"/>
    <w:rsid w:val="415F09FC"/>
    <w:rsid w:val="419E7A61"/>
    <w:rsid w:val="424372E0"/>
    <w:rsid w:val="43071423"/>
    <w:rsid w:val="455B32CA"/>
    <w:rsid w:val="46645C30"/>
    <w:rsid w:val="487F5122"/>
    <w:rsid w:val="48CF2C82"/>
    <w:rsid w:val="4968669E"/>
    <w:rsid w:val="4A2071F5"/>
    <w:rsid w:val="4AA80BD0"/>
    <w:rsid w:val="4F3061AA"/>
    <w:rsid w:val="4FC0348D"/>
    <w:rsid w:val="50E33898"/>
    <w:rsid w:val="53484562"/>
    <w:rsid w:val="538A6088"/>
    <w:rsid w:val="558636C1"/>
    <w:rsid w:val="579F6E5A"/>
    <w:rsid w:val="57C51086"/>
    <w:rsid w:val="5920592C"/>
    <w:rsid w:val="594719FE"/>
    <w:rsid w:val="5A3203AE"/>
    <w:rsid w:val="5EF33294"/>
    <w:rsid w:val="60212B17"/>
    <w:rsid w:val="602A37A0"/>
    <w:rsid w:val="61EC77DF"/>
    <w:rsid w:val="62C40281"/>
    <w:rsid w:val="630B6ADC"/>
    <w:rsid w:val="63B75454"/>
    <w:rsid w:val="6744617D"/>
    <w:rsid w:val="685C1E23"/>
    <w:rsid w:val="69491BC3"/>
    <w:rsid w:val="6A862969"/>
    <w:rsid w:val="6AC00F08"/>
    <w:rsid w:val="6AFD6D4A"/>
    <w:rsid w:val="6EB40A8C"/>
    <w:rsid w:val="6EE94A97"/>
    <w:rsid w:val="6FE42F07"/>
    <w:rsid w:val="70746E88"/>
    <w:rsid w:val="713820A0"/>
    <w:rsid w:val="73F47604"/>
    <w:rsid w:val="74283E20"/>
    <w:rsid w:val="75902AB0"/>
    <w:rsid w:val="75DC31CD"/>
    <w:rsid w:val="77822008"/>
    <w:rsid w:val="78AC6FD9"/>
    <w:rsid w:val="7A416840"/>
    <w:rsid w:val="7A4F4F66"/>
    <w:rsid w:val="7CD35D34"/>
    <w:rsid w:val="7CF64A38"/>
    <w:rsid w:val="7CFA3218"/>
    <w:rsid w:val="7E434DF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3">
    <w:name w:val="heading 3"/>
    <w:next w:val="1"/>
    <w:unhideWhenUsed/>
    <w:qFormat/>
    <w:uiPriority w:val="0"/>
    <w:pPr>
      <w:keepNext/>
      <w:keepLines/>
      <w:widowControl w:val="0"/>
      <w:spacing w:line="413" w:lineRule="auto"/>
      <w:jc w:val="both"/>
      <w:outlineLvl w:val="2"/>
    </w:pPr>
    <w:rPr>
      <w:rFonts w:ascii="Times New Roman" w:hAnsi="Times New Roman" w:eastAsia="宋体" w:cs="Times New Roman"/>
      <w:b/>
      <w:kern w:val="2"/>
      <w:sz w:val="32"/>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8">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20018</Words>
  <Characters>1180</Characters>
  <Lines>9</Lines>
  <Paragraphs>42</Paragraphs>
  <ScaleCrop>false</ScaleCrop>
  <LinksUpToDate>false</LinksUpToDate>
  <CharactersWithSpaces>21156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Administrator</cp:lastModifiedBy>
  <cp:lastPrinted>2021-06-07T01:40:00Z</cp:lastPrinted>
  <dcterms:modified xsi:type="dcterms:W3CDTF">2021-09-07T07:40:59Z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