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eastAsia="方正小标宋简体" w:cs="Times New Roman"/>
          <w:bCs/>
          <w:color w:val="000000" w:themeColor="text1"/>
          <w:kern w:val="0"/>
          <w:sz w:val="44"/>
          <w:szCs w:val="44"/>
          <w:lang w:val="en-US" w:eastAsia="zh-CN"/>
          <w14:textFill>
            <w14:solidFill>
              <w14:schemeClr w14:val="tx1"/>
            </w14:solidFill>
          </w14:textFill>
        </w:rPr>
      </w:pPr>
      <w:r>
        <w:rPr>
          <w:rFonts w:hint="eastAsia" w:eastAsia="方正小标宋简体" w:cs="Times New Roman"/>
          <w:bCs/>
          <w:color w:val="000000" w:themeColor="text1"/>
          <w:kern w:val="0"/>
          <w:sz w:val="44"/>
          <w:szCs w:val="44"/>
          <w:lang w:eastAsia="zh-CN"/>
          <w14:textFill>
            <w14:solidFill>
              <w14:schemeClr w14:val="tx1"/>
            </w14:solidFill>
          </w14:textFill>
        </w:rPr>
        <w:t>三亚市吉阳区发展和改革委员会（</w:t>
      </w:r>
      <w:r>
        <w:rPr>
          <w:rFonts w:hint="eastAsia" w:eastAsia="方正小标宋简体" w:cs="Times New Roman"/>
          <w:bCs/>
          <w:color w:val="000000" w:themeColor="text1"/>
          <w:kern w:val="0"/>
          <w:sz w:val="44"/>
          <w:szCs w:val="44"/>
          <w:lang w:val="en-US" w:eastAsia="zh-CN"/>
          <w14:textFill>
            <w14:solidFill>
              <w14:schemeClr w14:val="tx1"/>
            </w14:solidFill>
          </w14:textFill>
        </w:rPr>
        <w:t>营商环境</w:t>
      </w:r>
    </w:p>
    <w:p>
      <w:pPr>
        <w:spacing w:line="578" w:lineRule="exact"/>
        <w:jc w:val="center"/>
        <w:rPr>
          <w:rFonts w:hint="default" w:ascii="Times New Roman" w:hAnsi="Times New Roman" w:cs="Times New Roman"/>
          <w:bCs/>
          <w:color w:val="000000" w:themeColor="text1"/>
          <w:kern w:val="0"/>
          <w:sz w:val="28"/>
          <w:szCs w:val="28"/>
          <w14:textFill>
            <w14:solidFill>
              <w14:schemeClr w14:val="tx1"/>
            </w14:solidFill>
          </w14:textFill>
        </w:rPr>
      </w:pPr>
      <w:r>
        <w:rPr>
          <w:rFonts w:hint="eastAsia" w:eastAsia="方正小标宋简体" w:cs="Times New Roman"/>
          <w:bCs/>
          <w:color w:val="000000" w:themeColor="text1"/>
          <w:kern w:val="0"/>
          <w:sz w:val="44"/>
          <w:szCs w:val="44"/>
          <w:lang w:val="en-US" w:eastAsia="zh-CN"/>
          <w14:textFill>
            <w14:solidFill>
              <w14:schemeClr w14:val="tx1"/>
            </w14:solidFill>
          </w14:textFill>
        </w:rPr>
        <w:t>服务局、科技工业信息化局</w:t>
      </w:r>
      <w:r>
        <w:rPr>
          <w:rFonts w:hint="eastAsia" w:eastAsia="方正小标宋简体" w:cs="Times New Roman"/>
          <w:bCs/>
          <w:color w:val="000000" w:themeColor="text1"/>
          <w:kern w:val="0"/>
          <w:sz w:val="44"/>
          <w:szCs w:val="44"/>
          <w:lang w:eastAsia="zh-CN"/>
          <w14:textFill>
            <w14:solidFill>
              <w14:schemeClr w14:val="tx1"/>
            </w14:solidFill>
          </w14:textFill>
        </w:rPr>
        <w:t>）</w:t>
      </w: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责任清单</w:t>
      </w:r>
    </w:p>
    <w:p>
      <w:pPr>
        <w:spacing w:line="578" w:lineRule="exact"/>
        <w:jc w:val="center"/>
        <w:rPr>
          <w:rFonts w:hint="default" w:ascii="Times New Roman" w:hAnsi="Times New Roman" w:eastAsia="黑体" w:cs="Times New Roman"/>
          <w:bCs/>
          <w:color w:val="000000" w:themeColor="text1"/>
          <w:kern w:val="0"/>
          <w:szCs w:val="32"/>
          <w14:textFill>
            <w14:solidFill>
              <w14:schemeClr w14:val="tx1"/>
            </w14:solidFill>
          </w14:textFill>
        </w:rPr>
      </w:pPr>
    </w:p>
    <w:p>
      <w:pPr>
        <w:spacing w:line="578" w:lineRule="exact"/>
        <w:jc w:val="center"/>
        <w:rPr>
          <w:rFonts w:hint="default" w:ascii="Times New Roman" w:hAnsi="Times New Roman" w:eastAsia="黑体" w:cs="Times New Roman"/>
          <w:bCs/>
          <w:color w:val="000000" w:themeColor="text1"/>
          <w:kern w:val="0"/>
          <w:szCs w:val="32"/>
          <w14:textFill>
            <w14:solidFill>
              <w14:schemeClr w14:val="tx1"/>
            </w14:solidFill>
          </w14:textFill>
        </w:rPr>
      </w:pPr>
      <w:r>
        <w:rPr>
          <w:rFonts w:hint="default" w:ascii="Times New Roman" w:hAnsi="Times New Roman" w:eastAsia="黑体" w:cs="Times New Roman"/>
          <w:bCs/>
          <w:color w:val="000000" w:themeColor="text1"/>
          <w:kern w:val="0"/>
          <w:szCs w:val="32"/>
          <w14:textFill>
            <w14:solidFill>
              <w14:schemeClr w14:val="tx1"/>
            </w14:solidFill>
          </w14:textFill>
        </w:rPr>
        <w:t>目   录</w:t>
      </w:r>
    </w:p>
    <w:p>
      <w:pPr>
        <w:spacing w:line="578" w:lineRule="exact"/>
        <w:rPr>
          <w:rFonts w:hint="default" w:ascii="Times New Roman" w:hAnsi="Times New Roman" w:cs="Times New Roman"/>
          <w:bCs/>
          <w:color w:val="000000" w:themeColor="text1"/>
          <w:kern w:val="0"/>
          <w:szCs w:val="32"/>
          <w14:textFill>
            <w14:solidFill>
              <w14:schemeClr w14:val="tx1"/>
            </w14:solidFill>
          </w14:textFill>
        </w:rPr>
      </w:pPr>
      <w:r>
        <w:rPr>
          <w:rFonts w:hint="default" w:ascii="Times New Roman" w:hAnsi="Times New Roman" w:cs="Times New Roman"/>
          <w:bCs/>
          <w:color w:val="000000" w:themeColor="text1"/>
          <w:kern w:val="0"/>
          <w:szCs w:val="32"/>
          <w14:textFill>
            <w14:solidFill>
              <w14:schemeClr w14:val="tx1"/>
            </w14:solidFill>
          </w14:textFill>
        </w:rPr>
        <w:t xml:space="preserve">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default"/>
          <w:lang w:val="en-US" w:eastAsia="zh-CN"/>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部门职责登记表</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baseline"/>
        <w:rPr>
          <w:rFonts w:hint="default"/>
          <w:lang w:val="en-US" w:eastAsia="zh-CN"/>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（按保密要求，不作公开，如有需要请与区委编办联系了解）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二、与相关部门的职责边界</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登记</w:t>
      </w: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00" w:firstLineChars="10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（一）</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投资项目审批监管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00" w:firstLineChars="10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（二）</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工程初步设计和概算审批监管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00" w:firstLineChars="10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eastAsia" w:ascii="仿宋_GB2312" w:hAnsi="微软雅黑" w:cs="仿宋_GB2312"/>
          <w:b w:val="0"/>
          <w:i w:val="0"/>
          <w:caps w:val="0"/>
          <w:color w:val="000000"/>
          <w:spacing w:val="0"/>
          <w:kern w:val="0"/>
          <w:sz w:val="30"/>
          <w:szCs w:val="30"/>
          <w:shd w:val="clear" w:color="auto" w:fill="FFFFFF"/>
          <w:vertAlign w:val="baseline"/>
          <w:lang w:val="en-US" w:eastAsia="zh-CN" w:bidi="ar"/>
        </w:rPr>
        <w:t xml:space="preserve">  </w:t>
      </w:r>
      <w:r>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（三）招投标活动监管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eastAsia"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color="auto" w:fill="FFFFFF"/>
          <w:vertAlign w:val="baseline"/>
          <w:lang w:val="en-US" w:eastAsia="zh-CN" w:bidi="ar"/>
        </w:rPr>
        <w:t>四、公共服务事项</w:t>
      </w:r>
    </w:p>
    <w:p>
      <w:pPr/>
    </w:p>
    <w:p>
      <w:pPr>
        <w:pStyle w:val="2"/>
      </w:pPr>
    </w:p>
    <w:p>
      <w:pPr/>
    </w:p>
    <w:p>
      <w:pPr>
        <w:pStyle w:val="2"/>
      </w:pPr>
    </w:p>
    <w:p>
      <w:pPr/>
    </w:p>
    <w:p>
      <w:pPr>
        <w:pStyle w:val="2"/>
      </w:pPr>
    </w:p>
    <w:p>
      <w:pPr/>
    </w:p>
    <w:p>
      <w:pPr>
        <w:pStyle w:val="2"/>
      </w:pPr>
    </w:p>
    <w:p>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黑体" w:hAnsi="宋体" w:eastAsia="黑体" w:cs="黑体"/>
          <w:b w:val="0"/>
          <w:i w:val="0"/>
          <w:caps w:val="0"/>
          <w:color w:val="000000"/>
          <w:spacing w:val="0"/>
          <w:kern w:val="0"/>
          <w:sz w:val="32"/>
          <w:szCs w:val="32"/>
          <w:shd w:val="clear" w:color="auto" w:fill="FFFFFF"/>
          <w:vertAlign w:val="baseline"/>
          <w:lang w:val="en-US" w:eastAsia="zh-CN" w:bidi="ar"/>
        </w:rPr>
      </w:pPr>
      <w:r>
        <w:rPr>
          <w:rFonts w:hint="default" w:ascii="黑体" w:hAnsi="宋体" w:eastAsia="黑体" w:cs="黑体"/>
          <w:b w:val="0"/>
          <w:i w:val="0"/>
          <w:caps w:val="0"/>
          <w:color w:val="000000"/>
          <w:spacing w:val="0"/>
          <w:kern w:val="0"/>
          <w:sz w:val="32"/>
          <w:szCs w:val="32"/>
          <w:shd w:val="clear" w:color="auto" w:fill="FFFFFF"/>
          <w:vertAlign w:val="baseline"/>
          <w:lang w:val="en-US" w:eastAsia="zh-CN" w:bidi="ar"/>
        </w:rPr>
        <w:t>与相关部门的职责边界</w:t>
      </w:r>
      <w:r>
        <w:rPr>
          <w:rFonts w:hint="eastAsia" w:ascii="黑体" w:hAnsi="宋体" w:eastAsia="黑体" w:cs="黑体"/>
          <w:b w:val="0"/>
          <w:i w:val="0"/>
          <w:caps w:val="0"/>
          <w:color w:val="000000"/>
          <w:spacing w:val="0"/>
          <w:kern w:val="0"/>
          <w:sz w:val="32"/>
          <w:szCs w:val="32"/>
          <w:shd w:val="clear" w:color="auto" w:fill="FFFFFF"/>
          <w:vertAlign w:val="baseline"/>
          <w:lang w:val="en-US" w:eastAsia="zh-CN" w:bidi="ar"/>
        </w:rPr>
        <w:t>登记</w:t>
      </w:r>
      <w:r>
        <w:rPr>
          <w:rFonts w:hint="default" w:ascii="黑体" w:hAnsi="宋体" w:eastAsia="黑体" w:cs="黑体"/>
          <w:b w:val="0"/>
          <w:i w:val="0"/>
          <w:caps w:val="0"/>
          <w:color w:val="000000"/>
          <w:spacing w:val="0"/>
          <w:kern w:val="0"/>
          <w:sz w:val="32"/>
          <w:szCs w:val="32"/>
          <w:shd w:val="clear" w:color="auto" w:fill="FFFFFF"/>
          <w:vertAlign w:val="baseline"/>
          <w:lang w:val="en-US" w:eastAsia="zh-CN" w:bidi="ar"/>
        </w:rPr>
        <w:t>表</w:t>
      </w:r>
    </w:p>
    <w:p>
      <w:pPr>
        <w:pStyle w:val="2"/>
        <w:numPr>
          <w:numId w:val="0"/>
        </w:numPr>
        <w:rPr>
          <w:rFonts w:hint="eastAsia"/>
          <w:lang w:val="en-US" w:eastAsia="zh-CN"/>
        </w:rPr>
      </w:pPr>
    </w:p>
    <w:tbl>
      <w:tblPr>
        <w:tblStyle w:val="8"/>
        <w:tblW w:w="9088" w:type="dxa"/>
        <w:jc w:val="center"/>
        <w:tblInd w:w="28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38"/>
        <w:gridCol w:w="865"/>
        <w:gridCol w:w="750"/>
        <w:gridCol w:w="2294"/>
        <w:gridCol w:w="2085"/>
        <w:gridCol w:w="25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40" w:hRule="atLeast"/>
          <w:jc w:val="center"/>
        </w:trPr>
        <w:tc>
          <w:tcPr>
            <w:tcW w:w="538"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 序号</w:t>
            </w:r>
          </w:p>
        </w:tc>
        <w:tc>
          <w:tcPr>
            <w:tcW w:w="865"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事项</w:t>
            </w:r>
          </w:p>
        </w:tc>
        <w:tc>
          <w:tcPr>
            <w:tcW w:w="750"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相关部门</w:t>
            </w:r>
          </w:p>
        </w:tc>
        <w:tc>
          <w:tcPr>
            <w:tcW w:w="2294"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职责分工</w:t>
            </w:r>
          </w:p>
        </w:tc>
        <w:tc>
          <w:tcPr>
            <w:tcW w:w="2085"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相关依据</w:t>
            </w:r>
          </w:p>
        </w:tc>
        <w:tc>
          <w:tcPr>
            <w:tcW w:w="2556" w:type="dxa"/>
            <w:shd w:val="clear" w:color="auto" w:fill="F3F3F3"/>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案例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651" w:hRule="atLeast"/>
          <w:jc w:val="center"/>
        </w:trPr>
        <w:tc>
          <w:tcPr>
            <w:tcW w:w="538"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p>
        </w:tc>
        <w:tc>
          <w:tcPr>
            <w:tcW w:w="865"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招标投标工作</w:t>
            </w: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指导和协调全区招标投标工作</w:t>
            </w:r>
          </w:p>
        </w:tc>
        <w:tc>
          <w:tcPr>
            <w:tcW w:w="2085"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1．《中华人民共和国招标投标法实施条例》（国务院令2011年第613号）；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2．《关于国务院有关部门实施招标投标活动行政监督的职责分工的意见》（国办发〔2000〕34号）；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3．《海南省人民政府关于集中规范开展招标投标活动的意见》（琼府〔2008〕85）号）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政府工程建设项目在区发改委办理核准手续，在项目核准时，区发改委一并将改项目的招标事项核准为委托公开招标。项目单位依据核准文件，委托招标代理机构编制招标文件后想同级建设部门办理设计、施工招标的备案手续，招标文件备案完成后，在市招标投标监管网发布招标公告。按照公告制定的时间，在建设部门的监督下按规定程序开标、抽取专家进行评标。项目中涉及的医疗设备、器械采购，在同级卫生主管部门办理备案和监督手续，按同样程序进行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区审计局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负责对招标投标项目有关的投资管理和资金运行情况实施审计监督</w:t>
            </w:r>
          </w:p>
        </w:tc>
        <w:tc>
          <w:tcPr>
            <w:tcW w:w="208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负责对本区范围内党政机关、事业单位和团体组织使用财政性资金采购集中采购目录以内或者采购限额标准以上的货物、服务和工程的招标投标活动实施监管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区住建局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依法对本区范围内房屋建筑工程和市政基础设施项目招标投标活动实施备案监管。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820"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vMerge w:val="continue"/>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负责对本区范围内的公路、公路桥梁、公路隧道及其附属设施，水上交通运输辅助业以及其他交通业工程项目的招标投标活动实施备案及监管。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区水务局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负责水利工程招标投标工作。</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538"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w:t>
            </w:r>
          </w:p>
        </w:tc>
        <w:tc>
          <w:tcPr>
            <w:tcW w:w="865"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可行性研究报告评审、初步设计及概算评审</w:t>
            </w: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牵头组织联合评估评审。</w:t>
            </w:r>
          </w:p>
        </w:tc>
        <w:tc>
          <w:tcPr>
            <w:tcW w:w="2085"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《海南省建设工程专项评估评审改革措施》（琼府〔2014〕56）号）</w:t>
            </w:r>
          </w:p>
        </w:tc>
        <w:tc>
          <w:tcPr>
            <w:tcW w:w="2556" w:type="dxa"/>
            <w:vMerge w:val="restart"/>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某区旅游文体局申请建设游泳馆，总投资金额3000万以上：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业主委托具备相应资质的公司编制初步设计及概算书，并向区发改委申请评审报批。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区发改委委托第三方咨询公司召开专家评审会对初步设计及概算书书进行评审，专家及区住建等相关部门参加评审并提出书面审查意见，待编制单位修编完善后，出具评审报告。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业主单位向区发改委申请批复。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 xml:space="preserve">办结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114"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项目主管部门</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参与并出具书面审查意见。</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979" w:hRule="atLeast"/>
          <w:jc w:val="center"/>
        </w:trPr>
        <w:tc>
          <w:tcPr>
            <w:tcW w:w="53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w:t>
            </w:r>
          </w:p>
        </w:tc>
        <w:tc>
          <w:tcPr>
            <w:tcW w:w="86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市县评级和未评级公办幼儿园收费标准制定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区发改委</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制定或调整市县评级和未评级公办幼儿园保育教育费收费标准，并实施监管。</w:t>
            </w:r>
          </w:p>
        </w:tc>
        <w:tc>
          <w:tcPr>
            <w:tcW w:w="208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 xml:space="preserve">【规范性文件】海南省物价局、财政厅、教育厅《关于我省幼儿园收费项目和收费标准等有关事项的通知》（琼价费管〔2015〕206号） </w:t>
            </w:r>
          </w:p>
        </w:tc>
        <w:tc>
          <w:tcPr>
            <w:tcW w:w="2556"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某市一级公办幼儿园申请保育教育费收费标准，区发改委提出审批意见后，送区财政局、教区育局会签，并联合区财政局、区教育局下发通知。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19"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区教育局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协助制定和调整非省示范和省一级公办幼儿园保育教育费收费标准，并实施监管。</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94" w:hRule="atLeast"/>
          <w:jc w:val="center"/>
        </w:trPr>
        <w:tc>
          <w:tcPr>
            <w:tcW w:w="53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6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750"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区财政局</w:t>
            </w:r>
          </w:p>
        </w:tc>
        <w:tc>
          <w:tcPr>
            <w:tcW w:w="2294" w:type="dxa"/>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协助制定或调整非省示范和省一级公办幼儿园保育教育费收费标准，对收支两条线实施管理。</w:t>
            </w:r>
          </w:p>
        </w:tc>
        <w:tc>
          <w:tcPr>
            <w:tcW w:w="208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556"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Arial" w:eastAsia="仿宋_GB2312" w:cs="Arial"/>
          <w:color w:val="000000"/>
          <w:kern w:val="0"/>
          <w:szCs w:val="21"/>
        </w:rPr>
      </w:pPr>
      <w:r>
        <w:rPr>
          <w:rFonts w:hint="eastAsia" w:ascii="仿宋_GB2312" w:hAnsi="微软雅黑" w:eastAsia="仿宋_GB2312" w:cs="仿宋_GB2312"/>
          <w:kern w:val="0"/>
          <w:sz w:val="24"/>
          <w:szCs w:val="24"/>
          <w:vertAlign w:val="baseline"/>
          <w:lang w:val="en-US" w:eastAsia="zh-CN" w:bidi="ar"/>
        </w:rPr>
        <w:t> </w:t>
      </w:r>
    </w:p>
    <w:p>
      <w:pPr>
        <w:pageBreakBefore w:val="0"/>
        <w:widowControl/>
        <w:shd w:val="clear" w:color="auto" w:fill="FFFFFF"/>
        <w:kinsoku/>
        <w:wordWrap/>
        <w:overflowPunct/>
        <w:topLinePunct w:val="0"/>
        <w:autoSpaceDE/>
        <w:autoSpaceDN/>
        <w:bidi w:val="0"/>
        <w:adjustRightInd/>
        <w:snapToGrid/>
        <w:spacing w:line="578" w:lineRule="exact"/>
        <w:jc w:val="both"/>
        <w:rPr>
          <w:rFonts w:hint="eastAsia" w:ascii="黑体" w:hAnsi="黑体" w:eastAsia="黑体" w:cs="Arial"/>
          <w:color w:val="000000"/>
          <w:kern w:val="0"/>
          <w:sz w:val="30"/>
          <w:szCs w:val="30"/>
        </w:rPr>
      </w:pPr>
    </w:p>
    <w:p>
      <w:pPr>
        <w:pageBreakBefore w:val="0"/>
        <w:widowControl/>
        <w:shd w:val="clear" w:color="auto" w:fill="FFFFFF"/>
        <w:kinsoku/>
        <w:wordWrap/>
        <w:overflowPunct/>
        <w:topLinePunct w:val="0"/>
        <w:autoSpaceDE/>
        <w:autoSpaceDN/>
        <w:bidi w:val="0"/>
        <w:adjustRightInd/>
        <w:snapToGrid/>
        <w:spacing w:line="578" w:lineRule="exact"/>
        <w:jc w:val="center"/>
        <w:rPr>
          <w:rFonts w:hint="eastAsia" w:ascii="黑体" w:hAnsi="黑体" w:eastAsia="黑体" w:cs="Arial"/>
          <w:color w:val="000000"/>
          <w:kern w:val="0"/>
          <w:sz w:val="30"/>
          <w:szCs w:val="30"/>
        </w:rPr>
      </w:pPr>
    </w:p>
    <w:p>
      <w:pPr>
        <w:spacing w:line="578" w:lineRule="exact"/>
        <w:jc w:val="both"/>
        <w:rPr>
          <w:rFonts w:hint="eastAsia" w:ascii="黑体" w:hAnsi="黑体" w:eastAsia="黑体" w:cs="Arial"/>
          <w:color w:val="000000"/>
          <w:kern w:val="0"/>
          <w:sz w:val="30"/>
          <w:szCs w:val="30"/>
        </w:rPr>
      </w:pPr>
    </w:p>
    <w:p>
      <w:pPr>
        <w:spacing w:line="578" w:lineRule="exact"/>
        <w:jc w:val="center"/>
        <w:rPr>
          <w:rFonts w:hint="default" w:ascii="Times New Roman" w:hAnsi="Times New Roman" w:cs="Times New Roman" w:eastAsiaTheme="minorEastAsia"/>
          <w:bCs/>
          <w:color w:val="000000" w:themeColor="text1"/>
          <w:kern w:val="0"/>
          <w:szCs w:val="32"/>
          <w14:textFill>
            <w14:solidFill>
              <w14:schemeClr w14:val="tx1"/>
            </w14:solidFill>
          </w14:textFill>
        </w:rPr>
      </w:pPr>
      <w:bookmarkStart w:id="0" w:name="_GoBack"/>
      <w:bookmarkEnd w:id="0"/>
      <w:r>
        <w:rPr>
          <w:rFonts w:hint="eastAsia" w:ascii="黑体" w:hAnsi="黑体" w:eastAsia="黑体" w:cs="Arial"/>
          <w:color w:val="000000"/>
          <w:kern w:val="0"/>
          <w:sz w:val="30"/>
          <w:szCs w:val="30"/>
        </w:rPr>
        <w:t>三、</w:t>
      </w:r>
      <w:r>
        <w:rPr>
          <w:rFonts w:hint="default" w:ascii="Times New Roman" w:hAnsi="Times New Roman" w:cs="Times New Roman" w:eastAsiaTheme="minorEastAsia"/>
          <w:bCs/>
          <w:color w:val="000000" w:themeColor="text1"/>
          <w:kern w:val="0"/>
          <w:szCs w:val="32"/>
          <w14:textFill>
            <w14:solidFill>
              <w14:schemeClr w14:val="tx1"/>
            </w14:solidFill>
          </w14:textFill>
        </w:rPr>
        <w:t>事中事后监管制度</w:t>
      </w:r>
    </w:p>
    <w:p>
      <w:pPr>
        <w:pageBreakBefore w:val="0"/>
        <w:widowControl/>
        <w:shd w:val="clear" w:color="auto" w:fill="FFFFFF"/>
        <w:kinsoku/>
        <w:wordWrap/>
        <w:overflowPunct/>
        <w:topLinePunct w:val="0"/>
        <w:autoSpaceDE/>
        <w:autoSpaceDN/>
        <w:bidi w:val="0"/>
        <w:adjustRightInd/>
        <w:snapToGrid/>
        <w:spacing w:line="578" w:lineRule="exact"/>
        <w:jc w:val="center"/>
        <w:rPr>
          <w:rFonts w:ascii="Arial" w:hAnsi="Arial" w:cs="Arial"/>
          <w:color w:val="000000"/>
          <w:kern w:val="0"/>
          <w:sz w:val="24"/>
        </w:rPr>
      </w:pPr>
      <w:r>
        <w:rPr>
          <w:rFonts w:ascii="宋体" w:hAnsi="宋体" w:cs="Arial"/>
          <w:color w:val="000000"/>
          <w:kern w:val="0"/>
          <w:sz w:val="30"/>
          <w:szCs w:val="30"/>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t>（一）投资项目审批监管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1</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项目申报单位、行业管理部门、项目单位、中介机构。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2.监督检查内容</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项目的合法性及报批或报核程序执行情况：</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（1）项目建议书及可研报告（或项目申请报告）编制是否符合规范并达到深度要求；</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w:t>
      </w:r>
      <w:r>
        <w:rPr>
          <w:rFonts w:hint="eastAsia" w:ascii="仿宋_GB2312" w:hAnsi="Calibri" w:eastAsia="仿宋_GB2312" w:cs="Arial"/>
          <w:color w:val="000000"/>
          <w:kern w:val="0"/>
          <w:sz w:val="30"/>
          <w:szCs w:val="30"/>
          <w:lang w:val="en-US" w:eastAsia="zh-CN"/>
        </w:rPr>
        <w:t>2</w:t>
      </w:r>
      <w:r>
        <w:rPr>
          <w:rFonts w:hint="eastAsia" w:ascii="仿宋_GB2312" w:hAnsi="Calibri" w:eastAsia="仿宋_GB2312" w:cs="Arial"/>
          <w:color w:val="000000"/>
          <w:kern w:val="0"/>
          <w:sz w:val="30"/>
          <w:szCs w:val="30"/>
        </w:rPr>
        <w:t>）党委、政府及项目主管部门的决策情况，包括有关项目建设的决定、会议纪要及其它文件情况；</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w:t>
      </w:r>
      <w:r>
        <w:rPr>
          <w:rFonts w:hint="eastAsia" w:ascii="仿宋_GB2312" w:hAnsi="Calibri" w:eastAsia="仿宋_GB2312" w:cs="Arial"/>
          <w:color w:val="000000"/>
          <w:kern w:val="0"/>
          <w:sz w:val="30"/>
          <w:szCs w:val="30"/>
          <w:lang w:val="en-US" w:eastAsia="zh-CN"/>
        </w:rPr>
        <w:t>3</w:t>
      </w:r>
      <w:r>
        <w:rPr>
          <w:rFonts w:hint="eastAsia" w:ascii="仿宋_GB2312" w:hAnsi="Calibri" w:eastAsia="仿宋_GB2312" w:cs="Arial"/>
          <w:color w:val="000000"/>
          <w:kern w:val="0"/>
          <w:sz w:val="30"/>
          <w:szCs w:val="30"/>
        </w:rPr>
        <w:t>）项目建议书及可研批复或项目申请报告核准是否符合程序规范。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3.监督检查方式</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采取不定期</w:t>
      </w:r>
      <w:r>
        <w:rPr>
          <w:rFonts w:hint="eastAsia" w:ascii="仿宋_GB2312" w:hAnsi="Calibri" w:eastAsia="仿宋_GB2312" w:cs="Arial"/>
          <w:color w:val="000000"/>
          <w:kern w:val="0"/>
          <w:sz w:val="30"/>
          <w:szCs w:val="30"/>
          <w:lang w:eastAsia="zh-CN"/>
        </w:rPr>
        <w:t>抽</w:t>
      </w:r>
      <w:r>
        <w:rPr>
          <w:rFonts w:hint="eastAsia" w:ascii="仿宋_GB2312" w:hAnsi="Calibri" w:eastAsia="仿宋_GB2312" w:cs="Arial"/>
          <w:color w:val="000000"/>
          <w:kern w:val="0"/>
          <w:sz w:val="30"/>
          <w:szCs w:val="30"/>
        </w:rPr>
        <w:t>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4.监督检查措施</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不定期</w:t>
      </w:r>
      <w:r>
        <w:rPr>
          <w:rFonts w:hint="eastAsia" w:ascii="仿宋_GB2312" w:hAnsi="Calibri" w:eastAsia="仿宋_GB2312" w:cs="Arial"/>
          <w:color w:val="000000"/>
          <w:kern w:val="0"/>
          <w:sz w:val="30"/>
          <w:szCs w:val="30"/>
          <w:lang w:eastAsia="zh-CN"/>
        </w:rPr>
        <w:t>抽</w:t>
      </w:r>
      <w:r>
        <w:rPr>
          <w:rFonts w:hint="eastAsia" w:ascii="仿宋_GB2312" w:hAnsi="Calibri" w:eastAsia="仿宋_GB2312" w:cs="Arial"/>
          <w:color w:val="000000"/>
          <w:kern w:val="0"/>
          <w:sz w:val="30"/>
          <w:szCs w:val="30"/>
        </w:rPr>
        <w:t>查，根据上级工作部署、投诉举报及领导指示等实际需要组织检查，通常采用抽查、暗查、交叉检查等方式。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5.监督检查程序</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项目监督检查要先行制定科学的检查方案，通常按以下程序进行：</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 xml:space="preserve">    </w:t>
      </w:r>
      <w:r>
        <w:rPr>
          <w:rFonts w:hint="eastAsia" w:ascii="仿宋_GB2312" w:hAnsi="Calibri" w:eastAsia="仿宋_GB2312" w:cs="Arial"/>
          <w:color w:val="000000"/>
          <w:kern w:val="0"/>
          <w:sz w:val="30"/>
          <w:szCs w:val="30"/>
        </w:rPr>
        <w:t>选择检查对象；</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 xml:space="preserve"> </w:t>
      </w:r>
      <w:r>
        <w:rPr>
          <w:rFonts w:hint="eastAsia" w:ascii="仿宋_GB2312" w:hAnsi="Calibri" w:eastAsia="仿宋_GB2312" w:cs="Arial"/>
          <w:color w:val="000000"/>
          <w:kern w:val="0"/>
          <w:sz w:val="30"/>
          <w:szCs w:val="30"/>
        </w:rPr>
        <w:t>听取介绍；</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查阅台帐；</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实地勘察；</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面谈询问；</w:t>
      </w:r>
    </w:p>
    <w:p>
      <w:pPr>
        <w:pageBreakBefore w:val="0"/>
        <w:widowControl/>
        <w:numPr>
          <w:ilvl w:val="0"/>
          <w:numId w:val="2"/>
        </w:numPr>
        <w:shd w:val="clear" w:color="auto" w:fill="FFFFFF"/>
        <w:kinsoku/>
        <w:wordWrap/>
        <w:overflowPunct/>
        <w:topLinePunct w:val="0"/>
        <w:autoSpaceDE/>
        <w:autoSpaceDN/>
        <w:bidi w:val="0"/>
        <w:adjustRightInd/>
        <w:snapToGrid/>
        <w:spacing w:line="578" w:lineRule="exact"/>
        <w:ind w:left="420" w:leftChars="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情况汇总；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6.监督检查处理</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对违法违规行为，分别对相对人进行以下处置：</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（1）依法不予审批、核准、备案；</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（2）依法撤销审批、核准、备案文件；</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Calibri" w:eastAsia="仿宋_GB2312" w:cs="Arial"/>
          <w:color w:val="000000"/>
          <w:kern w:val="0"/>
          <w:sz w:val="30"/>
          <w:szCs w:val="30"/>
        </w:rPr>
      </w:pPr>
      <w:r>
        <w:rPr>
          <w:rFonts w:hint="eastAsia" w:ascii="Calibri" w:hAnsi="Calibri" w:eastAsia="仿宋_GB2312" w:cs="Arial"/>
          <w:color w:val="000000"/>
          <w:kern w:val="0"/>
          <w:sz w:val="30"/>
          <w:szCs w:val="30"/>
        </w:rPr>
        <w:t>（</w:t>
      </w:r>
      <w:r>
        <w:rPr>
          <w:rFonts w:hint="eastAsia" w:ascii="Calibri" w:hAnsi="Calibri" w:eastAsia="仿宋_GB2312" w:cs="Arial"/>
          <w:color w:val="000000"/>
          <w:kern w:val="0"/>
          <w:sz w:val="30"/>
          <w:szCs w:val="30"/>
          <w:lang w:val="en-US" w:eastAsia="zh-CN"/>
        </w:rPr>
        <w:t>3</w:t>
      </w:r>
      <w:r>
        <w:rPr>
          <w:rFonts w:hint="eastAsia" w:ascii="Calibri" w:hAnsi="Calibri" w:eastAsia="仿宋_GB2312" w:cs="Arial"/>
          <w:color w:val="000000"/>
          <w:kern w:val="0"/>
          <w:sz w:val="30"/>
          <w:szCs w:val="30"/>
        </w:rPr>
        <w:t>）依法纳入不良信用记录</w:t>
      </w:r>
      <w:r>
        <w:rPr>
          <w:rFonts w:hint="eastAsia" w:ascii="Calibri" w:hAnsi="Calibri" w:eastAsia="仿宋_GB2312" w:cs="Arial"/>
          <w:color w:val="000000"/>
          <w:kern w:val="0"/>
          <w:sz w:val="30"/>
          <w:szCs w:val="30"/>
          <w:lang w:eastAsia="zh-CN"/>
        </w:rPr>
        <w:t>等</w:t>
      </w:r>
      <w:r>
        <w:rPr>
          <w:rFonts w:hint="eastAsia" w:ascii="仿宋_GB2312" w:hAnsi="Calibri" w:eastAsia="仿宋_GB2312" w:cs="Arial"/>
          <w:color w:val="000000"/>
          <w:kern w:val="0"/>
          <w:sz w:val="30"/>
          <w:szCs w:val="30"/>
        </w:rPr>
        <w:t>。</w:t>
      </w: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t>（二）工程初步设计和概算审批监管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1</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区发改</w:t>
      </w:r>
      <w:r>
        <w:rPr>
          <w:rFonts w:hint="eastAsia" w:ascii="Calibri" w:hAnsi="Calibri" w:eastAsia="仿宋_GB2312" w:cs="Arial"/>
          <w:color w:val="000000"/>
          <w:kern w:val="0"/>
          <w:sz w:val="30"/>
          <w:szCs w:val="30"/>
          <w:lang w:eastAsia="zh-CN"/>
        </w:rPr>
        <w:t>委</w:t>
      </w:r>
      <w:r>
        <w:rPr>
          <w:rFonts w:hint="eastAsia" w:ascii="Calibri" w:hAnsi="Calibri" w:eastAsia="仿宋_GB2312" w:cs="Arial"/>
          <w:color w:val="000000"/>
          <w:kern w:val="0"/>
          <w:sz w:val="30"/>
          <w:szCs w:val="30"/>
        </w:rPr>
        <w:t>审批的政府投资项目业主单位（建设单位）和区发改</w:t>
      </w:r>
      <w:r>
        <w:rPr>
          <w:rFonts w:hint="eastAsia" w:ascii="Calibri" w:hAnsi="Calibri" w:eastAsia="仿宋_GB2312" w:cs="Arial"/>
          <w:color w:val="000000"/>
          <w:kern w:val="0"/>
          <w:sz w:val="30"/>
          <w:szCs w:val="30"/>
          <w:lang w:eastAsia="zh-CN"/>
        </w:rPr>
        <w:t>委</w:t>
      </w:r>
      <w:r>
        <w:rPr>
          <w:rFonts w:hint="eastAsia" w:ascii="Calibri" w:hAnsi="Calibri" w:eastAsia="仿宋_GB2312" w:cs="Arial"/>
          <w:color w:val="000000"/>
          <w:kern w:val="0"/>
          <w:sz w:val="30"/>
          <w:szCs w:val="30"/>
        </w:rPr>
        <w:t>核准的企业投资项目业主单位（建设单位）。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2.监督检查内容</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初步设计批复的建设规模和内容、技术标准、概算。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3.监督检查方式</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Calibri" w:hAnsi="Calibri" w:eastAsia="仿宋_GB2312" w:cs="Arial"/>
          <w:color w:val="000000"/>
          <w:kern w:val="0"/>
          <w:sz w:val="30"/>
          <w:szCs w:val="30"/>
        </w:rPr>
      </w:pPr>
      <w:r>
        <w:rPr>
          <w:rFonts w:hint="eastAsia" w:ascii="Calibri" w:hAnsi="Calibri" w:eastAsia="仿宋_GB2312" w:cs="Arial"/>
          <w:color w:val="000000"/>
          <w:kern w:val="0"/>
          <w:sz w:val="30"/>
          <w:szCs w:val="30"/>
        </w:rPr>
        <w:t>初步设计变更、概算调整审批监管；组织竣工验收和后评价</w:t>
      </w:r>
      <w:r>
        <w:rPr>
          <w:rFonts w:hint="eastAsia" w:ascii="Calibri" w:hAnsi="Calibri" w:eastAsia="仿宋_GB2312" w:cs="Arial"/>
          <w:color w:val="000000"/>
          <w:kern w:val="0"/>
          <w:sz w:val="30"/>
          <w:szCs w:val="30"/>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4.监督检查措施</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Calibri" w:hAnsi="Calibri" w:eastAsia="仿宋_GB2312" w:cs="Arial"/>
          <w:color w:val="000000"/>
          <w:kern w:val="0"/>
          <w:sz w:val="30"/>
          <w:szCs w:val="30"/>
        </w:rPr>
      </w:pPr>
      <w:r>
        <w:rPr>
          <w:rFonts w:hint="eastAsia" w:ascii="Calibri" w:hAnsi="Calibri" w:eastAsia="仿宋_GB2312" w:cs="Arial"/>
          <w:color w:val="000000"/>
          <w:kern w:val="0"/>
          <w:sz w:val="30"/>
          <w:szCs w:val="30"/>
        </w:rPr>
        <w:t>调阅文件资料；检查项目投资、进度、质量安全等实施情况；组织开展项目竣工验收工作；对申请调整概算项目，按《三亚市政府投资建设项目设计变更管理规定》办理概算调整。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5.监督检查程序</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1、</w:t>
      </w:r>
      <w:r>
        <w:rPr>
          <w:rFonts w:hint="eastAsia" w:ascii="仿宋_GB2312" w:hAnsi="Calibri" w:eastAsia="仿宋_GB2312" w:cs="Arial"/>
          <w:color w:val="000000"/>
          <w:kern w:val="0"/>
          <w:sz w:val="30"/>
          <w:szCs w:val="30"/>
        </w:rPr>
        <w:t>备案招标文件、招投标情况、中标合同：按照规定，由招标人在招标文件发出前、中标通知书发出后、合同签订后提出备案申请，备案机关对有关内容进行检查核对，出具备案意见。</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2、</w:t>
      </w:r>
      <w:r>
        <w:rPr>
          <w:rFonts w:hint="eastAsia" w:ascii="仿宋_GB2312" w:hAnsi="Calibri" w:eastAsia="仿宋_GB2312" w:cs="Arial"/>
          <w:color w:val="000000"/>
          <w:kern w:val="0"/>
          <w:sz w:val="30"/>
          <w:szCs w:val="30"/>
        </w:rPr>
        <w:t>检查。确定项目名单，组织检查小组，通过听取情况介绍、实地查验、调查取证等方式实施检查，提出并反馈检查意见。</w:t>
      </w:r>
    </w:p>
    <w:p>
      <w:pPr>
        <w:pageBreakBefore w:val="0"/>
        <w:widowControl/>
        <w:numPr>
          <w:ilvl w:val="0"/>
          <w:numId w:val="0"/>
        </w:numPr>
        <w:shd w:val="clear" w:color="auto" w:fill="FFFFFF"/>
        <w:kinsoku/>
        <w:wordWrap/>
        <w:overflowPunct/>
        <w:topLinePunct w:val="0"/>
        <w:autoSpaceDE/>
        <w:autoSpaceDN/>
        <w:bidi w:val="0"/>
        <w:adjustRightInd/>
        <w:snapToGrid/>
        <w:spacing w:line="578" w:lineRule="exact"/>
        <w:ind w:firstLine="600" w:firstLineChars="2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lang w:val="en-US" w:eastAsia="zh-CN"/>
        </w:rPr>
        <w:t>3、</w:t>
      </w:r>
      <w:r>
        <w:rPr>
          <w:rFonts w:hint="eastAsia" w:ascii="仿宋_GB2312" w:hAnsi="Calibri" w:eastAsia="仿宋_GB2312" w:cs="Arial"/>
          <w:color w:val="000000"/>
          <w:kern w:val="0"/>
          <w:sz w:val="30"/>
          <w:szCs w:val="30"/>
        </w:rPr>
        <w:t>竣工验收：项目单位提出竣工验收申请，组织召开竣工验收审查会议、成立验收专家组，通过听取有关情况介绍、项目现场查看、查验有关资料等方式对项目的初步设计及概算执行情况进行审查，出具工程竣工验收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6.监督检查处理</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（1）对检查中发现的问题，提出整改措施，责令有关单位限期整改，违反有关法律、法规规定的，按照有关法律法规进行相应的处罚。</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Calibri" w:hAnsi="Calibri" w:eastAsia="仿宋_GB2312" w:cs="Arial"/>
          <w:color w:val="000000"/>
          <w:kern w:val="0"/>
          <w:sz w:val="30"/>
          <w:szCs w:val="30"/>
        </w:rPr>
      </w:pPr>
      <w:r>
        <w:rPr>
          <w:rFonts w:hint="eastAsia" w:ascii="Calibri" w:hAnsi="Calibri" w:eastAsia="仿宋_GB2312" w:cs="Arial"/>
          <w:color w:val="000000"/>
          <w:kern w:val="0"/>
          <w:sz w:val="30"/>
          <w:szCs w:val="30"/>
        </w:rPr>
        <w:t>（2）对竣工验收中发现的问题，在《验收意见书》中提出整改意见；对违反基本建设管理规定的，视情节轻重作出处理决定。</w:t>
      </w: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color="auto" w:fill="FFFFFF"/>
          <w:vertAlign w:val="baseline"/>
          <w:lang w:val="en-US" w:eastAsia="zh-CN" w:bidi="ar"/>
        </w:rPr>
        <w:t>（三）招投标活动监管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1</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Calibri" w:eastAsia="仿宋_GB2312" w:cs="Arial"/>
          <w:color w:val="000000"/>
          <w:kern w:val="0"/>
          <w:sz w:val="30"/>
          <w:szCs w:val="30"/>
          <w:lang w:eastAsia="zh-CN"/>
        </w:rPr>
      </w:pPr>
      <w:r>
        <w:rPr>
          <w:rFonts w:hint="eastAsia" w:ascii="仿宋_GB2312" w:hAnsi="Calibri" w:eastAsia="仿宋_GB2312" w:cs="Arial"/>
          <w:color w:val="000000"/>
          <w:kern w:val="0"/>
          <w:sz w:val="30"/>
          <w:szCs w:val="30"/>
        </w:rPr>
        <w:t>招标投标各方主体，有关行政监督部门</w:t>
      </w:r>
      <w:r>
        <w:rPr>
          <w:rFonts w:hint="eastAsia" w:ascii="仿宋_GB2312" w:hAnsi="Calibri" w:eastAsia="仿宋_GB2312" w:cs="Arial"/>
          <w:color w:val="000000"/>
          <w:kern w:val="0"/>
          <w:sz w:val="30"/>
          <w:szCs w:val="30"/>
          <w:lang w:eastAsia="zh-CN"/>
        </w:rPr>
        <w:t>。</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2</w:t>
      </w:r>
      <w:r>
        <w:rPr>
          <w:rFonts w:hint="eastAsia" w:ascii="仿宋_GB2312" w:hAnsi="仿宋_GB2312" w:cs="仿宋_GB2312"/>
          <w:b/>
          <w:bCs/>
          <w:i w:val="0"/>
          <w:caps w:val="0"/>
          <w:color w:val="333333"/>
          <w:spacing w:val="0"/>
          <w:kern w:val="0"/>
          <w:sz w:val="32"/>
          <w:szCs w:val="32"/>
          <w:shd w:val="clear" w:color="auto" w:fill="FFFFFF"/>
          <w:vertAlign w:val="baseline"/>
          <w:lang w:val="en-US" w:eastAsia="zh-CN" w:bidi="ar"/>
        </w:rPr>
        <w:t>.</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监督检查内容</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仿宋_GB2312" w:hAnsi="Calibri" w:eastAsia="仿宋_GB2312" w:cs="Arial"/>
          <w:color w:val="000000"/>
          <w:kern w:val="0"/>
          <w:sz w:val="30"/>
          <w:szCs w:val="30"/>
        </w:rPr>
        <w:t>招标投标活动资料、中标合同及标后履约情况</w:t>
      </w:r>
      <w:r>
        <w:rPr>
          <w:rFonts w:ascii="Calibri" w:hAnsi="Calibri" w:cs="Arial"/>
          <w:color w:val="000000"/>
          <w:kern w:val="0"/>
          <w:sz w:val="30"/>
          <w:szCs w:val="30"/>
        </w:rPr>
        <w:t>;</w:t>
      </w:r>
      <w:r>
        <w:rPr>
          <w:rFonts w:ascii="Calibri" w:hAnsi="Calibri" w:cs="Arial"/>
          <w:color w:val="000000"/>
          <w:kern w:val="0"/>
          <w:sz w:val="30"/>
        </w:rPr>
        <w:t> </w:t>
      </w:r>
      <w:r>
        <w:rPr>
          <w:rFonts w:hint="eastAsia" w:ascii="仿宋_GB2312" w:hAnsi="Calibri" w:eastAsia="仿宋_GB2312" w:cs="Arial"/>
          <w:color w:val="000000"/>
          <w:kern w:val="0"/>
          <w:sz w:val="30"/>
          <w:szCs w:val="30"/>
        </w:rPr>
        <w:t>招标事项核准意见表，招标投标活动备案管理、投诉处理、监督执法、法制建设等情况；交易场所标准化规范化管理等。</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3.监督检查方式</w:t>
      </w:r>
    </w:p>
    <w:p>
      <w:pPr>
        <w:pageBreakBefore w:val="0"/>
        <w:widowControl/>
        <w:shd w:val="clear" w:color="auto" w:fill="FFFFFF"/>
        <w:kinsoku/>
        <w:wordWrap/>
        <w:overflowPunct/>
        <w:topLinePunct w:val="0"/>
        <w:autoSpaceDE/>
        <w:autoSpaceDN/>
        <w:bidi w:val="0"/>
        <w:adjustRightInd/>
        <w:snapToGrid/>
        <w:spacing w:line="578" w:lineRule="exact"/>
        <w:ind w:firstLine="560"/>
        <w:jc w:val="left"/>
        <w:rPr>
          <w:rFonts w:ascii="Arial" w:hAnsi="Arial" w:cs="Arial"/>
          <w:color w:val="000000"/>
          <w:kern w:val="0"/>
          <w:sz w:val="24"/>
        </w:rPr>
      </w:pPr>
      <w:r>
        <w:rPr>
          <w:rFonts w:hint="eastAsia" w:ascii="仿宋_GB2312" w:hAnsi="Arial" w:eastAsia="仿宋_GB2312" w:cs="Arial"/>
          <w:color w:val="000000"/>
          <w:kern w:val="0"/>
          <w:sz w:val="30"/>
          <w:szCs w:val="30"/>
        </w:rPr>
        <w:t>日常监督与专项检查相结合。</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4.监督检查措施</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ascii="Arial" w:hAnsi="Arial" w:cs="Arial"/>
          <w:color w:val="000000"/>
          <w:kern w:val="0"/>
          <w:sz w:val="24"/>
        </w:rPr>
      </w:pPr>
      <w:r>
        <w:rPr>
          <w:rFonts w:hint="eastAsia" w:ascii="Calibri" w:hAnsi="Calibri" w:eastAsia="仿宋_GB2312" w:cs="Arial"/>
          <w:color w:val="000000"/>
          <w:kern w:val="0"/>
          <w:sz w:val="30"/>
          <w:szCs w:val="30"/>
        </w:rPr>
        <w:t>组织开展招标投标活动情况、合同履约情况检查活动；</w:t>
      </w:r>
      <w:r>
        <w:rPr>
          <w:rFonts w:hint="eastAsia" w:ascii="Calibri" w:hAnsi="Calibri" w:eastAsia="仿宋_GB2312" w:cs="Arial"/>
          <w:color w:val="000000"/>
          <w:kern w:val="0"/>
          <w:sz w:val="30"/>
          <w:szCs w:val="30"/>
          <w:lang w:eastAsia="zh-CN"/>
        </w:rPr>
        <w:t>参与</w:t>
      </w:r>
      <w:r>
        <w:rPr>
          <w:rFonts w:hint="eastAsia" w:ascii="Calibri" w:hAnsi="Calibri" w:eastAsia="仿宋_GB2312" w:cs="Arial"/>
          <w:color w:val="000000"/>
          <w:kern w:val="0"/>
          <w:sz w:val="30"/>
          <w:szCs w:val="30"/>
        </w:rPr>
        <w:t>竣工验收。</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5.监督检查程序</w:t>
      </w:r>
    </w:p>
    <w:p>
      <w:pPr>
        <w:pageBreakBefore w:val="0"/>
        <w:widowControl/>
        <w:shd w:val="clear" w:color="auto" w:fill="FFFFFF"/>
        <w:kinsoku/>
        <w:wordWrap/>
        <w:overflowPunct/>
        <w:topLinePunct w:val="0"/>
        <w:autoSpaceDE/>
        <w:autoSpaceDN/>
        <w:bidi w:val="0"/>
        <w:adjustRightInd/>
        <w:snapToGrid/>
        <w:spacing w:line="578" w:lineRule="exact"/>
        <w:ind w:firstLine="450" w:firstLineChars="150"/>
        <w:jc w:val="left"/>
        <w:rPr>
          <w:rFonts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w:t>
      </w:r>
      <w:r>
        <w:rPr>
          <w:rFonts w:ascii="仿宋_GB2312" w:hAnsi="Calibri" w:eastAsia="仿宋_GB2312" w:cs="Arial"/>
          <w:color w:val="000000"/>
          <w:kern w:val="0"/>
          <w:sz w:val="30"/>
          <w:szCs w:val="30"/>
        </w:rPr>
        <w:t>1</w:t>
      </w:r>
      <w:r>
        <w:rPr>
          <w:rFonts w:hint="eastAsia" w:ascii="仿宋_GB2312" w:hAnsi="Calibri" w:eastAsia="仿宋_GB2312" w:cs="Arial"/>
          <w:color w:val="000000"/>
          <w:kern w:val="0"/>
          <w:sz w:val="30"/>
          <w:szCs w:val="30"/>
        </w:rPr>
        <w:t>）各部门开展自查活动。</w:t>
      </w:r>
    </w:p>
    <w:p>
      <w:pPr>
        <w:pageBreakBefore w:val="0"/>
        <w:widowControl/>
        <w:shd w:val="clear" w:color="auto" w:fill="FFFFFF"/>
        <w:kinsoku/>
        <w:wordWrap/>
        <w:overflowPunct/>
        <w:topLinePunct w:val="0"/>
        <w:autoSpaceDE/>
        <w:autoSpaceDN/>
        <w:bidi w:val="0"/>
        <w:adjustRightInd/>
        <w:snapToGrid/>
        <w:spacing w:line="578" w:lineRule="exact"/>
        <w:ind w:firstLine="450"/>
        <w:jc w:val="left"/>
        <w:rPr>
          <w:rFonts w:ascii="Arial" w:hAnsi="Arial" w:cs="Arial"/>
          <w:color w:val="000000"/>
          <w:kern w:val="0"/>
          <w:sz w:val="24"/>
        </w:rPr>
      </w:pPr>
      <w:r>
        <w:rPr>
          <w:rFonts w:hint="eastAsia" w:ascii="仿宋_GB2312" w:hAnsi="Calibri" w:eastAsia="仿宋_GB2312" w:cs="Arial"/>
          <w:color w:val="000000"/>
          <w:kern w:val="0"/>
          <w:sz w:val="30"/>
          <w:szCs w:val="30"/>
        </w:rPr>
        <w:t>（</w:t>
      </w:r>
      <w:r>
        <w:rPr>
          <w:rFonts w:ascii="Calibri" w:hAnsi="Calibri" w:cs="Arial"/>
          <w:color w:val="000000"/>
          <w:kern w:val="0"/>
          <w:sz w:val="30"/>
          <w:szCs w:val="30"/>
        </w:rPr>
        <w:t>2</w:t>
      </w:r>
      <w:r>
        <w:rPr>
          <w:rFonts w:hint="eastAsia" w:ascii="仿宋_GB2312" w:hAnsi="Calibri" w:eastAsia="仿宋_GB2312" w:cs="Arial"/>
          <w:color w:val="000000"/>
          <w:kern w:val="0"/>
          <w:sz w:val="30"/>
          <w:szCs w:val="30"/>
        </w:rPr>
        <w:t>）组织</w:t>
      </w:r>
      <w:r>
        <w:rPr>
          <w:rFonts w:hint="eastAsia" w:ascii="仿宋_GB2312" w:hAnsi="Calibri" w:eastAsia="仿宋_GB2312" w:cs="Arial"/>
          <w:color w:val="000000"/>
          <w:kern w:val="0"/>
          <w:sz w:val="30"/>
          <w:szCs w:val="30"/>
          <w:lang w:eastAsia="zh-CN"/>
        </w:rPr>
        <w:t>各行业部门</w:t>
      </w:r>
      <w:r>
        <w:rPr>
          <w:rFonts w:hint="eastAsia" w:ascii="仿宋_GB2312" w:hAnsi="Calibri" w:eastAsia="仿宋_GB2312" w:cs="Arial"/>
          <w:color w:val="000000"/>
          <w:kern w:val="0"/>
          <w:sz w:val="30"/>
          <w:szCs w:val="30"/>
        </w:rPr>
        <w:t>联合检查，听取情况汇报，核查相关资料，进行现场踏勘。</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6.监督检查处理</w:t>
      </w:r>
    </w:p>
    <w:p>
      <w:pPr>
        <w:pageBreakBefore w:val="0"/>
        <w:widowControl/>
        <w:shd w:val="clear" w:color="auto" w:fill="FFFFFF"/>
        <w:kinsoku/>
        <w:wordWrap/>
        <w:overflowPunct/>
        <w:topLinePunct w:val="0"/>
        <w:autoSpaceDE/>
        <w:autoSpaceDN/>
        <w:bidi w:val="0"/>
        <w:adjustRightInd/>
        <w:snapToGrid/>
        <w:spacing w:line="578" w:lineRule="exact"/>
        <w:ind w:firstLine="600"/>
        <w:jc w:val="left"/>
        <w:rPr>
          <w:rFonts w:hint="eastAsia" w:ascii="仿宋_GB2312" w:hAnsi="Calibri" w:eastAsia="仿宋_GB2312" w:cs="Arial"/>
          <w:color w:val="000000"/>
          <w:kern w:val="0"/>
          <w:sz w:val="30"/>
          <w:szCs w:val="30"/>
        </w:rPr>
      </w:pPr>
      <w:r>
        <w:rPr>
          <w:rFonts w:hint="eastAsia" w:ascii="仿宋_GB2312" w:hAnsi="Calibri" w:eastAsia="仿宋_GB2312" w:cs="Arial"/>
          <w:color w:val="000000"/>
          <w:kern w:val="0"/>
          <w:sz w:val="30"/>
          <w:szCs w:val="30"/>
        </w:rPr>
        <w:t>发布检查情况通报，对发现的问题提出处理意见，责令限期整改</w:t>
      </w: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7"/>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7"/>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7"/>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7"/>
          <w:rFonts w:hint="eastAsia" w:ascii="黑体" w:hAnsi="宋体" w:eastAsia="黑体" w:cs="黑体"/>
          <w:i w:val="0"/>
          <w:caps w:val="0"/>
          <w:color w:val="222222"/>
          <w:spacing w:val="0"/>
          <w:sz w:val="32"/>
          <w:szCs w:val="32"/>
        </w:rPr>
      </w:pPr>
    </w:p>
    <w:p>
      <w:pPr>
        <w:pageBreakBefore w:val="0"/>
        <w:widowControl/>
        <w:shd w:val="clear" w:color="auto" w:fill="FFFFFF"/>
        <w:kinsoku/>
        <w:wordWrap/>
        <w:overflowPunct/>
        <w:topLinePunct w:val="0"/>
        <w:autoSpaceDE/>
        <w:autoSpaceDN/>
        <w:bidi w:val="0"/>
        <w:adjustRightInd/>
        <w:snapToGrid/>
        <w:spacing w:line="578" w:lineRule="exact"/>
        <w:ind w:firstLine="600"/>
        <w:jc w:val="center"/>
        <w:rPr>
          <w:rStyle w:val="7"/>
          <w:rFonts w:hint="eastAsia" w:ascii="黑体" w:hAnsi="宋体" w:eastAsia="黑体" w:cs="黑体"/>
          <w:i w:val="0"/>
          <w:caps w:val="0"/>
          <w:color w:val="222222"/>
          <w:spacing w:val="0"/>
          <w:sz w:val="32"/>
          <w:szCs w:val="32"/>
        </w:rPr>
      </w:pP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333333"/>
          <w:spacing w:val="0"/>
          <w:kern w:val="0"/>
          <w:sz w:val="30"/>
          <w:szCs w:val="30"/>
          <w:shd w:val="clear" w:color="auto" w:fill="FFFFFF"/>
          <w:vertAlign w:val="baseline"/>
          <w:lang w:val="en-US" w:eastAsia="zh-CN" w:bidi="ar"/>
        </w:rPr>
      </w:pPr>
      <w:r>
        <w:rPr>
          <w:rFonts w:hint="eastAsia" w:ascii="黑体" w:hAnsi="宋体" w:eastAsia="黑体" w:cs="黑体"/>
          <w:b w:val="0"/>
          <w:i w:val="0"/>
          <w:caps w:val="0"/>
          <w:color w:val="333333"/>
          <w:spacing w:val="0"/>
          <w:kern w:val="0"/>
          <w:sz w:val="30"/>
          <w:szCs w:val="30"/>
          <w:shd w:val="clear" w:color="auto" w:fill="FFFFFF"/>
          <w:vertAlign w:val="baseline"/>
          <w:lang w:val="en-US" w:eastAsia="zh-CN" w:bidi="ar"/>
        </w:rPr>
        <w:t>公共服务事项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宋体" w:hAnsi="宋体" w:eastAsia="宋体" w:cs="宋体"/>
          <w:i w:val="0"/>
          <w:caps w:val="0"/>
          <w:color w:val="222222"/>
          <w:spacing w:val="0"/>
          <w:sz w:val="18"/>
          <w:szCs w:val="18"/>
        </w:rPr>
      </w:pPr>
      <w:r>
        <w:rPr>
          <w:rFonts w:hint="eastAsia" w:ascii="宋体" w:hAnsi="宋体" w:eastAsia="宋体" w:cs="宋体"/>
          <w:i w:val="0"/>
          <w:caps w:val="0"/>
          <w:color w:val="222222"/>
          <w:spacing w:val="0"/>
          <w:sz w:val="18"/>
          <w:szCs w:val="18"/>
        </w:rPr>
        <w:t> </w:t>
      </w:r>
    </w:p>
    <w:tbl>
      <w:tblPr>
        <w:tblStyle w:val="8"/>
        <w:tblW w:w="964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943"/>
        <w:gridCol w:w="1226"/>
        <w:gridCol w:w="4174"/>
        <w:gridCol w:w="1346"/>
        <w:gridCol w:w="19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773" w:hRule="atLeast"/>
          <w:tblHeader/>
        </w:trPr>
        <w:tc>
          <w:tcPr>
            <w:tcW w:w="9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序号</w:t>
            </w:r>
          </w:p>
        </w:tc>
        <w:tc>
          <w:tcPr>
            <w:tcW w:w="122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服务事项</w:t>
            </w:r>
          </w:p>
        </w:tc>
        <w:tc>
          <w:tcPr>
            <w:tcW w:w="417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主要内容</w:t>
            </w:r>
          </w:p>
        </w:tc>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承办机构</w:t>
            </w:r>
          </w:p>
        </w:tc>
        <w:tc>
          <w:tcPr>
            <w:tcW w:w="195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联系电话</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3"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p>
        </w:tc>
        <w:tc>
          <w:tcPr>
            <w:tcW w:w="122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企业投资项目备案</w:t>
            </w:r>
          </w:p>
        </w:tc>
        <w:tc>
          <w:tcPr>
            <w:tcW w:w="417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实施企业投资项目备案工作，项目备案实行告知管理。指导企业通过海南省政务服务网进行网上备案；企业告知信息不齐全的指导补正；指导企业通过在线平台自行打印备案证明。</w:t>
            </w:r>
          </w:p>
        </w:tc>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吉阳区发展和改革委员会</w:t>
            </w:r>
          </w:p>
        </w:tc>
        <w:tc>
          <w:tcPr>
            <w:tcW w:w="195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88711907</w:t>
            </w:r>
          </w:p>
        </w:tc>
      </w:tr>
    </w:tbl>
    <w:p>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0552777">
    <w:nsid w:val="613042C9"/>
    <w:multiLevelType w:val="singleLevel"/>
    <w:tmpl w:val="613042C9"/>
    <w:lvl w:ilvl="0" w:tentative="1">
      <w:start w:val="4"/>
      <w:numFmt w:val="chineseCounting"/>
      <w:suff w:val="nothing"/>
      <w:lvlText w:val="%1、"/>
      <w:lvlJc w:val="left"/>
    </w:lvl>
  </w:abstractNum>
  <w:abstractNum w:abstractNumId="936201720">
    <w:nsid w:val="37CD4DF8"/>
    <w:multiLevelType w:val="singleLevel"/>
    <w:tmpl w:val="37CD4DF8"/>
    <w:lvl w:ilvl="0" w:tentative="1">
      <w:start w:val="1"/>
      <w:numFmt w:val="decimal"/>
      <w:suff w:val="nothing"/>
      <w:lvlText w:val="（%1）"/>
      <w:lvlJc w:val="left"/>
      <w:pPr>
        <w:ind w:left="420"/>
      </w:pPr>
    </w:lvl>
  </w:abstractNum>
  <w:abstractNum w:abstractNumId="1631004256">
    <w:nsid w:val="61372660"/>
    <w:multiLevelType w:val="singleLevel"/>
    <w:tmpl w:val="61372660"/>
    <w:lvl w:ilvl="0" w:tentative="1">
      <w:start w:val="1"/>
      <w:numFmt w:val="chineseCounting"/>
      <w:suff w:val="nothing"/>
      <w:lvlText w:val="%1、"/>
      <w:lvlJc w:val="left"/>
    </w:lvl>
  </w:abstractNum>
  <w:num w:numId="1">
    <w:abstractNumId w:val="1631004256"/>
  </w:num>
  <w:num w:numId="2">
    <w:abstractNumId w:val="936201720"/>
  </w:num>
  <w:num w:numId="3">
    <w:abstractNumId w:val="16305527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40DED"/>
    <w:rsid w:val="1A713862"/>
    <w:rsid w:val="20646E48"/>
    <w:rsid w:val="323B26EA"/>
    <w:rsid w:val="356931BE"/>
    <w:rsid w:val="44622857"/>
    <w:rsid w:val="4EEC6E4B"/>
    <w:rsid w:val="68640DED"/>
    <w:rsid w:val="74762F13"/>
    <w:rsid w:val="782F27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2021-08-05T03:14:00Z</dcterms:created>
  <dc:creator>Spror</dc:creator>
  <cp:lastModifiedBy>Administrator</cp:lastModifiedBy>
  <dcterms:modified xsi:type="dcterms:W3CDTF">2021-09-07T08:28:18Z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