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sz w:val="52"/>
          <w:szCs w:val="52"/>
          <w:lang w:val="en-US" w:eastAsia="zh-CN"/>
        </w:rPr>
        <w:t>2026</w:t>
      </w:r>
      <w:r>
        <w:rPr>
          <w:rFonts w:hint="eastAsia"/>
          <w:sz w:val="52"/>
          <w:szCs w:val="52"/>
        </w:rPr>
        <w:t>年</w:t>
      </w:r>
      <w:r>
        <w:rPr>
          <w:rFonts w:hint="eastAsia"/>
          <w:sz w:val="52"/>
          <w:szCs w:val="52"/>
          <w:lang w:eastAsia="zh-CN"/>
        </w:rPr>
        <w:t>三亚市吉阳区住房和</w:t>
      </w:r>
    </w:p>
    <w:p>
      <w:pPr>
        <w:jc w:val="center"/>
        <w:rPr>
          <w:sz w:val="52"/>
          <w:szCs w:val="52"/>
        </w:rPr>
      </w:pPr>
      <w:r>
        <w:rPr>
          <w:rFonts w:hint="eastAsia"/>
          <w:sz w:val="52"/>
          <w:szCs w:val="52"/>
          <w:lang w:eastAsia="zh-CN"/>
        </w:rPr>
        <w:t>城乡建设局单位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lang w:eastAsia="zh-CN"/>
        </w:rPr>
        <w:t>单位</w:t>
      </w:r>
      <w:r>
        <w:rPr>
          <w:rFonts w:hint="eastAsia" w:ascii="黑体" w:hAnsi="黑体" w:eastAsia="黑体" w:cs="黑体"/>
          <w:sz w:val="32"/>
          <w:szCs w:val="32"/>
          <w:lang w:val="en-US" w:eastAsia="zh-CN"/>
        </w:rPr>
        <w:t>2026</w:t>
      </w:r>
      <w:r>
        <w:rPr>
          <w:rFonts w:hint="eastAsia" w:ascii="黑体" w:hAnsi="黑体" w:eastAsia="黑体"/>
          <w:sz w:val="32"/>
          <w:szCs w:val="32"/>
        </w:rPr>
        <w:t>年单位预算表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rPr>
        <w:t>单位</w:t>
      </w:r>
      <w:r>
        <w:rPr>
          <w:rFonts w:hint="eastAsia" w:ascii="黑体" w:hAnsi="黑体" w:eastAsia="黑体" w:cs="黑体"/>
          <w:sz w:val="32"/>
          <w:szCs w:val="32"/>
          <w:lang w:val="en-US" w:eastAsia="zh-CN"/>
        </w:rPr>
        <w:t>2026</w:t>
      </w:r>
      <w:r>
        <w:rPr>
          <w:rFonts w:hint="eastAsia" w:ascii="黑体" w:hAnsi="黑体" w:eastAsia="黑体"/>
          <w:sz w:val="32"/>
          <w:szCs w:val="32"/>
        </w:rPr>
        <w:t>年单位预算情况说明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rPr>
        <w:t>单位概况</w:t>
      </w:r>
    </w:p>
    <w:p>
      <w:pPr>
        <w:jc w:val="left"/>
        <w:rPr>
          <w:rFonts w:ascii="仿宋_GB2312" w:hAnsi="仿宋_GB2312" w:eastAsia="仿宋_GB2312" w:cs="仿宋_GB2312"/>
          <w:sz w:val="32"/>
          <w:szCs w:val="32"/>
        </w:rPr>
      </w:pPr>
    </w:p>
    <w:p>
      <w:pPr>
        <w:pStyle w:val="6"/>
        <w:numPr>
          <w:ilvl w:val="-1"/>
          <w:numId w:val="0"/>
        </w:numPr>
        <w:ind w:left="0" w:firstLine="0"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 xml:space="preserve">     一、</w:t>
      </w:r>
      <w:r>
        <w:rPr>
          <w:rFonts w:hint="eastAsia" w:ascii="黑体" w:hAnsi="黑体" w:eastAsia="黑体" w:cs="仿宋_GB2312"/>
          <w:sz w:val="32"/>
          <w:szCs w:val="32"/>
        </w:rPr>
        <w:t>主要职能</w:t>
      </w:r>
    </w:p>
    <w:p>
      <w:pPr>
        <w:pStyle w:val="10"/>
        <w:keepNext w:val="0"/>
        <w:keepLines w:val="0"/>
        <w:widowControl w:val="0"/>
        <w:shd w:val="clear" w:color="auto" w:fill="auto"/>
        <w:tabs>
          <w:tab w:val="left" w:pos="1604"/>
        </w:tabs>
        <w:bidi w:val="0"/>
        <w:spacing w:before="0" w:after="0" w:line="575"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0" w:name="bookmark3"/>
      <w:r>
        <w:rPr>
          <w:rFonts w:hint="eastAsia" w:ascii="仿宋_GB2312" w:hAnsi="黑体" w:eastAsia="仿宋_GB2312" w:cs="仿宋_GB2312"/>
          <w:kern w:val="2"/>
          <w:sz w:val="32"/>
          <w:szCs w:val="32"/>
          <w:u w:val="none"/>
          <w:shd w:val="clear"/>
          <w:lang w:val="en-US" w:eastAsia="zh-CN" w:bidi="ar-SA"/>
        </w:rPr>
        <w:t>（</w:t>
      </w:r>
      <w:bookmarkEnd w:id="0"/>
      <w:r>
        <w:rPr>
          <w:rFonts w:hint="eastAsia" w:ascii="仿宋_GB2312" w:hAnsi="黑体" w:eastAsia="仿宋_GB2312" w:cs="仿宋_GB2312"/>
          <w:kern w:val="2"/>
          <w:sz w:val="32"/>
          <w:szCs w:val="32"/>
          <w:u w:val="none"/>
          <w:shd w:val="clear"/>
          <w:lang w:val="en-US" w:eastAsia="zh-CN" w:bidi="ar-SA"/>
        </w:rPr>
        <w:t>一）贯彻落实党和国家、省市有关住房和城乡建设、交通运输的方针政策、法律法规，执行市委市政府、区委区政府的决策部署和中国（海南）自由贸易试验区、中国特色自由贸易港的政策措施。</w:t>
      </w:r>
    </w:p>
    <w:p>
      <w:pPr>
        <w:pStyle w:val="10"/>
        <w:keepNext w:val="0"/>
        <w:keepLines w:val="0"/>
        <w:widowControl w:val="0"/>
        <w:shd w:val="clear" w:color="auto" w:fill="auto"/>
        <w:tabs>
          <w:tab w:val="left" w:pos="1618"/>
        </w:tabs>
        <w:bidi w:val="0"/>
        <w:spacing w:before="0" w:after="0" w:line="575"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1" w:name="bookmark4"/>
      <w:r>
        <w:rPr>
          <w:rFonts w:hint="eastAsia" w:ascii="仿宋_GB2312" w:hAnsi="黑体" w:eastAsia="仿宋_GB2312" w:cs="仿宋_GB2312"/>
          <w:kern w:val="2"/>
          <w:sz w:val="32"/>
          <w:szCs w:val="32"/>
          <w:u w:val="none"/>
          <w:shd w:val="clear"/>
          <w:lang w:val="en-US" w:eastAsia="zh-CN" w:bidi="ar-SA"/>
        </w:rPr>
        <w:t>（</w:t>
      </w:r>
      <w:bookmarkEnd w:id="1"/>
      <w:r>
        <w:rPr>
          <w:rFonts w:hint="eastAsia" w:ascii="仿宋_GB2312" w:hAnsi="黑体" w:eastAsia="仿宋_GB2312" w:cs="仿宋_GB2312"/>
          <w:kern w:val="2"/>
          <w:sz w:val="32"/>
          <w:szCs w:val="32"/>
          <w:u w:val="none"/>
          <w:shd w:val="clear"/>
          <w:lang w:val="en-US" w:eastAsia="zh-CN" w:bidi="ar-SA"/>
        </w:rPr>
        <w:t>二）研究拟订并组织实施全区住房和城乡建设、交通运输工作的规划和措施，研究推进全区住房和城乡建设、交通运输行业体制改革，研究提出中国（海南）自由贸易试验区、中国特色自由贸易港关于住房和城乡建设、交通运输工作方面的意见和建议。</w:t>
      </w:r>
    </w:p>
    <w:p>
      <w:pPr>
        <w:pStyle w:val="10"/>
        <w:keepNext w:val="0"/>
        <w:keepLines w:val="0"/>
        <w:widowControl w:val="0"/>
        <w:shd w:val="clear" w:color="auto" w:fill="auto"/>
        <w:tabs>
          <w:tab w:val="left" w:pos="1611"/>
        </w:tabs>
        <w:bidi w:val="0"/>
        <w:spacing w:before="0" w:after="0" w:line="575"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2" w:name="bookmark5"/>
      <w:r>
        <w:rPr>
          <w:rFonts w:hint="eastAsia" w:ascii="仿宋_GB2312" w:hAnsi="黑体" w:eastAsia="仿宋_GB2312" w:cs="仿宋_GB2312"/>
          <w:kern w:val="2"/>
          <w:sz w:val="32"/>
          <w:szCs w:val="32"/>
          <w:u w:val="none"/>
          <w:shd w:val="clear"/>
          <w:lang w:val="en-US" w:eastAsia="zh-CN" w:bidi="ar-SA"/>
        </w:rPr>
        <w:t>（</w:t>
      </w:r>
      <w:bookmarkEnd w:id="2"/>
      <w:r>
        <w:rPr>
          <w:rFonts w:hint="eastAsia" w:ascii="仿宋_GB2312" w:hAnsi="黑体" w:eastAsia="仿宋_GB2312" w:cs="仿宋_GB2312"/>
          <w:kern w:val="2"/>
          <w:sz w:val="32"/>
          <w:szCs w:val="32"/>
          <w:u w:val="none"/>
          <w:shd w:val="clear"/>
          <w:lang w:val="en-US" w:eastAsia="zh-CN" w:bidi="ar-SA"/>
        </w:rPr>
        <w:t>三）按职责权限做好住房制度改革和保障性住房的规划建 设、实物资产分配和管理等工作。</w:t>
      </w:r>
    </w:p>
    <w:p>
      <w:pPr>
        <w:pStyle w:val="10"/>
        <w:keepNext w:val="0"/>
        <w:keepLines w:val="0"/>
        <w:widowControl w:val="0"/>
        <w:shd w:val="clear" w:color="auto" w:fill="auto"/>
        <w:tabs>
          <w:tab w:val="left" w:pos="1601"/>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3" w:name="bookmark6"/>
      <w:r>
        <w:rPr>
          <w:rFonts w:hint="eastAsia" w:ascii="仿宋_GB2312" w:hAnsi="黑体" w:eastAsia="仿宋_GB2312" w:cs="仿宋_GB2312"/>
          <w:kern w:val="2"/>
          <w:sz w:val="32"/>
          <w:szCs w:val="32"/>
          <w:u w:val="none"/>
          <w:shd w:val="clear"/>
          <w:lang w:val="en-US" w:eastAsia="zh-CN" w:bidi="ar-SA"/>
        </w:rPr>
        <w:t>（</w:t>
      </w:r>
      <w:bookmarkEnd w:id="3"/>
      <w:r>
        <w:rPr>
          <w:rFonts w:hint="eastAsia" w:ascii="仿宋_GB2312" w:hAnsi="黑体" w:eastAsia="仿宋_GB2312" w:cs="仿宋_GB2312"/>
          <w:kern w:val="2"/>
          <w:sz w:val="32"/>
          <w:szCs w:val="32"/>
          <w:u w:val="none"/>
          <w:shd w:val="clear"/>
          <w:lang w:val="en-US" w:eastAsia="zh-CN" w:bidi="ar-SA"/>
        </w:rPr>
        <w:t>四）负责调查统计全区住房情况；负责全区棚户区改造和国有土地上房屋征收、补偿和安置工作，负责全区棚户区改造和国有土地上的违法征收与补偿行为的处理，对拆迁补偿安置资金进行监管；负责全区集体土地上的私房建设施工备案、竣工验收,收存有关资料。</w:t>
      </w:r>
    </w:p>
    <w:p>
      <w:pPr>
        <w:pStyle w:val="10"/>
        <w:keepNext w:val="0"/>
        <w:keepLines w:val="0"/>
        <w:widowControl w:val="0"/>
        <w:shd w:val="clear" w:color="auto" w:fill="auto"/>
        <w:tabs>
          <w:tab w:val="left" w:pos="1601"/>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4" w:name="bookmark7"/>
      <w:r>
        <w:rPr>
          <w:rFonts w:hint="eastAsia" w:ascii="仿宋_GB2312" w:hAnsi="黑体" w:eastAsia="仿宋_GB2312" w:cs="仿宋_GB2312"/>
          <w:kern w:val="2"/>
          <w:sz w:val="32"/>
          <w:szCs w:val="32"/>
          <w:u w:val="none"/>
          <w:shd w:val="clear"/>
          <w:lang w:val="en-US" w:eastAsia="zh-CN" w:bidi="ar-SA"/>
        </w:rPr>
        <w:t>（</w:t>
      </w:r>
      <w:bookmarkEnd w:id="4"/>
      <w:r>
        <w:rPr>
          <w:rFonts w:hint="eastAsia" w:ascii="仿宋_GB2312" w:hAnsi="黑体" w:eastAsia="仿宋_GB2312" w:cs="仿宋_GB2312"/>
          <w:kern w:val="2"/>
          <w:sz w:val="32"/>
          <w:szCs w:val="32"/>
          <w:u w:val="none"/>
          <w:shd w:val="clear"/>
          <w:lang w:val="en-US" w:eastAsia="zh-CN" w:bidi="ar-SA"/>
        </w:rPr>
        <w:t>五）负责对全区物业管理工作活动进行监管；协助物业监督管理专项维修资金；负责全区白蚁防治预防工作。</w:t>
      </w:r>
    </w:p>
    <w:p>
      <w:pPr>
        <w:pStyle w:val="10"/>
        <w:keepNext w:val="0"/>
        <w:keepLines w:val="0"/>
        <w:widowControl w:val="0"/>
        <w:shd w:val="clear" w:color="auto" w:fill="auto"/>
        <w:tabs>
          <w:tab w:val="left" w:pos="1593"/>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5" w:name="bookmark8"/>
      <w:r>
        <w:rPr>
          <w:rFonts w:hint="eastAsia" w:ascii="仿宋_GB2312" w:hAnsi="黑体" w:eastAsia="仿宋_GB2312" w:cs="仿宋_GB2312"/>
          <w:kern w:val="2"/>
          <w:sz w:val="32"/>
          <w:szCs w:val="32"/>
          <w:u w:val="none"/>
          <w:shd w:val="clear"/>
          <w:lang w:val="en-US" w:eastAsia="zh-CN" w:bidi="ar-SA"/>
        </w:rPr>
        <w:t>（</w:t>
      </w:r>
      <w:bookmarkEnd w:id="5"/>
      <w:r>
        <w:rPr>
          <w:rFonts w:hint="eastAsia" w:ascii="仿宋_GB2312" w:hAnsi="黑体" w:eastAsia="仿宋_GB2312" w:cs="仿宋_GB2312"/>
          <w:kern w:val="2"/>
          <w:sz w:val="32"/>
          <w:szCs w:val="32"/>
          <w:u w:val="none"/>
          <w:shd w:val="clear"/>
          <w:lang w:val="en-US" w:eastAsia="zh-CN" w:bidi="ar-SA"/>
        </w:rPr>
        <w:t>六）负责全区农村建设信息统计和危险房屋的安全鉴定工作；负责全区农村住房安全和危旧房改造工作；统筹全区乡村民宿建设管理工作。</w:t>
      </w:r>
    </w:p>
    <w:p>
      <w:pPr>
        <w:pStyle w:val="10"/>
        <w:keepNext w:val="0"/>
        <w:keepLines w:val="0"/>
        <w:widowControl w:val="0"/>
        <w:shd w:val="clear" w:color="auto" w:fill="auto"/>
        <w:tabs>
          <w:tab w:val="left" w:pos="1601"/>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6" w:name="bookmark9"/>
      <w:r>
        <w:rPr>
          <w:rFonts w:hint="eastAsia" w:ascii="仿宋_GB2312" w:hAnsi="黑体" w:eastAsia="仿宋_GB2312" w:cs="仿宋_GB2312"/>
          <w:kern w:val="2"/>
          <w:sz w:val="32"/>
          <w:szCs w:val="32"/>
          <w:u w:val="none"/>
          <w:shd w:val="clear"/>
          <w:lang w:val="en-US" w:eastAsia="zh-CN" w:bidi="ar-SA"/>
        </w:rPr>
        <w:t>（</w:t>
      </w:r>
      <w:bookmarkEnd w:id="6"/>
      <w:r>
        <w:rPr>
          <w:rFonts w:hint="eastAsia" w:ascii="仿宋_GB2312" w:hAnsi="黑体" w:eastAsia="仿宋_GB2312" w:cs="仿宋_GB2312"/>
          <w:kern w:val="2"/>
          <w:sz w:val="32"/>
          <w:szCs w:val="32"/>
          <w:u w:val="none"/>
          <w:shd w:val="clear"/>
          <w:lang w:val="en-US" w:eastAsia="zh-CN" w:bidi="ar-SA"/>
        </w:rPr>
        <w:t>七）指导落实重要经济目标的防护工作；组织实施全区人 防、民防指挥通信、指挥信息、人防警报报知等系统建设；负责全区人防工程安全使用的综合管理；负责监管已建人防工程平时开发利用、维护安全。</w:t>
      </w:r>
    </w:p>
    <w:p>
      <w:pPr>
        <w:pStyle w:val="10"/>
        <w:keepNext w:val="0"/>
        <w:keepLines w:val="0"/>
        <w:widowControl w:val="0"/>
        <w:shd w:val="clear" w:color="auto" w:fill="auto"/>
        <w:tabs>
          <w:tab w:val="left" w:pos="1586"/>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7" w:name="bookmark10"/>
      <w:r>
        <w:rPr>
          <w:rFonts w:hint="eastAsia" w:ascii="仿宋_GB2312" w:hAnsi="黑体" w:eastAsia="仿宋_GB2312" w:cs="仿宋_GB2312"/>
          <w:kern w:val="2"/>
          <w:sz w:val="32"/>
          <w:szCs w:val="32"/>
          <w:u w:val="none"/>
          <w:shd w:val="clear"/>
          <w:lang w:val="en-US" w:eastAsia="zh-CN" w:bidi="ar-SA"/>
        </w:rPr>
        <w:t>（</w:t>
      </w:r>
      <w:bookmarkEnd w:id="7"/>
      <w:r>
        <w:rPr>
          <w:rFonts w:hint="eastAsia" w:ascii="仿宋_GB2312" w:hAnsi="黑体" w:eastAsia="仿宋_GB2312" w:cs="仿宋_GB2312"/>
          <w:kern w:val="2"/>
          <w:sz w:val="32"/>
          <w:szCs w:val="32"/>
          <w:u w:val="none"/>
          <w:shd w:val="clear"/>
          <w:lang w:val="en-US" w:eastAsia="zh-CN" w:bidi="ar-SA"/>
        </w:rPr>
        <w:t>八）负责监管全区防空地下室和城市地下防护空间建设; 负责监管人民防空工程建设和开发利用地下空间兼顾人民防空 防护要求。</w:t>
      </w:r>
    </w:p>
    <w:p>
      <w:pPr>
        <w:pStyle w:val="10"/>
        <w:keepNext w:val="0"/>
        <w:keepLines w:val="0"/>
        <w:widowControl w:val="0"/>
        <w:shd w:val="clear" w:color="auto" w:fill="auto"/>
        <w:tabs>
          <w:tab w:val="left" w:pos="1608"/>
        </w:tabs>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bookmarkStart w:id="8" w:name="bookmark11"/>
      <w:r>
        <w:rPr>
          <w:rFonts w:hint="eastAsia" w:ascii="仿宋_GB2312" w:hAnsi="黑体" w:eastAsia="仿宋_GB2312" w:cs="仿宋_GB2312"/>
          <w:kern w:val="2"/>
          <w:sz w:val="32"/>
          <w:szCs w:val="32"/>
          <w:u w:val="none"/>
          <w:shd w:val="clear"/>
          <w:lang w:val="en-US" w:eastAsia="zh-CN" w:bidi="ar-SA"/>
        </w:rPr>
        <w:t>（</w:t>
      </w:r>
      <w:bookmarkEnd w:id="8"/>
      <w:r>
        <w:rPr>
          <w:rFonts w:hint="eastAsia" w:ascii="仿宋_GB2312" w:hAnsi="黑体" w:eastAsia="仿宋_GB2312" w:cs="仿宋_GB2312"/>
          <w:kern w:val="2"/>
          <w:sz w:val="32"/>
          <w:szCs w:val="32"/>
          <w:u w:val="none"/>
          <w:shd w:val="clear"/>
          <w:lang w:val="en-US" w:eastAsia="zh-CN" w:bidi="ar-SA"/>
        </w:rPr>
        <w:t>九）负责区管市政工程、公共建筑项目的建设及维护管理; 负责区管道路（除主、次干道之外）及相应道路路灯、排污、排水等市政基础设施及市政配套设施的建设、统筹协调工作；负责全区燃气设施的管理。</w:t>
      </w:r>
    </w:p>
    <w:p>
      <w:pPr>
        <w:pStyle w:val="10"/>
        <w:keepNext w:val="0"/>
        <w:keepLines w:val="0"/>
        <w:widowControl w:val="0"/>
        <w:shd w:val="clear" w:color="auto" w:fill="auto"/>
        <w:bidi w:val="0"/>
        <w:spacing w:before="0" w:after="0" w:line="581"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（十）负责监管房屋和市政工程质量安全；指导房屋建筑及 其附属设施和城市市政设施抗震设防工作。负责全区危险房屋的鉴定、安全生产、验收及资料归档管理；负责全区在建建筑工地施工现场的安全检查监督和事故处理及综合整治、计划生育、文明施工等管理事项，依法对全区建筑行业进行监督管理；指导建筑市场诚信体系建设。</w:t>
      </w:r>
    </w:p>
    <w:p>
      <w:pPr>
        <w:pStyle w:val="10"/>
        <w:keepNext w:val="0"/>
        <w:keepLines w:val="0"/>
        <w:widowControl w:val="0"/>
        <w:shd w:val="clear" w:color="auto" w:fill="auto"/>
        <w:bidi w:val="0"/>
        <w:spacing w:before="0" w:after="0" w:line="578"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一）负责城乡客运及有关设施规划和管理工作；负责全区机动车维修经营、停车场、洗车店的行业管理；维护公路交通运输行业和城乡客运行业的平等竞争秩序；协助上级部门做好全区交通运输行业各类行政执法。</w:t>
      </w:r>
    </w:p>
    <w:p>
      <w:pPr>
        <w:pStyle w:val="10"/>
        <w:keepNext w:val="0"/>
        <w:keepLines w:val="0"/>
        <w:widowControl w:val="0"/>
        <w:shd w:val="clear" w:color="auto" w:fill="auto"/>
        <w:bidi w:val="0"/>
        <w:spacing w:before="0" w:after="0" w:line="612"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（十二）负责全区农村公路建设、管理和养护工作；负责全区公路、水路和交通运输设施的监督管理。</w:t>
      </w:r>
    </w:p>
    <w:p>
      <w:pPr>
        <w:pStyle w:val="10"/>
        <w:keepNext w:val="0"/>
        <w:keepLines w:val="0"/>
        <w:widowControl w:val="0"/>
        <w:shd w:val="clear" w:color="auto" w:fill="auto"/>
        <w:bidi w:val="0"/>
        <w:spacing w:before="0" w:after="0" w:line="577"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（十三）负责全区住房和城乡建设、人民防空和民防、交通运输等领域信息化建设和管理工作；负责开展住房和城乡建设、人民防空和民防、交通运输等领域各类信息数据的统计、分析、通报、评估。</w:t>
      </w:r>
    </w:p>
    <w:p>
      <w:pPr>
        <w:pStyle w:val="10"/>
        <w:keepNext w:val="0"/>
        <w:keepLines w:val="0"/>
        <w:widowControl w:val="0"/>
        <w:shd w:val="clear" w:color="auto" w:fill="auto"/>
        <w:bidi w:val="0"/>
        <w:spacing w:before="0" w:after="0" w:line="577"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（十四）组织开展全区住房和城乡建设、人民防空和民防、交通运输等领域的宣传教育培训工作。</w:t>
      </w:r>
    </w:p>
    <w:p>
      <w:pPr>
        <w:pStyle w:val="10"/>
        <w:keepNext w:val="0"/>
        <w:keepLines w:val="0"/>
        <w:widowControl w:val="0"/>
        <w:shd w:val="clear" w:color="auto" w:fill="auto"/>
        <w:bidi w:val="0"/>
        <w:spacing w:before="0" w:after="0" w:line="577" w:lineRule="exact"/>
        <w:ind w:left="0" w:righ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五）按职责权限负责全区住房和城乡建设、人民防空和民防、交通运输等领域的行政审批和管理服务事项；负责相关领域行政诉讼的应诉工作；调解处理有关住房和城乡建设、交通运输方面的纠纷和群众举报、来信来访</w:t>
      </w:r>
    </w:p>
    <w:p>
      <w:pPr>
        <w:pStyle w:val="10"/>
        <w:numPr>
          <w:ilvl w:val="-1"/>
          <w:numId w:val="0"/>
        </w:numPr>
        <w:shd w:val="clear" w:color="auto" w:fill="auto"/>
        <w:spacing w:line="577" w:lineRule="exact"/>
        <w:ind w:left="0" w:firstLine="640" w:firstLineChars="200"/>
        <w:jc w:val="both"/>
        <w:rPr>
          <w:rFonts w:hint="eastAsia" w:ascii="仿宋_GB2312" w:hAnsi="黑体" w:eastAsia="仿宋_GB2312" w:cs="仿宋_GB2312"/>
          <w:kern w:val="2"/>
          <w:sz w:val="32"/>
          <w:szCs w:val="32"/>
          <w:u w:val="none"/>
          <w:shd w:val="clear"/>
          <w:lang w:val="en-US" w:eastAsia="zh-CN" w:bidi="ar-SA"/>
        </w:rPr>
      </w:pPr>
      <w:r>
        <w:rPr>
          <w:rFonts w:hint="eastAsia" w:ascii="仿宋_GB2312" w:hAnsi="黑体" w:eastAsia="仿宋_GB2312" w:cs="仿宋_GB2312"/>
          <w:kern w:val="2"/>
          <w:sz w:val="32"/>
          <w:szCs w:val="32"/>
          <w:u w:val="none"/>
          <w:shd w:val="clear"/>
          <w:lang w:val="en-US" w:eastAsia="zh-CN" w:bidi="ar-SA"/>
        </w:rPr>
        <w:t>（十六）完成区委、区政府和上级部门交办的其他工作任务。</w:t>
      </w:r>
    </w:p>
    <w:p>
      <w:pPr>
        <w:pStyle w:val="6"/>
        <w:numPr>
          <w:ilvl w:val="-1"/>
          <w:numId w:val="0"/>
        </w:numPr>
        <w:ind w:left="0" w:firstLine="640" w:firstLineChars="200"/>
        <w:jc w:val="left"/>
        <w:rPr>
          <w:rFonts w:hint="default" w:ascii="黑体" w:hAnsi="黑体" w:eastAsia="黑体" w:cs="仿宋_GB2312"/>
          <w:sz w:val="32"/>
          <w:szCs w:val="32"/>
          <w:lang w:val="en-US" w:eastAsia="zh-CN"/>
        </w:rPr>
      </w:pPr>
      <w:r>
        <w:rPr>
          <w:rFonts w:hint="eastAsia" w:ascii="黑体" w:hAnsi="黑体" w:eastAsia="黑体" w:cs="仿宋_GB2312"/>
          <w:sz w:val="32"/>
          <w:szCs w:val="32"/>
          <w:lang w:eastAsia="zh-CN"/>
        </w:rPr>
        <w:t>二、</w:t>
      </w:r>
      <w:r>
        <w:rPr>
          <w:rFonts w:hint="eastAsia" w:ascii="黑体" w:hAnsi="黑体" w:eastAsia="黑体" w:cs="仿宋_GB2312"/>
          <w:sz w:val="32"/>
          <w:szCs w:val="32"/>
          <w:lang w:val="en-US" w:eastAsia="zh-CN"/>
        </w:rPr>
        <w:t>机构设置情况</w:t>
      </w:r>
    </w:p>
    <w:p>
      <w:pPr>
        <w:pStyle w:val="6"/>
        <w:numPr>
          <w:ilvl w:val="-1"/>
          <w:numId w:val="0"/>
        </w:numPr>
        <w:ind w:left="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本单位无内设机构。</w:t>
      </w:r>
    </w:p>
    <w:p>
      <w:pPr>
        <w:ind w:firstLine="640" w:firstLineChars="200"/>
        <w:jc w:val="center"/>
        <w:rPr>
          <w:rFonts w:hint="eastAsia" w:ascii="黑体" w:hAnsi="黑体" w:eastAsia="黑体"/>
          <w:sz w:val="32"/>
          <w:szCs w:val="32"/>
        </w:rPr>
      </w:pPr>
    </w:p>
    <w:p>
      <w:pPr>
        <w:ind w:firstLine="640" w:firstLineChars="2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lang w:val="en-US" w:eastAsia="zh-CN"/>
        </w:rPr>
        <w:t>2026</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lang w:val="en-US" w:eastAsia="zh-CN"/>
        </w:rPr>
        <w:t>2026</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rPr>
        <w:t>单位</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11,977.22</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11,977.22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3,062.82</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346.29</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8,568.11</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11,977.22</w:t>
      </w:r>
      <w:r>
        <w:rPr>
          <w:rFonts w:hint="eastAsia" w:ascii="仿宋_GB2312" w:hAnsi="黑体" w:eastAsia="仿宋_GB2312"/>
          <w:sz w:val="32"/>
          <w:szCs w:val="32"/>
        </w:rPr>
        <w:t>万元，包括社会保障和就业支出76.84万元、 卫生健康支出40.79万元、 城乡社区支出11,340.95万元、 农林水支出145.18</w:t>
      </w:r>
      <w:r>
        <w:rPr>
          <w:rFonts w:hint="eastAsia" w:ascii="仿宋_GB2312" w:hAnsi="黑体" w:eastAsia="仿宋_GB2312"/>
          <w:sz w:val="32"/>
          <w:szCs w:val="32"/>
          <w:lang w:eastAsia="zh-CN"/>
        </w:rPr>
        <w:t>万元、 住房保障支出</w:t>
      </w:r>
      <w:r>
        <w:rPr>
          <w:rFonts w:hint="eastAsia" w:ascii="仿宋_GB2312" w:hAnsi="黑体" w:eastAsia="仿宋_GB2312"/>
          <w:sz w:val="32"/>
          <w:szCs w:val="32"/>
          <w:lang w:val="en-US" w:eastAsia="zh-CN"/>
        </w:rPr>
        <w:t>340.17万元、 灾害防治及应急管理支出33.3万元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rPr>
        <w:t>单位</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3,062.82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216.74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增加吉阳区新红路与福海苑路两侧人行道修复工程、吉阳区积水点排水能力提升工程、吉阳区老旧居民住宅区（第二批）线路安全隐患整治项目等项目资金。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社会保障和就业（类）支出</w:t>
      </w:r>
      <w:r>
        <w:rPr>
          <w:rFonts w:hint="eastAsia" w:ascii="仿宋_GB2312" w:hAnsi="黑体" w:eastAsia="仿宋_GB2312" w:cs="仿宋_GB2312"/>
          <w:sz w:val="32"/>
          <w:szCs w:val="32"/>
          <w:lang w:val="en-US" w:eastAsia="zh-CN"/>
        </w:rPr>
        <w:t>76.84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2.25</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支出40.79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w:t>
      </w:r>
      <w:r>
        <w:rPr>
          <w:rFonts w:hint="eastAsia" w:ascii="仿宋_GB2312" w:hAnsi="黑体" w:eastAsia="仿宋_GB2312"/>
          <w:sz w:val="32"/>
          <w:szCs w:val="32"/>
        </w:rPr>
        <w:t>%；城乡社区（类）</w:t>
      </w:r>
      <w:r>
        <w:rPr>
          <w:rFonts w:hint="eastAsia" w:ascii="仿宋_GB2312" w:hAnsi="黑体" w:eastAsia="仿宋_GB2312" w:cs="仿宋_GB2312"/>
          <w:sz w:val="32"/>
          <w:szCs w:val="32"/>
        </w:rPr>
        <w:t>支出3,083.33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90.44</w:t>
      </w:r>
      <w:r>
        <w:rPr>
          <w:rFonts w:hint="eastAsia" w:ascii="仿宋_GB2312" w:hAnsi="黑体" w:eastAsia="仿宋_GB2312"/>
          <w:sz w:val="32"/>
          <w:szCs w:val="32"/>
        </w:rPr>
        <w:t>%；农林水（类）</w:t>
      </w:r>
      <w:r>
        <w:rPr>
          <w:rFonts w:hint="eastAsia" w:ascii="仿宋_GB2312" w:hAnsi="黑体" w:eastAsia="仿宋_GB2312" w:cs="仿宋_GB2312"/>
          <w:sz w:val="32"/>
          <w:szCs w:val="32"/>
        </w:rPr>
        <w:t>支出145.18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4.26</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支出29.67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0.87</w:t>
      </w:r>
      <w:r>
        <w:rPr>
          <w:rFonts w:hint="eastAsia" w:ascii="仿宋_GB2312" w:hAnsi="黑体" w:eastAsia="仿宋_GB2312"/>
          <w:sz w:val="32"/>
          <w:szCs w:val="32"/>
        </w:rPr>
        <w:t>%；灾害防治及应急管理（类）</w:t>
      </w:r>
      <w:r>
        <w:rPr>
          <w:rFonts w:hint="eastAsia" w:ascii="仿宋_GB2312" w:hAnsi="黑体" w:eastAsia="仿宋_GB2312" w:cs="仿宋_GB2312"/>
          <w:sz w:val="32"/>
          <w:szCs w:val="32"/>
        </w:rPr>
        <w:t>支出33.3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0.98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1.社会保障和就业支出（类）人力资源和社会保障管理事务（款）其他人力资源和社会保障管理事务支出（项）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23.25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23.25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增加社会保障局宿舍楼拆除及建筑垃圾清运工作资金。</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35.73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按实际在职人员社保缴纳基数测算</w:t>
      </w:r>
      <w:r>
        <w:rPr>
          <w:rFonts w:hint="eastAsia" w:ascii="仿宋_GB2312" w:hAnsi="黑体" w:eastAsia="仿宋_GB2312"/>
          <w:sz w:val="32"/>
          <w:szCs w:val="32"/>
          <w:lang w:val="en-US" w:eastAsia="zh-CN"/>
        </w:rPr>
        <w:t>缴纳社保。</w:t>
      </w:r>
    </w:p>
    <w:p>
      <w:pPr>
        <w:ind w:firstLine="640" w:firstLineChars="200"/>
        <w:rPr>
          <w:rFonts w:ascii="仿宋_GB2312" w:hAnsi="黑体" w:eastAsia="仿宋_GB2312"/>
          <w:sz w:val="32"/>
          <w:szCs w:val="32"/>
        </w:rPr>
      </w:pPr>
      <w:r>
        <w:rPr>
          <w:rFonts w:hint="default" w:ascii="仿宋_GB2312" w:hAnsi="黑体" w:eastAsia="仿宋_GB2312"/>
          <w:sz w:val="32"/>
          <w:szCs w:val="32"/>
          <w:lang w:val="en-US"/>
        </w:rPr>
        <w:t>3</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社会保障和就业支出（类）行政事业单位养老支出（款）机关事业单位职业年金缴费支出（项）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17.86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按规定缴纳职业年金。</w:t>
      </w:r>
    </w:p>
    <w:p>
      <w:pPr>
        <w:ind w:firstLine="640" w:firstLineChars="200"/>
        <w:rPr>
          <w:rFonts w:ascii="仿宋_GB2312" w:hAnsi="黑体" w:eastAsia="仿宋_GB2312"/>
          <w:sz w:val="32"/>
          <w:szCs w:val="32"/>
        </w:rPr>
      </w:pPr>
      <w:r>
        <w:rPr>
          <w:rFonts w:hint="default" w:ascii="仿宋_GB2312" w:hAnsi="黑体" w:eastAsia="仿宋_GB2312"/>
          <w:sz w:val="32"/>
          <w:szCs w:val="32"/>
          <w:lang w:val="en-US"/>
        </w:rPr>
        <w:t>4</w:t>
      </w:r>
      <w:r>
        <w:rPr>
          <w:rFonts w:hint="eastAsia" w:ascii="仿宋_GB2312" w:hAnsi="黑体" w:eastAsia="仿宋_GB2312"/>
          <w:sz w:val="32"/>
          <w:szCs w:val="32"/>
        </w:rPr>
        <w:t>.</w:t>
      </w:r>
      <w:r>
        <w:rPr>
          <w:rFonts w:hint="eastAsia" w:ascii="仿宋_GB2312" w:hAnsi="黑体" w:eastAsia="仿宋_GB2312" w:cs="仿宋_GB2312"/>
          <w:sz w:val="32"/>
          <w:szCs w:val="32"/>
        </w:rPr>
        <w:t>卫生健康支出（类）行政事业单位医疗（款）行政单位医疗（项）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14.18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1.42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按实际在职人员社保缴纳基数测算</w:t>
      </w:r>
      <w:r>
        <w:rPr>
          <w:rFonts w:hint="eastAsia" w:ascii="仿宋_GB2312" w:hAnsi="黑体" w:eastAsia="仿宋_GB2312"/>
          <w:sz w:val="32"/>
          <w:szCs w:val="32"/>
          <w:lang w:val="en-US" w:eastAsia="zh-CN"/>
        </w:rPr>
        <w:t>缴纳社保。</w:t>
      </w:r>
    </w:p>
    <w:p>
      <w:pPr>
        <w:ind w:firstLine="640" w:firstLineChars="200"/>
        <w:rPr>
          <w:rFonts w:ascii="仿宋_GB2312" w:hAnsi="黑体" w:eastAsia="仿宋_GB2312"/>
          <w:sz w:val="32"/>
          <w:szCs w:val="32"/>
        </w:rPr>
      </w:pPr>
      <w:r>
        <w:rPr>
          <w:rFonts w:hint="default" w:ascii="仿宋_GB2312" w:hAnsi="黑体" w:eastAsia="仿宋_GB2312"/>
          <w:sz w:val="32"/>
          <w:szCs w:val="32"/>
          <w:lang w:val="en-US"/>
        </w:rPr>
        <w:t>5.</w:t>
      </w:r>
      <w:r>
        <w:rPr>
          <w:rFonts w:hint="eastAsia" w:ascii="仿宋_GB2312" w:hAnsi="黑体" w:eastAsia="仿宋_GB2312" w:cs="仿宋_GB2312"/>
          <w:sz w:val="32"/>
          <w:szCs w:val="32"/>
        </w:rPr>
        <w:t>卫生健康支出（类）行政事业单位医疗（款）公务员医疗补助（项）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26.61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0.38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公补</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缴纳公补。</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6.</w:t>
      </w:r>
      <w:r>
        <w:rPr>
          <w:rFonts w:hint="eastAsia" w:ascii="仿宋_GB2312" w:hAnsi="黑体" w:eastAsia="仿宋_GB2312" w:cs="仿宋_GB2312"/>
          <w:sz w:val="32"/>
          <w:szCs w:val="32"/>
        </w:rPr>
        <w:t>城乡社区支出（类）城乡社区管理事务（款）行政运行（项）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332.95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按实际在职人员测算相关经费。</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7.</w:t>
      </w:r>
      <w:r>
        <w:rPr>
          <w:rFonts w:hint="eastAsia" w:ascii="仿宋_GB2312" w:hAnsi="黑体" w:eastAsia="仿宋_GB2312" w:cs="仿宋_GB2312"/>
          <w:sz w:val="32"/>
          <w:szCs w:val="32"/>
        </w:rPr>
        <w:t>城乡社区支出（类）城乡社区管理事务（款）一般行政管理事务（项）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1,114.89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244.85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增加危房改造。</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8.</w:t>
      </w:r>
      <w:r>
        <w:rPr>
          <w:rFonts w:hint="eastAsia" w:ascii="仿宋_GB2312" w:hAnsi="黑体" w:eastAsia="仿宋_GB2312" w:cs="仿宋_GB2312"/>
          <w:sz w:val="32"/>
          <w:szCs w:val="32"/>
        </w:rPr>
        <w:t>城乡社区支出（类）城乡社区管理事务（款）工程建设标准规范编制与监管（项）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368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118</w:t>
      </w:r>
      <w:r>
        <w:rPr>
          <w:rFonts w:hint="eastAsia" w:ascii="仿宋_GB2312" w:hAnsi="黑体" w:eastAsia="仿宋_GB2312"/>
          <w:sz w:val="32"/>
          <w:szCs w:val="32"/>
        </w:rPr>
        <w:t>万元，主要是城市管理经费</w:t>
      </w:r>
      <w:r>
        <w:rPr>
          <w:rFonts w:hint="eastAsia" w:ascii="仿宋_GB2312" w:hAnsi="黑体" w:eastAsia="仿宋_GB2312"/>
          <w:sz w:val="32"/>
          <w:szCs w:val="32"/>
          <w:lang w:eastAsia="zh-CN"/>
        </w:rPr>
        <w:t>较去年有所增加。</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9.</w:t>
      </w:r>
      <w:r>
        <w:rPr>
          <w:rFonts w:hint="eastAsia" w:ascii="仿宋_GB2312" w:hAnsi="黑体" w:eastAsia="仿宋_GB2312" w:cs="仿宋_GB2312"/>
          <w:sz w:val="32"/>
          <w:szCs w:val="32"/>
        </w:rPr>
        <w:t>城乡社区支出（类）城乡社区规划与管理（款）城乡社区规划与管理（项）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417.75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187.75</w:t>
      </w:r>
      <w:r>
        <w:rPr>
          <w:rFonts w:hint="eastAsia" w:ascii="仿宋_GB2312" w:hAnsi="黑体" w:eastAsia="仿宋_GB2312"/>
          <w:sz w:val="32"/>
          <w:szCs w:val="32"/>
        </w:rPr>
        <w:t>万元，主要是规划管理经费</w:t>
      </w:r>
      <w:r>
        <w:rPr>
          <w:rFonts w:hint="eastAsia" w:ascii="仿宋_GB2312" w:hAnsi="黑体" w:eastAsia="仿宋_GB2312"/>
          <w:sz w:val="32"/>
          <w:szCs w:val="32"/>
          <w:lang w:eastAsia="zh-CN"/>
        </w:rPr>
        <w:t>较去年有所增加。</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10.</w:t>
      </w:r>
      <w:r>
        <w:rPr>
          <w:rFonts w:hint="eastAsia" w:ascii="仿宋_GB2312" w:hAnsi="黑体" w:eastAsia="仿宋_GB2312" w:cs="仿宋_GB2312"/>
          <w:sz w:val="32"/>
          <w:szCs w:val="32"/>
        </w:rPr>
        <w:t>城乡社区支出（类）城乡社区公共设施（款）小城镇基础设施建设（项）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182.03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182.03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w:t>
      </w:r>
      <w:r>
        <w:rPr>
          <w:rFonts w:hint="eastAsia" w:ascii="仿宋_GB2312" w:hAnsi="黑体" w:eastAsia="仿宋_GB2312"/>
          <w:sz w:val="32"/>
          <w:szCs w:val="32"/>
        </w:rPr>
        <w:t>三亚市龙岭北路市政工程（红沙隧道入口至春光路连接段）项目</w:t>
      </w:r>
      <w:r>
        <w:rPr>
          <w:rFonts w:hint="eastAsia" w:ascii="仿宋_GB2312" w:hAnsi="黑体" w:eastAsia="仿宋_GB2312"/>
          <w:sz w:val="32"/>
          <w:szCs w:val="32"/>
          <w:lang w:eastAsia="zh-CN"/>
        </w:rPr>
        <w:t>、三亚市重点区域防洪工程项目资金。</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11.</w:t>
      </w:r>
      <w:r>
        <w:rPr>
          <w:rFonts w:hint="eastAsia" w:ascii="仿宋_GB2312" w:hAnsi="黑体" w:eastAsia="仿宋_GB2312" w:cs="仿宋_GB2312"/>
          <w:sz w:val="32"/>
          <w:szCs w:val="32"/>
        </w:rPr>
        <w:t>城乡社区支出（类）城乡社区公共设施（款）其他城乡社区公共设施支出（项）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460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445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增加吉阳区新红路与福海苑路两侧人行道修复工程、吉阳区积水点排水能力提升工程、吉阳区老旧居民住宅区（第二批）线路安全隐患整治项目资金。</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12.</w:t>
      </w:r>
      <w:r>
        <w:rPr>
          <w:rFonts w:hint="eastAsia" w:ascii="仿宋_GB2312" w:hAnsi="黑体" w:eastAsia="仿宋_GB2312" w:cs="仿宋_GB2312"/>
          <w:sz w:val="32"/>
          <w:szCs w:val="32"/>
        </w:rPr>
        <w:t>城乡社区支出（类）其他城乡社区支出（款）其他城乡社区支出（项）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207.71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187.71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增加万科森林度假公园公寓楼雨污分流改造项目、吉阳区港门社区周边道路交通综合治理经费、吉阳区“三无”小区电动车集中充电设施设备提升工程项目资金。</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13.</w:t>
      </w:r>
      <w:r>
        <w:rPr>
          <w:rFonts w:hint="eastAsia" w:ascii="仿宋_GB2312" w:hAnsi="黑体" w:eastAsia="仿宋_GB2312" w:cs="仿宋_GB2312"/>
          <w:sz w:val="32"/>
          <w:szCs w:val="32"/>
        </w:rPr>
        <w:t>农林水支出（类）农业农村（款）农村社会事业（项）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124.41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124.41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增加乡村振兴及百镇千村补助资金。</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14.</w:t>
      </w:r>
      <w:r>
        <w:rPr>
          <w:rFonts w:hint="eastAsia" w:ascii="仿宋_GB2312" w:hAnsi="黑体" w:eastAsia="仿宋_GB2312" w:cs="仿宋_GB2312"/>
          <w:sz w:val="32"/>
          <w:szCs w:val="32"/>
        </w:rPr>
        <w:t>农林水支出（类）农业农村（款）其他农业农村（项）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万元，主要是农村厕所革命</w:t>
      </w:r>
      <w:r>
        <w:rPr>
          <w:rFonts w:hint="eastAsia" w:ascii="仿宋_GB2312" w:hAnsi="黑体" w:eastAsia="仿宋_GB2312"/>
          <w:sz w:val="32"/>
          <w:szCs w:val="32"/>
          <w:lang w:eastAsia="zh-CN"/>
        </w:rPr>
        <w:t>经费。</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15.</w:t>
      </w:r>
      <w:r>
        <w:rPr>
          <w:rFonts w:hint="eastAsia" w:ascii="仿宋_GB2312" w:hAnsi="黑体" w:eastAsia="仿宋_GB2312" w:cs="仿宋_GB2312"/>
          <w:sz w:val="32"/>
          <w:szCs w:val="32"/>
        </w:rPr>
        <w:t>农林水支出（类）巩固脱贫攻坚成果衔接乡村振兴（款）其他巩固脱贫攻坚成果衔接乡村振兴（项）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5.77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0.5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足额保障乡村振兴经费。</w:t>
      </w:r>
    </w:p>
    <w:p>
      <w:pPr>
        <w:ind w:firstLine="640" w:firstLineChars="200"/>
        <w:rPr>
          <w:rFonts w:hint="eastAsia" w:ascii="仿宋_GB2312" w:hAnsi="黑体" w:eastAsia="仿宋_GB2312"/>
          <w:sz w:val="32"/>
          <w:szCs w:val="32"/>
          <w:lang w:val="en-US" w:eastAsia="zh-CN"/>
        </w:rPr>
      </w:pPr>
      <w:r>
        <w:rPr>
          <w:rFonts w:hint="default" w:ascii="仿宋_GB2312" w:hAnsi="黑体" w:eastAsia="仿宋_GB2312"/>
          <w:sz w:val="32"/>
          <w:szCs w:val="32"/>
          <w:lang w:val="en-US"/>
        </w:rPr>
        <w:t>16.</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29.67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0.32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住房公积金</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缴纳住房公积金。</w:t>
      </w:r>
    </w:p>
    <w:p>
      <w:pPr>
        <w:ind w:firstLine="640" w:firstLineChars="200"/>
        <w:rPr>
          <w:rFonts w:hint="eastAsia" w:ascii="仿宋_GB2312" w:hAnsi="黑体" w:eastAsia="仿宋_GB2312"/>
          <w:sz w:val="32"/>
          <w:szCs w:val="32"/>
          <w:lang w:eastAsia="zh-CN"/>
        </w:rPr>
      </w:pPr>
      <w:r>
        <w:rPr>
          <w:rFonts w:hint="default" w:ascii="仿宋_GB2312" w:hAnsi="黑体" w:eastAsia="仿宋_GB2312"/>
          <w:sz w:val="32"/>
          <w:szCs w:val="32"/>
          <w:lang w:val="en-US"/>
        </w:rPr>
        <w:t>17.</w:t>
      </w:r>
      <w:r>
        <w:rPr>
          <w:rFonts w:hint="eastAsia" w:ascii="仿宋_GB2312" w:hAnsi="黑体" w:eastAsia="仿宋_GB2312" w:cs="仿宋_GB2312"/>
          <w:sz w:val="32"/>
          <w:szCs w:val="32"/>
        </w:rPr>
        <w:t>灾害防治及应急管理支出（类）自然灾害救灾及恢复重建支出（款）其他自然灾害救灾及恢复重建支出（项）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33.3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增加自然灾害救灾资金。</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三亚市吉阳区住房和城乡建设局</w:t>
      </w:r>
      <w:r>
        <w:rPr>
          <w:rFonts w:hint="eastAsia" w:ascii="黑体" w:hAnsi="黑体" w:eastAsia="黑体"/>
          <w:sz w:val="32"/>
          <w:szCs w:val="32"/>
        </w:rPr>
        <w:t>单位</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457.01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441.17</w:t>
      </w:r>
      <w:r>
        <w:rPr>
          <w:rFonts w:hint="eastAsia" w:ascii="仿宋_GB2312" w:hAnsi="黑体" w:eastAsia="仿宋_GB2312"/>
          <w:sz w:val="32"/>
          <w:szCs w:val="32"/>
        </w:rPr>
        <w:t>万元，主要包括：基本工资、津贴补贴、奖金、绩效工资</w:t>
      </w:r>
      <w:r>
        <w:rPr>
          <w:rFonts w:hint="eastAsia" w:ascii="仿宋_GB2312" w:hAnsi="黑体" w:eastAsia="仿宋_GB2312"/>
          <w:sz w:val="32"/>
          <w:szCs w:val="32"/>
          <w:lang w:eastAsia="zh-CN"/>
        </w:rPr>
        <w:t>、机关事业单位基本养老保险缴费、职业年金缴费、职工基本医疗保险缴费、公务员医疗补助缴费、其他社会保障缴费、住房公积金、其他工资福利支出、邮电费、其他交通费用</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15.84</w:t>
      </w:r>
      <w:r>
        <w:rPr>
          <w:rFonts w:hint="eastAsia" w:ascii="仿宋_GB2312" w:hAnsi="黑体" w:eastAsia="仿宋_GB2312"/>
          <w:sz w:val="32"/>
          <w:szCs w:val="32"/>
        </w:rPr>
        <w:t>万元，主要包括：办公费、工会经费</w:t>
      </w:r>
      <w:r>
        <w:rPr>
          <w:rFonts w:hint="eastAsia" w:ascii="仿宋_GB2312" w:hAnsi="黑体" w:eastAsia="仿宋_GB2312"/>
          <w:sz w:val="32"/>
          <w:szCs w:val="32"/>
          <w:lang w:eastAsia="zh-CN"/>
        </w:rPr>
        <w:t>、公务用车运行维护费、其他商品和服务支出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shd w:val="clear"/>
        </w:rPr>
        <w:t>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年“三公”经</w:t>
      </w:r>
      <w:r>
        <w:rPr>
          <w:rFonts w:ascii="黑体" w:hAnsi="黑体" w:eastAsia="黑体" w:cs="Times New Roman"/>
          <w:sz w:val="32"/>
          <w:shd w:val="clear" w:color="auto" w:fill="FFFFFF"/>
        </w:rPr>
        <w:t>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0.6</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0.6</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shd w:val="clear"/>
        </w:rPr>
        <w:t>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年政府性基金</w:t>
      </w:r>
      <w:r>
        <w:rPr>
          <w:rFonts w:hint="eastAsia" w:ascii="黑体" w:hAnsi="黑体" w:eastAsia="黑体" w:cs="Times New Roman"/>
          <w:sz w:val="32"/>
          <w:shd w:val="clear" w:color="auto" w:fill="FFFFFF"/>
        </w:rPr>
        <w:t>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8,568.11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8364.36</w:t>
      </w:r>
      <w:r>
        <w:rPr>
          <w:rFonts w:hint="eastAsia" w:ascii="仿宋_GB2312" w:hAnsi="黑体" w:eastAsia="仿宋_GB2312"/>
          <w:sz w:val="32"/>
          <w:szCs w:val="32"/>
        </w:rPr>
        <w:t>万元，主要是国有建设用地使用权出让合同（三亚综合客运枢纽项目）</w:t>
      </w:r>
      <w:r>
        <w:rPr>
          <w:rFonts w:hint="eastAsia" w:ascii="仿宋_GB2312" w:hAnsi="黑体" w:eastAsia="仿宋_GB2312"/>
          <w:sz w:val="32"/>
          <w:szCs w:val="32"/>
          <w:lang w:eastAsia="zh-CN"/>
        </w:rPr>
        <w:t>项目资金</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城乡社区（类）支出8,257.61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96.38</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支出310.5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3.62</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城乡社区支出（类）国有土地使用权出让收入安排的支出（款）征地和拆迁补偿支出（项）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559.31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2335.14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w:t>
      </w:r>
      <w:r>
        <w:rPr>
          <w:rFonts w:hint="eastAsia" w:ascii="仿宋_GB2312" w:hAnsi="黑体" w:eastAsia="仿宋_GB2312"/>
          <w:sz w:val="32"/>
          <w:szCs w:val="32"/>
        </w:rPr>
        <w:t>三亚市迎宾路中段排洪沟迁改工程项目</w:t>
      </w:r>
      <w:r>
        <w:rPr>
          <w:rFonts w:hint="eastAsia" w:ascii="仿宋_GB2312" w:hAnsi="黑体" w:eastAsia="仿宋_GB2312"/>
          <w:sz w:val="32"/>
          <w:szCs w:val="32"/>
          <w:lang w:eastAsia="zh-CN"/>
        </w:rPr>
        <w:t>、征收补偿安置费用</w:t>
      </w:r>
      <w:r>
        <w:rPr>
          <w:rFonts w:hint="eastAsia" w:ascii="仿宋_GB2312" w:hAnsi="黑体" w:eastAsia="仿宋_GB2312"/>
          <w:sz w:val="32"/>
          <w:szCs w:val="32"/>
          <w:lang w:val="en-US" w:eastAsia="zh-CN"/>
        </w:rPr>
        <w:t>等资金</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2.</w:t>
      </w:r>
      <w:r>
        <w:rPr>
          <w:rFonts w:hint="eastAsia" w:ascii="仿宋_GB2312" w:hAnsi="黑体" w:eastAsia="仿宋_GB2312" w:cs="仿宋_GB2312"/>
          <w:sz w:val="32"/>
          <w:szCs w:val="32"/>
        </w:rPr>
        <w:t>城乡社区支出（类）国有土地使用权出让收入安排的支出（款）城市建设支出（项）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1,517.44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1160.43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增加三亚市鹿回头景区三纵路贯通工程、</w:t>
      </w:r>
      <w:r>
        <w:rPr>
          <w:rFonts w:hint="eastAsia" w:ascii="仿宋_GB2312" w:hAnsi="黑体" w:eastAsia="仿宋_GB2312"/>
          <w:sz w:val="32"/>
          <w:szCs w:val="32"/>
        </w:rPr>
        <w:t>三亚市防灾减灾实战实训基地配套基础设施工程</w:t>
      </w:r>
      <w:r>
        <w:rPr>
          <w:rFonts w:hint="eastAsia" w:ascii="仿宋_GB2312" w:hAnsi="黑体" w:eastAsia="仿宋_GB2312"/>
          <w:sz w:val="32"/>
          <w:szCs w:val="32"/>
          <w:lang w:eastAsia="zh-CN"/>
        </w:rPr>
        <w:t>等项目资金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cs="仿宋_GB2312"/>
          <w:sz w:val="32"/>
          <w:szCs w:val="32"/>
        </w:rPr>
        <w:t>城乡社区支出（类）国有土地使用权出让收入安排的支出（款）其他国有土地使用权出让收入安排的支出（项）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6,180.87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2905.88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增加三亚市抱坡片区棚户区改造项目、吉阳区下洋田第二片区山体防治工程等项目资金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住房保障支出（类）超长期特别国债安排的支出（款）其他住房保障支出（项）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310.5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310.5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增加三亚市住宅老旧电梯更新改造项目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shd w:val="clear"/>
        </w:rPr>
        <w:t>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年收支预算情</w:t>
      </w:r>
      <w:r>
        <w:rPr>
          <w:rFonts w:hint="eastAsia" w:ascii="黑体" w:hAnsi="黑体" w:eastAsia="黑体" w:cs="Times New Roman"/>
          <w:sz w:val="32"/>
          <w:shd w:val="clear" w:color="auto" w:fill="FFFFFF"/>
        </w:rPr>
        <w:t>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单位所有收入和支出均纳入部门预算管理。收入包括：一般公共预算收入、政府性基金收入</w:t>
      </w:r>
      <w:r>
        <w:rPr>
          <w:rFonts w:hint="eastAsia" w:ascii="仿宋_GB2312" w:hAnsi="黑体" w:eastAsia="仿宋_GB2312"/>
          <w:sz w:val="32"/>
          <w:szCs w:val="32"/>
        </w:rPr>
        <w:t>；支出包括： 社会保障和就业支出</w:t>
      </w:r>
      <w:r>
        <w:rPr>
          <w:rFonts w:hint="eastAsia" w:ascii="仿宋_GB2312" w:hAnsi="黑体" w:eastAsia="仿宋_GB2312"/>
          <w:sz w:val="32"/>
          <w:szCs w:val="32"/>
          <w:lang w:eastAsia="zh-CN"/>
        </w:rPr>
        <w:t>、 卫生健康支出、 城乡社区支出、 农林水支出、 住房保障支出、 灾害防治及应急管理支出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11,977.22</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shd w:val="clear"/>
        </w:rPr>
        <w:t>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年收入预算</w:t>
      </w:r>
      <w:r>
        <w:rPr>
          <w:rFonts w:hint="eastAsia" w:ascii="黑体" w:hAnsi="黑体" w:eastAsia="黑体" w:cs="Times New Roman"/>
          <w:sz w:val="32"/>
          <w:shd w:val="clear" w:color="auto" w:fill="FFFFFF"/>
        </w:rPr>
        <w:t>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19,542.83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14,152.09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72.42</w:t>
      </w:r>
      <w:r>
        <w:rPr>
          <w:rFonts w:hint="eastAsia" w:ascii="仿宋_GB2312" w:hAnsi="黑体" w:eastAsia="仿宋_GB2312"/>
          <w:sz w:val="32"/>
          <w:szCs w:val="32"/>
        </w:rPr>
        <w:t>%；一般公共预算拨款收入3,110.74万元，占</w:t>
      </w:r>
      <w:r>
        <w:rPr>
          <w:rFonts w:hint="eastAsia" w:ascii="仿宋_GB2312" w:hAnsi="黑体" w:eastAsia="仿宋_GB2312" w:cs="仿宋_GB2312"/>
          <w:sz w:val="32"/>
          <w:szCs w:val="32"/>
          <w:lang w:val="en-US" w:eastAsia="zh-CN"/>
        </w:rPr>
        <w:t>15.87</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2,280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11.67</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235.71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减少上年结转收入</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三亚市吉阳区住房和城乡建设局</w:t>
      </w:r>
      <w:r>
        <w:rPr>
          <w:rFonts w:hint="eastAsia" w:ascii="黑体" w:hAnsi="黑体" w:eastAsia="黑体" w:cs="黑体"/>
          <w:sz w:val="32"/>
          <w:szCs w:val="32"/>
          <w:shd w:val="clear"/>
        </w:rPr>
        <w:t>单位</w:t>
      </w:r>
      <w:r>
        <w:rPr>
          <w:rFonts w:hint="eastAsia" w:ascii="黑体" w:hAnsi="黑体" w:eastAsia="黑体"/>
          <w:sz w:val="32"/>
          <w:szCs w:val="32"/>
          <w:lang w:val="en-US" w:eastAsia="zh-CN"/>
        </w:rPr>
        <w:t>2026</w:t>
      </w:r>
      <w:r>
        <w:rPr>
          <w:rFonts w:hint="eastAsia" w:ascii="黑体" w:hAnsi="黑体" w:eastAsia="黑体" w:cs="黑体"/>
          <w:sz w:val="32"/>
          <w:szCs w:val="32"/>
          <w:shd w:val="clear"/>
        </w:rPr>
        <w:t>年支出预算</w:t>
      </w:r>
      <w:r>
        <w:rPr>
          <w:rFonts w:hint="eastAsia" w:ascii="黑体" w:hAnsi="黑体" w:eastAsia="黑体" w:cs="Times New Roman"/>
          <w:sz w:val="32"/>
          <w:shd w:val="clear" w:color="auto" w:fill="FFFFFF"/>
        </w:rPr>
        <w:t>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19,542.83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457.01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2.34</w:t>
      </w:r>
      <w:r>
        <w:rPr>
          <w:rFonts w:hint="eastAsia" w:ascii="仿宋_GB2312" w:hAnsi="黑体" w:eastAsia="仿宋_GB2312"/>
          <w:sz w:val="32"/>
          <w:szCs w:val="32"/>
        </w:rPr>
        <w:t>%；项目支出</w:t>
      </w:r>
      <w:r>
        <w:rPr>
          <w:rFonts w:hint="eastAsia" w:ascii="仿宋_GB2312" w:hAnsi="黑体" w:eastAsia="仿宋_GB2312" w:cs="仿宋_GB2312"/>
          <w:sz w:val="32"/>
          <w:szCs w:val="32"/>
        </w:rPr>
        <w:t>19,085.82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97.66</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235.71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减少上年结转支出</w:t>
      </w:r>
      <w:r>
        <w:rPr>
          <w:rFonts w:hint="eastAsia" w:ascii="仿宋_GB2312" w:hAnsi="黑体" w:eastAsia="仿宋_GB2312"/>
          <w:sz w:val="32"/>
          <w:szCs w:val="32"/>
        </w:rPr>
        <w:t>。</w:t>
      </w:r>
      <w:r>
        <w:rPr>
          <w:rFonts w:hint="eastAsia" w:ascii="仿宋_GB2312" w:hAnsi="黑体" w:eastAsia="仿宋_GB2312"/>
          <w:sz w:val="32"/>
          <w:szCs w:val="32"/>
          <w:lang w:val="en-US" w:eastAsia="zh-CN"/>
        </w:rPr>
        <w:t>其中委托业务费预算总额</w:t>
      </w:r>
      <w:r>
        <w:rPr>
          <w:rFonts w:hint="eastAsia" w:ascii="仿宋_GB2312" w:hAnsi="黑体" w:eastAsia="仿宋_GB2312" w:cs="仿宋_GB2312"/>
          <w:sz w:val="32"/>
          <w:szCs w:val="32"/>
          <w:lang w:val="en-US" w:eastAsia="zh-CN"/>
        </w:rPr>
        <w:t>2120.02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比上年预算数增加</w:t>
      </w:r>
      <w:r>
        <w:rPr>
          <w:rFonts w:hint="eastAsia" w:ascii="仿宋_GB2312" w:hAnsi="黑体" w:eastAsia="仿宋_GB2312" w:cs="仿宋_GB2312"/>
          <w:sz w:val="32"/>
          <w:szCs w:val="32"/>
          <w:lang w:val="en-US" w:eastAsia="zh-CN"/>
        </w:rPr>
        <w:t>1058.67</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单位机关运行经费预算</w:t>
      </w:r>
      <w:r>
        <w:rPr>
          <w:rFonts w:hint="eastAsia" w:ascii="仿宋_GB2312" w:hAnsi="黑体" w:eastAsia="仿宋_GB2312" w:cs="仿宋_GB2312"/>
          <w:sz w:val="32"/>
          <w:szCs w:val="32"/>
          <w:lang w:val="en-US" w:eastAsia="zh-CN"/>
        </w:rPr>
        <w:t>15.84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lang w:val="en-US" w:eastAsia="zh-CN"/>
        </w:rPr>
        <w:t>单位</w:t>
      </w:r>
      <w:r>
        <w:rPr>
          <w:rFonts w:hint="eastAsia" w:ascii="仿宋_GB2312" w:hAnsi="黑体" w:eastAsia="仿宋_GB2312" w:cs="仿宋_GB2312"/>
          <w:sz w:val="32"/>
          <w:szCs w:val="32"/>
        </w:rPr>
        <w:t>政府采购预算总额1,905</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490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1,415</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三亚市吉阳区住房和城乡建设局</w:t>
      </w:r>
      <w:r>
        <w:rPr>
          <w:rFonts w:hint="eastAsia" w:ascii="仿宋_GB2312" w:hAnsi="黑体" w:eastAsia="仿宋_GB2312" w:cs="仿宋_GB2312"/>
          <w:sz w:val="32"/>
          <w:szCs w:val="32"/>
        </w:rPr>
        <w:t>单位</w:t>
      </w:r>
      <w:r>
        <w:rPr>
          <w:rFonts w:hint="eastAsia" w:ascii="仿宋_GB2312" w:hAnsi="黑体" w:eastAsia="仿宋_GB2312" w:cs="仿宋_GB2312"/>
          <w:sz w:val="32"/>
          <w:szCs w:val="32"/>
          <w:lang w:val="en-US" w:eastAsia="zh-CN"/>
        </w:rPr>
        <w:t>47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2952.11</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8,568.11</w:t>
      </w:r>
      <w:r>
        <w:rPr>
          <w:rFonts w:hint="eastAsia" w:ascii="仿宋_GB2312" w:hAnsi="黑体" w:eastAsia="仿宋_GB2312"/>
          <w:sz w:val="32"/>
          <w:szCs w:val="32"/>
        </w:rPr>
        <w:t>万元、单位资金7,565.6</w:t>
      </w:r>
      <w:r>
        <w:rPr>
          <w:rFonts w:hint="eastAsia" w:ascii="仿宋_GB2312" w:hAnsi="黑体" w:eastAsia="仿宋_GB2312"/>
          <w:sz w:val="32"/>
          <w:szCs w:val="32"/>
          <w:lang w:eastAsia="zh-CN"/>
        </w:rPr>
        <w:t>万元</w:t>
      </w:r>
      <w:r>
        <w:rPr>
          <w:rFonts w:hint="eastAsia" w:ascii="仿宋_GB2312" w:hAnsi="黑体" w:eastAsia="仿宋_GB2312"/>
          <w:sz w:val="32"/>
          <w:szCs w:val="32"/>
        </w:rPr>
        <w:t>。</w:t>
      </w:r>
    </w:p>
    <w:p>
      <w:pPr>
        <w:jc w:val="center"/>
        <w:rPr>
          <w:rFonts w:ascii="黑体" w:hAnsi="黑体" w:eastAsia="黑体"/>
          <w:sz w:val="32"/>
          <w:szCs w:val="32"/>
        </w:rPr>
      </w:pPr>
      <w:bookmarkStart w:id="9" w:name="_GoBack"/>
      <w:bookmarkEnd w:id="9"/>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94F54"/>
    <w:rsid w:val="0E931C24"/>
    <w:rsid w:val="12EE7B04"/>
    <w:rsid w:val="135E592D"/>
    <w:rsid w:val="153C6BA1"/>
    <w:rsid w:val="19705040"/>
    <w:rsid w:val="19D5DA33"/>
    <w:rsid w:val="1D5F41D5"/>
    <w:rsid w:val="1FBF8E30"/>
    <w:rsid w:val="21BE2CD9"/>
    <w:rsid w:val="22436337"/>
    <w:rsid w:val="2692351C"/>
    <w:rsid w:val="277F540C"/>
    <w:rsid w:val="2BDF0DC0"/>
    <w:rsid w:val="2FBD22E3"/>
    <w:rsid w:val="2FCD1712"/>
    <w:rsid w:val="2FF7110D"/>
    <w:rsid w:val="2FFFCED3"/>
    <w:rsid w:val="337DF6BA"/>
    <w:rsid w:val="3D76417D"/>
    <w:rsid w:val="3DD33125"/>
    <w:rsid w:val="3F7FB4B5"/>
    <w:rsid w:val="3FAD4D11"/>
    <w:rsid w:val="3FFBDD5C"/>
    <w:rsid w:val="420109D2"/>
    <w:rsid w:val="42DB2D71"/>
    <w:rsid w:val="4824065F"/>
    <w:rsid w:val="4B65AADB"/>
    <w:rsid w:val="4FB80849"/>
    <w:rsid w:val="51F8677D"/>
    <w:rsid w:val="52FFBE2F"/>
    <w:rsid w:val="5BFF818D"/>
    <w:rsid w:val="5DB7E539"/>
    <w:rsid w:val="5EBD08BF"/>
    <w:rsid w:val="5FE514F1"/>
    <w:rsid w:val="604068AC"/>
    <w:rsid w:val="618C5802"/>
    <w:rsid w:val="64BE5D5D"/>
    <w:rsid w:val="66DACB0B"/>
    <w:rsid w:val="6740575C"/>
    <w:rsid w:val="67C550FB"/>
    <w:rsid w:val="67C78D92"/>
    <w:rsid w:val="697BF56A"/>
    <w:rsid w:val="6B6CE30F"/>
    <w:rsid w:val="6B7728A7"/>
    <w:rsid w:val="6BF51A5F"/>
    <w:rsid w:val="6C7F1319"/>
    <w:rsid w:val="6DDF74AC"/>
    <w:rsid w:val="6FAF0D8D"/>
    <w:rsid w:val="6FBF3443"/>
    <w:rsid w:val="6FCFCADC"/>
    <w:rsid w:val="6FFA4FE6"/>
    <w:rsid w:val="75FB0B04"/>
    <w:rsid w:val="762A25A7"/>
    <w:rsid w:val="774DC83D"/>
    <w:rsid w:val="77777BA9"/>
    <w:rsid w:val="77F3D5AA"/>
    <w:rsid w:val="77F7D7C0"/>
    <w:rsid w:val="77FC75B7"/>
    <w:rsid w:val="79F7B683"/>
    <w:rsid w:val="7A6A02D0"/>
    <w:rsid w:val="7BDF6A2A"/>
    <w:rsid w:val="7BDFB52E"/>
    <w:rsid w:val="7BFFF602"/>
    <w:rsid w:val="7D73BCCE"/>
    <w:rsid w:val="7DE79FA0"/>
    <w:rsid w:val="7DEBCAFF"/>
    <w:rsid w:val="7DEFF475"/>
    <w:rsid w:val="7EDBA4BE"/>
    <w:rsid w:val="7EDD8B29"/>
    <w:rsid w:val="7F5E3144"/>
    <w:rsid w:val="7F7E9B75"/>
    <w:rsid w:val="7FA514C2"/>
    <w:rsid w:val="7FBFC294"/>
    <w:rsid w:val="7FF73252"/>
    <w:rsid w:val="7FFDF15C"/>
    <w:rsid w:val="93F36975"/>
    <w:rsid w:val="97FF53C2"/>
    <w:rsid w:val="AADF2E0B"/>
    <w:rsid w:val="AF3F5406"/>
    <w:rsid w:val="B1FF26C5"/>
    <w:rsid w:val="B3C733FA"/>
    <w:rsid w:val="B7F502DB"/>
    <w:rsid w:val="B9D2CE32"/>
    <w:rsid w:val="BB7F118A"/>
    <w:rsid w:val="BDDD01F0"/>
    <w:rsid w:val="BDF64943"/>
    <w:rsid w:val="BDFB4839"/>
    <w:rsid w:val="BDFFB2C1"/>
    <w:rsid w:val="BEDB7D0E"/>
    <w:rsid w:val="BEFE3A91"/>
    <w:rsid w:val="BFBF28F4"/>
    <w:rsid w:val="BFFBBED2"/>
    <w:rsid w:val="C7EB2CB0"/>
    <w:rsid w:val="C7FF81B3"/>
    <w:rsid w:val="C8DEDEE1"/>
    <w:rsid w:val="CA766757"/>
    <w:rsid w:val="CD2464D5"/>
    <w:rsid w:val="CDF8CB26"/>
    <w:rsid w:val="CFF98D90"/>
    <w:rsid w:val="D6B7BC9D"/>
    <w:rsid w:val="D9D77693"/>
    <w:rsid w:val="DE7FF6A4"/>
    <w:rsid w:val="DEFF07CB"/>
    <w:rsid w:val="DF4B0D24"/>
    <w:rsid w:val="DF6D601A"/>
    <w:rsid w:val="DFF5105A"/>
    <w:rsid w:val="E79BB625"/>
    <w:rsid w:val="E7F2AC16"/>
    <w:rsid w:val="E99F73C2"/>
    <w:rsid w:val="EBFF3366"/>
    <w:rsid w:val="EDFF1076"/>
    <w:rsid w:val="EE9B77E5"/>
    <w:rsid w:val="EEFDDBC4"/>
    <w:rsid w:val="F3DAEB57"/>
    <w:rsid w:val="F6BFA2E3"/>
    <w:rsid w:val="F6DEF973"/>
    <w:rsid w:val="F6EED464"/>
    <w:rsid w:val="F7E3A187"/>
    <w:rsid w:val="FAD6D157"/>
    <w:rsid w:val="FAE5D1BF"/>
    <w:rsid w:val="FB3D6908"/>
    <w:rsid w:val="FB3FB071"/>
    <w:rsid w:val="FBB7B09C"/>
    <w:rsid w:val="FCD753D6"/>
    <w:rsid w:val="FCE7F6E0"/>
    <w:rsid w:val="FCEF298F"/>
    <w:rsid w:val="FDFEC3EF"/>
    <w:rsid w:val="FE7ECB35"/>
    <w:rsid w:val="FEB7BAAB"/>
    <w:rsid w:val="FEFFDE7B"/>
    <w:rsid w:val="FEFFF688"/>
    <w:rsid w:val="FF1D4DC2"/>
    <w:rsid w:val="FFC77F88"/>
    <w:rsid w:val="FFDF509F"/>
    <w:rsid w:val="FFF4E2CB"/>
    <w:rsid w:val="FFFD48F6"/>
    <w:rsid w:val="FFFE335C"/>
    <w:rsid w:val="FFFF3E43"/>
    <w:rsid w:val="FFFF50D9"/>
    <w:rsid w:val="FFFFFC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Body text|1"/>
    <w:basedOn w:val="1"/>
    <w:qFormat/>
    <w:uiPriority w:val="0"/>
    <w:pPr>
      <w:widowControl w:val="0"/>
      <w:shd w:val="clear" w:color="auto" w:fill="auto"/>
      <w:spacing w:line="434"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2017-02-08T23:31:00Z</dcterms:created>
  <dc:creator>null,null,总收发</dc:creator>
  <cp:lastModifiedBy>86182</cp:lastModifiedBy>
  <dcterms:modified xsi:type="dcterms:W3CDTF">2026-03-10T11:35:44Z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85739AA6E9CDA162D5BC9E696024D31B_42</vt:lpwstr>
  </property>
</Properties>
</file>