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wordWrap/>
        <w:adjustRightInd/>
        <w:snapToGrid/>
        <w:spacing w:line="578" w:lineRule="exact"/>
        <w:ind w:left="0" w:leftChars="0" w:right="0" w:firstLine="836" w:firstLineChars="200"/>
        <w:jc w:val="both"/>
        <w:textAlignment w:val="auto"/>
        <w:rPr>
          <w:rFonts w:hint="eastAsia" w:ascii="方正小标宋简体" w:hAnsi="方正小标宋简体" w:eastAsia="方正小标宋简体" w:cs="方正小标宋简体"/>
          <w:color w:val="auto"/>
          <w:spacing w:val="-11"/>
          <w:sz w:val="44"/>
          <w:szCs w:val="44"/>
          <w:highlight w:val="none"/>
          <w:lang w:val="en-US" w:eastAsia="zh-CN"/>
        </w:rPr>
      </w:pPr>
      <w:r>
        <w:rPr>
          <w:rFonts w:hint="eastAsia" w:ascii="方正小标宋简体" w:hAnsi="方正小标宋简体" w:eastAsia="方正小标宋简体" w:cs="方正小标宋简体"/>
          <w:color w:val="auto"/>
          <w:spacing w:val="-11"/>
          <w:sz w:val="44"/>
          <w:szCs w:val="44"/>
          <w:highlight w:val="none"/>
          <w:lang w:eastAsia="zh-CN"/>
        </w:rPr>
        <w:t>关于三亚市吉阳区</w:t>
      </w:r>
      <w:r>
        <w:rPr>
          <w:rFonts w:hint="default" w:ascii="Times New Roman" w:hAnsi="Times New Roman" w:eastAsia="方正小标宋简体" w:cs="Times New Roman"/>
          <w:color w:val="auto"/>
          <w:spacing w:val="-11"/>
          <w:sz w:val="44"/>
          <w:szCs w:val="44"/>
          <w:highlight w:val="none"/>
          <w:lang w:val="en-US" w:eastAsia="zh-CN"/>
        </w:rPr>
        <w:t>2025</w:t>
      </w:r>
      <w:r>
        <w:rPr>
          <w:rFonts w:hint="eastAsia" w:ascii="方正小标宋简体" w:hAnsi="方正小标宋简体" w:eastAsia="方正小标宋简体" w:cs="方正小标宋简体"/>
          <w:color w:val="auto"/>
          <w:spacing w:val="-11"/>
          <w:sz w:val="44"/>
          <w:szCs w:val="44"/>
          <w:highlight w:val="none"/>
          <w:lang w:val="en-US" w:eastAsia="zh-CN"/>
        </w:rPr>
        <w:t>年预算执行情况</w:t>
      </w:r>
    </w:p>
    <w:p>
      <w:pPr>
        <w:pStyle w:val="20"/>
        <w:wordWrap/>
        <w:adjustRightInd/>
        <w:snapToGrid/>
        <w:spacing w:line="578" w:lineRule="exact"/>
        <w:ind w:left="0" w:leftChars="0" w:right="0"/>
        <w:jc w:val="center"/>
        <w:textAlignment w:val="auto"/>
        <w:rPr>
          <w:rFonts w:hint="eastAsia" w:ascii="方正小标宋简体" w:hAnsi="方正小标宋简体" w:eastAsia="方正小标宋简体" w:cs="方正小标宋简体"/>
          <w:color w:val="auto"/>
          <w:spacing w:val="-11"/>
          <w:sz w:val="44"/>
          <w:szCs w:val="44"/>
          <w:highlight w:val="none"/>
          <w:lang w:val="en-US" w:eastAsia="zh-CN"/>
        </w:rPr>
      </w:pPr>
      <w:r>
        <w:rPr>
          <w:rFonts w:hint="eastAsia" w:ascii="方正小标宋简体" w:hAnsi="方正小标宋简体" w:eastAsia="方正小标宋简体" w:cs="方正小标宋简体"/>
          <w:color w:val="auto"/>
          <w:spacing w:val="-11"/>
          <w:sz w:val="44"/>
          <w:szCs w:val="44"/>
          <w:highlight w:val="none"/>
          <w:lang w:val="en-US" w:eastAsia="zh-CN"/>
        </w:rPr>
        <w:t>和</w:t>
      </w:r>
      <w:r>
        <w:rPr>
          <w:rFonts w:hint="default" w:ascii="Times New Roman" w:hAnsi="Times New Roman" w:eastAsia="方正小标宋简体" w:cs="Times New Roman"/>
          <w:color w:val="auto"/>
          <w:spacing w:val="-11"/>
          <w:sz w:val="44"/>
          <w:szCs w:val="44"/>
          <w:highlight w:val="none"/>
          <w:lang w:val="en-US" w:eastAsia="zh-CN"/>
        </w:rPr>
        <w:t>2026</w:t>
      </w:r>
      <w:r>
        <w:rPr>
          <w:rFonts w:hint="eastAsia" w:ascii="方正小标宋简体" w:hAnsi="方正小标宋简体" w:eastAsia="方正小标宋简体" w:cs="方正小标宋简体"/>
          <w:color w:val="auto"/>
          <w:spacing w:val="-11"/>
          <w:sz w:val="44"/>
          <w:szCs w:val="44"/>
          <w:highlight w:val="none"/>
          <w:lang w:val="en-US" w:eastAsia="zh-CN"/>
        </w:rPr>
        <w:t>年预算草案的报告</w:t>
      </w:r>
    </w:p>
    <w:p>
      <w:pPr>
        <w:pStyle w:val="20"/>
        <w:wordWrap/>
        <w:adjustRightInd/>
        <w:snapToGrid/>
        <w:spacing w:line="578" w:lineRule="exact"/>
        <w:ind w:left="0" w:leftChars="0" w:right="0"/>
        <w:jc w:val="center"/>
        <w:textAlignment w:val="auto"/>
        <w:rPr>
          <w:rFonts w:hint="eastAsia" w:ascii="方正小标宋简体" w:hAnsi="方正小标宋简体" w:eastAsia="方正小标宋简体" w:cs="方正小标宋简体"/>
          <w:color w:val="auto"/>
          <w:spacing w:val="-11"/>
          <w:sz w:val="44"/>
          <w:szCs w:val="44"/>
          <w:highlight w:val="none"/>
          <w:lang w:val="en-US" w:eastAsia="zh-CN"/>
        </w:rPr>
      </w:pPr>
    </w:p>
    <w:p>
      <w:pPr>
        <w:keepNext w:val="0"/>
        <w:keepLines w:val="0"/>
        <w:pageBreakBefore w:val="0"/>
        <w:widowControl w:val="0"/>
        <w:kinsoku/>
        <w:wordWrap/>
        <w:overflowPunct/>
        <w:topLinePunct w:val="0"/>
        <w:autoSpaceDN/>
        <w:bidi w:val="0"/>
        <w:adjustRightInd/>
        <w:snapToGrid/>
        <w:spacing w:line="578" w:lineRule="exact"/>
        <w:ind w:left="0" w:leftChars="0" w:right="0"/>
        <w:jc w:val="center"/>
        <w:textAlignment w:val="auto"/>
        <w:outlineLvl w:val="9"/>
        <w:rPr>
          <w:rFonts w:hint="eastAsia" w:ascii="Times New Roman" w:hAnsi="Times New Roman" w:eastAsia="黑体" w:cs="黑体"/>
          <w:b/>
          <w:bCs/>
          <w:color w:val="auto"/>
          <w:sz w:val="32"/>
          <w:szCs w:val="32"/>
          <w:highlight w:val="yellow"/>
          <w:lang w:bidi="ar"/>
        </w:rPr>
      </w:pPr>
      <w:r>
        <w:rPr>
          <w:rFonts w:hint="eastAsia" w:ascii="Times New Roman" w:hAnsi="Times New Roman" w:eastAsia="黑体" w:cs="黑体"/>
          <w:b w:val="0"/>
          <w:bCs w:val="0"/>
          <w:color w:val="auto"/>
          <w:sz w:val="32"/>
          <w:szCs w:val="32"/>
          <w:highlight w:val="none"/>
        </w:rPr>
        <w:t>一、</w:t>
      </w:r>
      <w:r>
        <w:rPr>
          <w:rFonts w:hint="eastAsia" w:ascii="Times New Roman" w:hAnsi="Times New Roman" w:eastAsia="黑体" w:cs="黑体"/>
          <w:b w:val="0"/>
          <w:bCs w:val="0"/>
          <w:color w:val="auto"/>
          <w:sz w:val="32"/>
          <w:szCs w:val="32"/>
          <w:highlight w:val="none"/>
          <w:lang w:eastAsia="zh-CN"/>
        </w:rPr>
        <w:t>202</w:t>
      </w:r>
      <w:r>
        <w:rPr>
          <w:rFonts w:hint="eastAsia" w:ascii="Times New Roman" w:hAnsi="Times New Roman" w:eastAsia="黑体" w:cs="黑体"/>
          <w:b w:val="0"/>
          <w:bCs w:val="0"/>
          <w:color w:val="auto"/>
          <w:sz w:val="32"/>
          <w:szCs w:val="32"/>
          <w:highlight w:val="none"/>
          <w:lang w:val="en-US" w:eastAsia="zh-CN"/>
        </w:rPr>
        <w:t>5</w:t>
      </w:r>
      <w:r>
        <w:rPr>
          <w:rFonts w:hint="eastAsia" w:ascii="Times New Roman" w:hAnsi="Times New Roman" w:eastAsia="黑体" w:cs="黑体"/>
          <w:b w:val="0"/>
          <w:bCs w:val="0"/>
          <w:color w:val="auto"/>
          <w:sz w:val="32"/>
          <w:szCs w:val="32"/>
          <w:highlight w:val="none"/>
          <w:lang w:eastAsia="zh-CN"/>
        </w:rPr>
        <w:t>年预算执行情况</w:t>
      </w:r>
    </w:p>
    <w:p>
      <w:pPr>
        <w:pStyle w:val="2"/>
        <w:keepNext w:val="0"/>
        <w:keepLines w:val="0"/>
        <w:pageBreakBefore w:val="0"/>
        <w:kinsoku/>
        <w:overflowPunct/>
        <w:topLinePunct w:val="0"/>
        <w:autoSpaceDN/>
        <w:bidi w:val="0"/>
        <w:snapToGrid/>
        <w:spacing w:line="578" w:lineRule="exact"/>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highlight w:val="none"/>
          <w:lang w:val="en-US" w:eastAsia="zh-CN" w:bidi="ar"/>
        </w:rPr>
        <w:t>2025年是“十四五”规划的收官之年，也是海南自由贸易港封关运作、扩大开放之年，同时也是“十五五”规划蓄势之年。面对更趋复杂严峻的内外经济形势，全区上下坚持以习近平新时代中国特色社会主义思想为指导，深入学习贯彻党的二十届三中、四中全会精神，认真贯彻落实习近平总书记关于海南工作的系列重要讲话和指示批示精神，在区委、区政府的坚强领导下，</w:t>
      </w:r>
      <w:r>
        <w:rPr>
          <w:rFonts w:hint="eastAsia" w:ascii="Times New Roman" w:hAnsi="Times New Roman" w:eastAsia="仿宋_GB2312" w:cs="仿宋_GB2312"/>
          <w:color w:val="auto"/>
          <w:sz w:val="32"/>
          <w:szCs w:val="32"/>
        </w:rPr>
        <w:t>锚定“一本三基四梁八柱”战略框架，坚持稳中求进工作总基调，</w:t>
      </w:r>
      <w:r>
        <w:rPr>
          <w:rFonts w:hint="eastAsia" w:ascii="Times New Roman" w:hAnsi="Times New Roman" w:eastAsia="仿宋_GB2312" w:cs="仿宋_GB2312"/>
          <w:bCs/>
          <w:color w:val="auto"/>
          <w:sz w:val="32"/>
          <w:szCs w:val="32"/>
        </w:rPr>
        <w:t>交出一份难中求成、殊为不易的答卷</w:t>
      </w:r>
      <w:r>
        <w:rPr>
          <w:rFonts w:hint="eastAsia" w:ascii="Times New Roman" w:hAnsi="Times New Roman" w:eastAsia="仿宋_GB2312" w:cs="仿宋_GB2312"/>
          <w:color w:val="auto"/>
          <w:sz w:val="32"/>
          <w:szCs w:val="32"/>
          <w:highlight w:val="none"/>
          <w:lang w:val="en-US" w:eastAsia="zh-CN" w:bidi="ar"/>
        </w:rPr>
        <w:t>。同时，财政部门</w:t>
      </w:r>
      <w:r>
        <w:rPr>
          <w:rFonts w:hint="eastAsia" w:ascii="Times New Roman" w:hAnsi="Times New Roman" w:eastAsia="仿宋_GB2312" w:cs="仿宋_GB2312"/>
          <w:bCs/>
          <w:color w:val="auto"/>
          <w:sz w:val="32"/>
          <w:szCs w:val="32"/>
        </w:rPr>
        <w:t>立足自身职能，知重负重、担责尽责，提质增效落实积极财政政策，主动有为应对各类风险挑战，确保财政平稳运行</w:t>
      </w:r>
      <w:r>
        <w:rPr>
          <w:rFonts w:hint="eastAsia" w:ascii="Times New Roman" w:hAnsi="Times New Roman" w:eastAsia="仿宋_GB2312" w:cs="仿宋_GB2312"/>
          <w:color w:val="auto"/>
          <w:sz w:val="32"/>
          <w:szCs w:val="32"/>
          <w:highlight w:val="none"/>
          <w:lang w:val="en-US" w:eastAsia="zh-CN" w:bidi="ar"/>
        </w:rPr>
        <w:t>，较好地完成了区人大批准的预算和各项财政工作任务，确保了财政的平稳运行。</w:t>
      </w:r>
    </w:p>
    <w:p>
      <w:pPr>
        <w:keepNext w:val="0"/>
        <w:keepLines w:val="0"/>
        <w:pageBreakBefore w:val="0"/>
        <w:kinsoku/>
        <w:overflowPunct/>
        <w:topLinePunct w:val="0"/>
        <w:autoSpaceDN/>
        <w:bidi w:val="0"/>
        <w:adjustRightInd/>
        <w:snapToGrid/>
        <w:spacing w:line="578" w:lineRule="exact"/>
        <w:ind w:firstLine="643" w:firstLineChars="200"/>
        <w:textAlignment w:val="auto"/>
        <w:rPr>
          <w:rFonts w:hint="eastAsia" w:ascii="Times New Roman" w:hAnsi="Times New Roman" w:eastAsia="楷体_GB2312" w:cs="楷体_GB2312"/>
          <w:b/>
          <w:bCs w:val="0"/>
          <w:color w:val="auto"/>
          <w:sz w:val="32"/>
          <w:szCs w:val="32"/>
        </w:rPr>
      </w:pPr>
      <w:r>
        <w:rPr>
          <w:rFonts w:hint="eastAsia" w:ascii="Times New Roman" w:hAnsi="Times New Roman" w:eastAsia="楷体_GB2312" w:cs="楷体_GB2312"/>
          <w:b/>
          <w:bCs w:val="0"/>
          <w:color w:val="auto"/>
          <w:sz w:val="32"/>
          <w:szCs w:val="32"/>
          <w:lang w:eastAsia="zh-CN"/>
        </w:rPr>
        <w:t>（</w:t>
      </w:r>
      <w:r>
        <w:rPr>
          <w:rFonts w:hint="eastAsia" w:ascii="Times New Roman" w:hAnsi="Times New Roman" w:eastAsia="楷体_GB2312" w:cs="楷体_GB2312"/>
          <w:b/>
          <w:bCs w:val="0"/>
          <w:color w:val="auto"/>
          <w:sz w:val="32"/>
          <w:szCs w:val="32"/>
        </w:rPr>
        <w:t>一</w:t>
      </w:r>
      <w:r>
        <w:rPr>
          <w:rFonts w:hint="eastAsia" w:ascii="Times New Roman" w:hAnsi="Times New Roman" w:eastAsia="楷体_GB2312" w:cs="楷体_GB2312"/>
          <w:b/>
          <w:bCs w:val="0"/>
          <w:color w:val="auto"/>
          <w:sz w:val="32"/>
          <w:szCs w:val="32"/>
          <w:lang w:eastAsia="zh-CN"/>
        </w:rPr>
        <w:t>）</w:t>
      </w:r>
      <w:r>
        <w:rPr>
          <w:rFonts w:hint="eastAsia" w:ascii="Times New Roman" w:hAnsi="Times New Roman" w:eastAsia="楷体_GB2312" w:cs="楷体_GB2312"/>
          <w:b/>
          <w:bCs w:val="0"/>
          <w:color w:val="auto"/>
          <w:sz w:val="32"/>
          <w:szCs w:val="32"/>
        </w:rPr>
        <w:t>一般公共预算执行情况</w:t>
      </w:r>
    </w:p>
    <w:p>
      <w:pPr>
        <w:keepNext w:val="0"/>
        <w:keepLines w:val="0"/>
        <w:pageBreakBefore w:val="0"/>
        <w:widowControl/>
        <w:suppressLineNumbers w:val="0"/>
        <w:kinsoku/>
        <w:wordWrap w:val="0"/>
        <w:overflowPunct/>
        <w:topLinePunct w:val="0"/>
        <w:autoSpaceDE w:val="0"/>
        <w:autoSpaceDN/>
        <w:bidi w:val="0"/>
        <w:snapToGrid/>
        <w:spacing w:before="0" w:beforeAutospacing="0" w:after="0" w:afterAutospacing="0" w:line="578" w:lineRule="exact"/>
        <w:ind w:left="0" w:leftChars="0" w:right="0" w:rightChars="0" w:firstLine="640" w:firstLineChars="200"/>
        <w:jc w:val="both"/>
        <w:textAlignment w:val="auto"/>
        <w:rPr>
          <w:rFonts w:hint="eastAsia" w:ascii="Times New Roman" w:hAnsi="Times New Roman" w:eastAsia="仿宋_GB2312" w:cs="仿宋_GB2312"/>
          <w:color w:val="auto"/>
          <w:kern w:val="2"/>
          <w:sz w:val="32"/>
          <w:szCs w:val="32"/>
        </w:rPr>
      </w:pPr>
      <w:r>
        <w:rPr>
          <w:rFonts w:hint="eastAsia" w:ascii="Times New Roman" w:hAnsi="Times New Roman" w:eastAsia="仿宋_GB2312" w:cs="仿宋_GB2312"/>
          <w:color w:val="auto"/>
          <w:kern w:val="2"/>
          <w:sz w:val="32"/>
          <w:szCs w:val="32"/>
          <w:lang w:val="en-US" w:eastAsia="zh-CN" w:bidi="ar"/>
        </w:rPr>
        <w:t>全区一般公共预算收入完成32.62亿元，完成年初预算的141.64%</w:t>
      </w:r>
      <w:r>
        <w:rPr>
          <w:rFonts w:hint="eastAsia" w:ascii="仿宋_GB2312" w:hAnsi="仿宋_GB2312" w:eastAsia="仿宋_GB2312" w:cs="仿宋_GB2312"/>
          <w:color w:val="auto"/>
          <w:kern w:val="2"/>
          <w:sz w:val="32"/>
          <w:szCs w:val="32"/>
          <w:lang w:val="en-US" w:eastAsia="zh-CN" w:bidi="ar"/>
        </w:rPr>
        <w:t>,</w:t>
      </w:r>
      <w:r>
        <w:rPr>
          <w:rFonts w:hint="eastAsia" w:ascii="Times New Roman" w:hAnsi="Times New Roman" w:eastAsia="仿宋_GB2312" w:cs="仿宋_GB2312"/>
          <w:color w:val="auto"/>
          <w:kern w:val="2"/>
          <w:sz w:val="32"/>
          <w:szCs w:val="32"/>
          <w:lang w:val="en-US" w:eastAsia="zh-CN" w:bidi="ar"/>
        </w:rPr>
        <w:t>同比增长13.15%。其中：地方一般公共预算收入19.96亿元，完成年初预算的105.26%，同比增长0.41%；上级转移支付收入8.63亿元；一般债转贷收入2亿元；调入资金0.12亿元；上年结转收入1.46亿元；动用预算稳定调节基金0.45亿元。</w:t>
      </w:r>
    </w:p>
    <w:p>
      <w:pPr>
        <w:keepNext w:val="0"/>
        <w:keepLines w:val="0"/>
        <w:pageBreakBefore w:val="0"/>
        <w:widowControl/>
        <w:suppressLineNumbers w:val="0"/>
        <w:kinsoku/>
        <w:wordWrap w:val="0"/>
        <w:overflowPunct/>
        <w:topLinePunct w:val="0"/>
        <w:autoSpaceDE w:val="0"/>
        <w:autoSpaceDN/>
        <w:bidi w:val="0"/>
        <w:snapToGrid/>
        <w:spacing w:before="0" w:beforeAutospacing="0" w:after="0" w:afterAutospacing="0" w:line="578" w:lineRule="exact"/>
        <w:ind w:left="0" w:right="0" w:firstLine="640" w:firstLineChars="200"/>
        <w:jc w:val="both"/>
        <w:textAlignment w:val="auto"/>
        <w:rPr>
          <w:rFonts w:hint="eastAsia" w:ascii="Times New Roman" w:hAnsi="Times New Roman" w:eastAsia="仿宋_GB2312" w:cs="仿宋_GB2312"/>
          <w:color w:val="auto"/>
          <w:kern w:val="2"/>
          <w:sz w:val="32"/>
          <w:szCs w:val="32"/>
        </w:rPr>
      </w:pPr>
      <w:r>
        <w:rPr>
          <w:rFonts w:hint="eastAsia" w:ascii="Times New Roman" w:hAnsi="Times New Roman" w:eastAsia="仿宋_GB2312" w:cs="仿宋_GB2312"/>
          <w:color w:val="auto"/>
          <w:kern w:val="2"/>
          <w:sz w:val="32"/>
          <w:szCs w:val="32"/>
          <w:lang w:val="en-US" w:eastAsia="zh-CN" w:bidi="ar"/>
        </w:rPr>
        <w:t>一般公共预算总支出完成31.75亿元，完成年初预算的137.86%，同比增长16%。其中：一般公共预算支出24.25亿元，完成年初预算的114.92%，同比下降2%；上解支出3.06亿元，调出资金3.02亿元，安排预算稳定调节基金1.22亿元，债务还本支出0.2亿元。</w:t>
      </w:r>
    </w:p>
    <w:p>
      <w:pPr>
        <w:keepNext w:val="0"/>
        <w:keepLines w:val="0"/>
        <w:pageBreakBefore w:val="0"/>
        <w:widowControl/>
        <w:suppressLineNumbers w:val="0"/>
        <w:kinsoku/>
        <w:wordWrap w:val="0"/>
        <w:overflowPunct/>
        <w:topLinePunct w:val="0"/>
        <w:autoSpaceDE w:val="0"/>
        <w:autoSpaceDN/>
        <w:bidi w:val="0"/>
        <w:snapToGrid/>
        <w:spacing w:before="0" w:beforeAutospacing="0" w:after="0" w:afterAutospacing="0" w:line="578" w:lineRule="exact"/>
        <w:ind w:left="0" w:right="0" w:firstLine="640" w:firstLineChars="200"/>
        <w:jc w:val="both"/>
        <w:textAlignment w:val="auto"/>
        <w:rPr>
          <w:rFonts w:hint="eastAsia" w:ascii="Times New Roman" w:hAnsi="Times New Roman" w:eastAsia="仿宋_GB2312" w:cs="仿宋_GB2312"/>
          <w:color w:val="auto"/>
          <w:kern w:val="2"/>
          <w:sz w:val="32"/>
          <w:szCs w:val="32"/>
        </w:rPr>
      </w:pPr>
      <w:r>
        <w:rPr>
          <w:rFonts w:hint="eastAsia" w:ascii="Times New Roman" w:hAnsi="Times New Roman" w:eastAsia="仿宋_GB2312" w:cs="仿宋_GB2312"/>
          <w:color w:val="auto"/>
          <w:kern w:val="2"/>
          <w:sz w:val="32"/>
          <w:szCs w:val="32"/>
          <w:lang w:val="en-US" w:eastAsia="zh-CN" w:bidi="ar"/>
        </w:rPr>
        <w:t>收支相抵，年终结余结转0.87亿元。</w:t>
      </w:r>
    </w:p>
    <w:p>
      <w:pPr>
        <w:keepNext w:val="0"/>
        <w:keepLines w:val="0"/>
        <w:pageBreakBefore w:val="0"/>
        <w:widowControl w:val="0"/>
        <w:suppressLineNumbers w:val="0"/>
        <w:kinsoku/>
        <w:overflowPunct/>
        <w:topLinePunct w:val="0"/>
        <w:autoSpaceDE w:val="0"/>
        <w:autoSpaceDN/>
        <w:bidi w:val="0"/>
        <w:snapToGrid/>
        <w:spacing w:before="0" w:beforeAutospacing="0" w:after="0" w:afterAutospacing="0" w:line="578" w:lineRule="exact"/>
        <w:ind w:left="0" w:right="0" w:firstLine="643" w:firstLineChars="200"/>
        <w:jc w:val="both"/>
        <w:textAlignment w:val="auto"/>
        <w:rPr>
          <w:rFonts w:hint="eastAsia" w:ascii="Times New Roman" w:hAnsi="Times New Roman" w:eastAsia="楷体_GB2312" w:cs="楷体_GB2312"/>
          <w:b/>
          <w:bCs w:val="0"/>
          <w:color w:val="auto"/>
          <w:kern w:val="2"/>
          <w:sz w:val="32"/>
          <w:szCs w:val="32"/>
        </w:rPr>
      </w:pPr>
      <w:r>
        <w:rPr>
          <w:rFonts w:hint="eastAsia" w:ascii="Times New Roman" w:hAnsi="Times New Roman" w:eastAsia="楷体_GB2312" w:cs="楷体_GB2312"/>
          <w:b/>
          <w:bCs w:val="0"/>
          <w:color w:val="auto"/>
          <w:kern w:val="2"/>
          <w:sz w:val="32"/>
          <w:szCs w:val="32"/>
          <w:lang w:val="en-US" w:eastAsia="zh-CN" w:bidi="ar"/>
        </w:rPr>
        <w:t>（二）政府性基金预算执行情况</w:t>
      </w:r>
    </w:p>
    <w:p>
      <w:pPr>
        <w:keepNext w:val="0"/>
        <w:keepLines w:val="0"/>
        <w:pageBreakBefore w:val="0"/>
        <w:widowControl/>
        <w:suppressLineNumbers w:val="0"/>
        <w:kinsoku/>
        <w:wordWrap w:val="0"/>
        <w:overflowPunct/>
        <w:topLinePunct w:val="0"/>
        <w:autoSpaceDE w:val="0"/>
        <w:autoSpaceDN/>
        <w:bidi w:val="0"/>
        <w:snapToGrid/>
        <w:spacing w:before="0" w:beforeAutospacing="0" w:after="0" w:afterAutospacing="0" w:line="578" w:lineRule="exact"/>
        <w:ind w:left="0" w:right="0" w:firstLine="640" w:firstLineChars="200"/>
        <w:jc w:val="both"/>
        <w:textAlignment w:val="auto"/>
        <w:rPr>
          <w:rFonts w:hint="eastAsia" w:ascii="Times New Roman" w:hAnsi="Times New Roman" w:eastAsia="仿宋_GB2312" w:cs="仿宋_GB2312"/>
          <w:color w:val="auto"/>
          <w:kern w:val="2"/>
          <w:sz w:val="32"/>
          <w:szCs w:val="32"/>
        </w:rPr>
      </w:pPr>
      <w:r>
        <w:rPr>
          <w:rFonts w:hint="eastAsia" w:ascii="Times New Roman" w:hAnsi="Times New Roman" w:eastAsia="仿宋_GB2312" w:cs="仿宋_GB2312"/>
          <w:color w:val="auto"/>
          <w:kern w:val="2"/>
          <w:sz w:val="32"/>
          <w:szCs w:val="32"/>
          <w:lang w:val="en-US" w:eastAsia="zh-CN" w:bidi="ar"/>
        </w:rPr>
        <w:t>政府性基金收入总计16.63亿元，完成年初预算的425.32%，同比增长42.75%。其中：政府性基金补助收入5.65亿元，债务转贷收入4.42亿元，上年结余收入3.54亿元，调入资金3.02亿元。政府性基金支出总计14.7亿元，其中：政府性基金支出完成11.08亿元，调出资金0.12亿元，债务还本支出3.5亿元，按照专款专用原则，全部用于上级安排项目支出。</w:t>
      </w:r>
    </w:p>
    <w:p>
      <w:pPr>
        <w:keepNext w:val="0"/>
        <w:keepLines w:val="0"/>
        <w:pageBreakBefore w:val="0"/>
        <w:widowControl/>
        <w:suppressLineNumbers w:val="0"/>
        <w:kinsoku/>
        <w:wordWrap w:val="0"/>
        <w:overflowPunct/>
        <w:topLinePunct w:val="0"/>
        <w:autoSpaceDE w:val="0"/>
        <w:autoSpaceDN/>
        <w:bidi w:val="0"/>
        <w:snapToGrid/>
        <w:spacing w:before="0" w:beforeAutospacing="0" w:after="0" w:afterAutospacing="0" w:line="578" w:lineRule="exact"/>
        <w:ind w:left="0" w:right="0" w:firstLine="640" w:firstLineChars="200"/>
        <w:jc w:val="both"/>
        <w:textAlignment w:val="auto"/>
        <w:rPr>
          <w:rFonts w:hint="eastAsia" w:ascii="Times New Roman" w:hAnsi="Times New Roman" w:eastAsia="仿宋_GB2312" w:cs="仿宋_GB2312"/>
          <w:color w:val="auto"/>
          <w:kern w:val="2"/>
          <w:sz w:val="32"/>
          <w:szCs w:val="32"/>
        </w:rPr>
      </w:pPr>
      <w:r>
        <w:rPr>
          <w:rFonts w:hint="eastAsia" w:ascii="Times New Roman" w:hAnsi="Times New Roman" w:eastAsia="仿宋_GB2312" w:cs="仿宋_GB2312"/>
          <w:color w:val="auto"/>
          <w:kern w:val="2"/>
          <w:sz w:val="32"/>
          <w:szCs w:val="32"/>
          <w:lang w:val="en-US" w:eastAsia="zh-CN" w:bidi="ar"/>
        </w:rPr>
        <w:t>收支相抵，年终结转结余1.93亿元。</w:t>
      </w:r>
    </w:p>
    <w:p>
      <w:pPr>
        <w:keepNext w:val="0"/>
        <w:keepLines w:val="0"/>
        <w:pageBreakBefore w:val="0"/>
        <w:widowControl w:val="0"/>
        <w:numPr>
          <w:ilvl w:val="0"/>
          <w:numId w:val="0"/>
        </w:numPr>
        <w:suppressLineNumbers w:val="0"/>
        <w:kinsoku/>
        <w:overflowPunct/>
        <w:topLinePunct w:val="0"/>
        <w:autoSpaceDE w:val="0"/>
        <w:autoSpaceDN/>
        <w:bidi w:val="0"/>
        <w:snapToGrid/>
        <w:spacing w:before="0" w:beforeAutospacing="0" w:after="0" w:afterAutospacing="0" w:line="578" w:lineRule="exact"/>
        <w:ind w:leftChars="200" w:right="0" w:rightChars="0"/>
        <w:jc w:val="both"/>
        <w:textAlignment w:val="auto"/>
        <w:rPr>
          <w:rFonts w:hint="eastAsia" w:ascii="楷体_GB2312" w:hAnsi="楷体_GB2312" w:eastAsia="楷体_GB2312" w:cs="楷体_GB2312"/>
          <w:b/>
          <w:bCs w:val="0"/>
          <w:color w:val="auto"/>
          <w:kern w:val="2"/>
          <w:sz w:val="32"/>
          <w:szCs w:val="32"/>
        </w:rPr>
      </w:pPr>
      <w:r>
        <w:rPr>
          <w:rFonts w:hint="eastAsia" w:ascii="楷体_GB2312" w:hAnsi="楷体_GB2312" w:eastAsia="楷体_GB2312" w:cs="楷体_GB2312"/>
          <w:b/>
          <w:bCs w:val="0"/>
          <w:color w:val="auto"/>
          <w:kern w:val="2"/>
          <w:sz w:val="32"/>
          <w:szCs w:val="32"/>
          <w:lang w:val="en-US" w:eastAsia="zh-CN" w:bidi="ar"/>
        </w:rPr>
        <w:t>（三）全区政府债务情况</w:t>
      </w:r>
    </w:p>
    <w:p>
      <w:pPr>
        <w:keepNext w:val="0"/>
        <w:keepLines w:val="0"/>
        <w:pageBreakBefore w:val="0"/>
        <w:widowControl/>
        <w:suppressLineNumbers w:val="0"/>
        <w:kinsoku/>
        <w:wordWrap w:val="0"/>
        <w:overflowPunct/>
        <w:topLinePunct w:val="0"/>
        <w:autoSpaceDE w:val="0"/>
        <w:autoSpaceDN/>
        <w:bidi w:val="0"/>
        <w:snapToGrid/>
        <w:spacing w:before="0" w:beforeAutospacing="0" w:after="0" w:afterAutospacing="0" w:line="578" w:lineRule="exact"/>
        <w:ind w:left="0" w:right="0" w:firstLine="640" w:firstLineChars="200"/>
        <w:jc w:val="both"/>
        <w:textAlignment w:val="auto"/>
        <w:rPr>
          <w:rFonts w:hint="eastAsia" w:ascii="Times New Roman" w:hAnsi="Times New Roman" w:eastAsia="仿宋" w:cs="仿宋"/>
          <w:color w:val="auto"/>
          <w:kern w:val="2"/>
          <w:sz w:val="32"/>
          <w:szCs w:val="32"/>
        </w:rPr>
      </w:pPr>
      <w:r>
        <w:rPr>
          <w:rFonts w:hint="eastAsia" w:ascii="Times New Roman" w:hAnsi="Times New Roman" w:eastAsia="仿宋_GB2312" w:cs="仿宋_GB2312"/>
          <w:color w:val="auto"/>
          <w:kern w:val="2"/>
          <w:sz w:val="32"/>
          <w:szCs w:val="32"/>
          <w:lang w:val="en-US" w:eastAsia="zh-CN" w:bidi="ar"/>
        </w:rPr>
        <w:t>全年收到债务转贷收入地方政府债券6.42亿元，比上年增加1.7亿元，增长36%，主要用于三亚市吉阳区荔枝沟中学教学楼项目、吉阳区商品街港门村片区弱电光缆下地整治项目、三亚市吉阳区高知园安置区项目、三亚市文化中心配套市政基础设施、三亚市重点区域防洪工程及解决我区拖欠企业账款</w:t>
      </w:r>
      <w:r>
        <w:rPr>
          <w:rFonts w:hint="eastAsia" w:ascii="Times New Roman" w:hAnsi="Times New Roman" w:eastAsia="仿宋_GB2312" w:cs="仿宋_GB2312"/>
          <w:b w:val="0"/>
          <w:color w:val="auto"/>
          <w:kern w:val="2"/>
          <w:sz w:val="32"/>
          <w:szCs w:val="32"/>
          <w:lang w:val="en-US" w:eastAsia="zh-CN" w:bidi="ar"/>
        </w:rPr>
        <w:t>等重点项目。</w:t>
      </w:r>
      <w:r>
        <w:rPr>
          <w:rFonts w:hint="eastAsia" w:ascii="Times New Roman" w:hAnsi="Times New Roman" w:eastAsia="仿宋_GB2312" w:cs="仿宋_GB2312"/>
          <w:color w:val="auto"/>
          <w:kern w:val="2"/>
          <w:sz w:val="32"/>
          <w:szCs w:val="32"/>
          <w:lang w:val="en-US" w:eastAsia="zh-CN" w:bidi="ar"/>
        </w:rPr>
        <w:t>2025年，我区地方政府债务余额13.66亿元，包括一般债务余额5.76亿元、专项债务余额7.90亿元，控制在市财政局下达我区地方政府债务限额13.66亿元以内，整体债务风险安全可控。</w:t>
      </w:r>
    </w:p>
    <w:p>
      <w:pPr>
        <w:keepNext w:val="0"/>
        <w:keepLines w:val="0"/>
        <w:pageBreakBefore w:val="0"/>
        <w:numPr>
          <w:ilvl w:val="0"/>
          <w:numId w:val="0"/>
        </w:numPr>
        <w:kinsoku/>
        <w:overflowPunct/>
        <w:topLinePunct w:val="0"/>
        <w:autoSpaceDN/>
        <w:bidi w:val="0"/>
        <w:adjustRightInd/>
        <w:snapToGrid/>
        <w:spacing w:line="578" w:lineRule="exact"/>
        <w:ind w:firstLine="643" w:firstLineChars="200"/>
        <w:textAlignment w:val="auto"/>
        <w:rPr>
          <w:rFonts w:hint="eastAsia" w:ascii="楷体_GB2312" w:hAnsi="楷体_GB2312" w:eastAsia="楷体_GB2312" w:cs="楷体_GB2312"/>
          <w:b/>
          <w:bCs w:val="0"/>
          <w:color w:val="auto"/>
          <w:sz w:val="32"/>
          <w:szCs w:val="32"/>
        </w:rPr>
      </w:pPr>
      <w:r>
        <w:rPr>
          <w:rFonts w:hint="eastAsia" w:ascii="楷体_GB2312" w:hAnsi="楷体_GB2312" w:eastAsia="楷体_GB2312" w:cs="楷体_GB2312"/>
          <w:b/>
          <w:bCs w:val="0"/>
          <w:color w:val="auto"/>
          <w:sz w:val="32"/>
          <w:szCs w:val="32"/>
          <w:highlight w:val="none"/>
          <w:lang w:eastAsia="zh-CN"/>
        </w:rPr>
        <w:t>（四）</w:t>
      </w:r>
      <w:r>
        <w:rPr>
          <w:rFonts w:hint="eastAsia" w:ascii="楷体_GB2312" w:hAnsi="楷体_GB2312" w:eastAsia="楷体_GB2312" w:cs="楷体_GB2312"/>
          <w:b/>
          <w:bCs w:val="0"/>
          <w:color w:val="auto"/>
          <w:sz w:val="32"/>
          <w:szCs w:val="32"/>
          <w:highlight w:val="none"/>
        </w:rPr>
        <w:t>预算执</w:t>
      </w:r>
      <w:r>
        <w:rPr>
          <w:rFonts w:hint="eastAsia" w:ascii="楷体_GB2312" w:hAnsi="楷体_GB2312" w:eastAsia="楷体_GB2312" w:cs="楷体_GB2312"/>
          <w:b/>
          <w:bCs w:val="0"/>
          <w:color w:val="auto"/>
          <w:sz w:val="32"/>
          <w:szCs w:val="32"/>
        </w:rPr>
        <w:t>行成效</w:t>
      </w:r>
    </w:p>
    <w:p>
      <w:pPr>
        <w:keepNext w:val="0"/>
        <w:keepLines w:val="0"/>
        <w:pageBreakBefore w:val="0"/>
        <w:pBdr>
          <w:bottom w:val="single" w:color="FFFFFF" w:sz="4" w:space="15"/>
        </w:pBdr>
        <w:tabs>
          <w:tab w:val="left" w:pos="3544"/>
        </w:tabs>
        <w:kinsoku/>
        <w:overflowPunct/>
        <w:topLinePunct w:val="0"/>
        <w:autoSpaceDE w:val="0"/>
        <w:autoSpaceDN/>
        <w:bidi w:val="0"/>
        <w:adjustRightInd w:val="0"/>
        <w:snapToGrid/>
        <w:spacing w:line="578" w:lineRule="exact"/>
        <w:ind w:firstLine="640"/>
        <w:textAlignment w:val="auto"/>
        <w:rPr>
          <w:rFonts w:hint="eastAsia" w:ascii="Times New Roman" w:hAnsi="Times New Roman" w:eastAsia="仿宋" w:cs="仿宋"/>
          <w:color w:val="auto"/>
          <w:sz w:val="32"/>
          <w:szCs w:val="32"/>
          <w:lang w:val="en-US" w:eastAsia="zh-CN"/>
        </w:rPr>
      </w:pPr>
      <w:r>
        <w:rPr>
          <w:rFonts w:hint="eastAsia" w:ascii="Times New Roman" w:hAnsi="Times New Roman" w:eastAsia="仿宋_GB2312" w:cs="仿宋_GB2312"/>
          <w:color w:val="auto"/>
          <w:sz w:val="32"/>
          <w:szCs w:val="32"/>
          <w:lang w:val="en-US" w:eastAsia="zh-CN" w:bidi="ar"/>
        </w:rPr>
        <w:t>财政部门在区委、区政府坚强领导下，在区人大监督支持下，以习近平新时代中国特色社会主义思想为指导</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rPr>
        <w:t>聚焦全区目标任务，</w:t>
      </w:r>
      <w:r>
        <w:rPr>
          <w:rFonts w:hint="eastAsia" w:ascii="Times New Roman" w:hAnsi="Times New Roman" w:eastAsia="仿宋_GB2312" w:cs="仿宋_GB2312"/>
          <w:color w:val="auto"/>
          <w:sz w:val="32"/>
          <w:szCs w:val="32"/>
          <w:lang w:val="en-US" w:eastAsia="zh-CN"/>
        </w:rPr>
        <w:t>统筹生财、聚财、用财之道，有力有效实施积极的财政政策，</w:t>
      </w:r>
      <w:r>
        <w:rPr>
          <w:rFonts w:hint="eastAsia" w:ascii="Times New Roman" w:hAnsi="Times New Roman" w:eastAsia="仿宋_GB2312" w:cs="仿宋_GB2312"/>
          <w:color w:val="auto"/>
          <w:sz w:val="32"/>
          <w:szCs w:val="32"/>
        </w:rPr>
        <w:t>增强财政重大决策部署保障能力。稳预期、强信心，加强财政资源统筹，大力争取上级资金政策支持</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坚持政府过紧日子，兜牢基层“三保”底线，加快补齐民生短板</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聚焦主导产业发展，</w:t>
      </w:r>
      <w:r>
        <w:rPr>
          <w:rFonts w:hint="eastAsia" w:ascii="Times New Roman" w:hAnsi="Times New Roman" w:eastAsia="仿宋_GB2312" w:cs="仿宋_GB2312"/>
          <w:color w:val="auto"/>
          <w:sz w:val="32"/>
          <w:szCs w:val="32"/>
          <w:lang w:val="en-US" w:eastAsia="zh-CN"/>
        </w:rPr>
        <w:t>为</w:t>
      </w:r>
      <w:r>
        <w:rPr>
          <w:rFonts w:hint="eastAsia" w:ascii="Times New Roman" w:hAnsi="Times New Roman" w:eastAsia="仿宋_GB2312" w:cs="仿宋_GB2312"/>
          <w:color w:val="auto"/>
          <w:sz w:val="32"/>
          <w:szCs w:val="32"/>
        </w:rPr>
        <w:t>全力推动自贸港建设</w:t>
      </w:r>
      <w:r>
        <w:rPr>
          <w:rFonts w:hint="eastAsia" w:ascii="Times New Roman" w:hAnsi="Times New Roman" w:eastAsia="仿宋_GB2312" w:cs="仿宋_GB2312"/>
          <w:color w:val="auto"/>
          <w:sz w:val="32"/>
          <w:szCs w:val="32"/>
          <w:lang w:val="en-US" w:eastAsia="zh-CN"/>
        </w:rPr>
        <w:t>提供坚强财政保障</w:t>
      </w:r>
      <w:r>
        <w:rPr>
          <w:rFonts w:hint="eastAsia" w:ascii="Times New Roman" w:hAnsi="Times New Roman" w:eastAsia="仿宋_GB2312" w:cs="仿宋_GB2312"/>
          <w:color w:val="auto"/>
          <w:sz w:val="32"/>
          <w:szCs w:val="32"/>
        </w:rPr>
        <w:t>。</w:t>
      </w:r>
      <w:r>
        <w:rPr>
          <w:rFonts w:hint="eastAsia" w:ascii="Times New Roman" w:hAnsi="Times New Roman"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lang w:val="en-US" w:eastAsia="zh-CN"/>
        </w:rPr>
        <w:t xml:space="preserve"> </w:t>
      </w:r>
      <w:r>
        <w:rPr>
          <w:rFonts w:hint="eastAsia" w:ascii="Times New Roman" w:hAnsi="Times New Roman" w:eastAsia="仿宋" w:cs="仿宋"/>
          <w:color w:val="auto"/>
          <w:sz w:val="32"/>
          <w:szCs w:val="32"/>
          <w:lang w:val="en-US" w:eastAsia="zh-CN"/>
        </w:rPr>
        <w:t xml:space="preserve">  </w:t>
      </w:r>
    </w:p>
    <w:p>
      <w:pPr>
        <w:keepNext w:val="0"/>
        <w:keepLines w:val="0"/>
        <w:pageBreakBefore w:val="0"/>
        <w:pBdr>
          <w:bottom w:val="single" w:color="FFFFFF" w:sz="4" w:space="15"/>
        </w:pBdr>
        <w:tabs>
          <w:tab w:val="left" w:pos="3544"/>
        </w:tabs>
        <w:kinsoku/>
        <w:overflowPunct/>
        <w:topLinePunct w:val="0"/>
        <w:autoSpaceDE w:val="0"/>
        <w:autoSpaceDN/>
        <w:bidi w:val="0"/>
        <w:adjustRightInd w:val="0"/>
        <w:snapToGrid/>
        <w:spacing w:line="578" w:lineRule="exact"/>
        <w:ind w:firstLine="640"/>
        <w:textAlignment w:val="auto"/>
        <w:rPr>
          <w:rFonts w:hint="eastAsia" w:ascii="仿宋_GB2312" w:hAnsi="仿宋_GB2312" w:eastAsia="仿宋_GB2312" w:cs="仿宋_GB2312"/>
          <w:b/>
          <w:bCs/>
          <w:color w:val="auto"/>
          <w:sz w:val="32"/>
          <w:szCs w:val="32"/>
          <w:highlight w:val="none"/>
          <w:lang w:val="en-US" w:eastAsia="zh-CN" w:bidi="ar"/>
        </w:rPr>
      </w:pPr>
      <w:r>
        <w:rPr>
          <w:rFonts w:hint="default" w:ascii="Times New Roman" w:hAnsi="Times New Roman" w:eastAsia="仿宋_GB2312" w:cs="Times New Roman"/>
          <w:b/>
          <w:bCs/>
          <w:color w:val="auto"/>
          <w:sz w:val="32"/>
          <w:szCs w:val="32"/>
          <w:highlight w:val="none"/>
          <w:lang w:val="en-US" w:eastAsia="zh-CN" w:bidi="ar"/>
        </w:rPr>
        <w:t>1</w:t>
      </w:r>
      <w:r>
        <w:rPr>
          <w:rFonts w:hint="eastAsia" w:ascii="仿宋_GB2312" w:hAnsi="仿宋_GB2312" w:eastAsia="仿宋_GB2312" w:cs="仿宋_GB2312"/>
          <w:b/>
          <w:bCs/>
          <w:color w:val="auto"/>
          <w:sz w:val="32"/>
          <w:szCs w:val="32"/>
          <w:highlight w:val="none"/>
          <w:lang w:val="en-US" w:eastAsia="zh-CN" w:bidi="ar"/>
        </w:rPr>
        <w:t>.加强财政资源统筹，提升财政服务保障能力</w:t>
      </w:r>
    </w:p>
    <w:p>
      <w:pPr>
        <w:keepNext w:val="0"/>
        <w:keepLines w:val="0"/>
        <w:pageBreakBefore w:val="0"/>
        <w:pBdr>
          <w:bottom w:val="single" w:color="FFFFFF" w:sz="4" w:space="15"/>
        </w:pBdr>
        <w:tabs>
          <w:tab w:val="left" w:pos="3544"/>
        </w:tabs>
        <w:kinsoku/>
        <w:overflowPunct/>
        <w:topLinePunct w:val="0"/>
        <w:autoSpaceDE w:val="0"/>
        <w:autoSpaceDN/>
        <w:bidi w:val="0"/>
        <w:adjustRightInd w:val="0"/>
        <w:snapToGrid/>
        <w:spacing w:line="578" w:lineRule="exact"/>
        <w:ind w:firstLine="640"/>
        <w:textAlignment w:val="auto"/>
        <w:rPr>
          <w:rFonts w:hint="eastAsia" w:ascii="Times New Roman" w:hAnsi="Times New Roman" w:eastAsia="仿宋_GB2312" w:cs="仿宋_GB2312"/>
          <w:b w:val="0"/>
          <w:bCs w:val="0"/>
          <w:color w:val="auto"/>
          <w:sz w:val="32"/>
          <w:szCs w:val="32"/>
          <w:lang w:val="en-US" w:eastAsia="zh-CN" w:bidi="ar"/>
        </w:rPr>
      </w:pPr>
      <w:r>
        <w:rPr>
          <w:rFonts w:hint="eastAsia" w:ascii="Times New Roman" w:hAnsi="Times New Roman" w:eastAsia="仿宋_GB2312" w:cs="仿宋_GB2312"/>
          <w:b/>
          <w:bCs/>
          <w:color w:val="auto"/>
          <w:sz w:val="32"/>
          <w:szCs w:val="32"/>
          <w:lang w:val="en-US" w:eastAsia="zh-CN" w:bidi="ar"/>
        </w:rPr>
        <w:t>一是</w:t>
      </w:r>
      <w:r>
        <w:rPr>
          <w:rFonts w:hint="eastAsia" w:ascii="Times New Roman" w:hAnsi="Times New Roman" w:eastAsia="仿宋_GB2312" w:cs="仿宋_GB2312"/>
          <w:b w:val="0"/>
          <w:bCs w:val="0"/>
          <w:color w:val="auto"/>
          <w:sz w:val="32"/>
          <w:szCs w:val="32"/>
          <w:lang w:val="en-US" w:eastAsia="zh-CN" w:bidi="ar"/>
        </w:rPr>
        <w:t>财政收入实现稳步增长。财政部门围绕2025年吉阳区经济社会发展目标，主动担当作为，充分发挥财政资金和财税政策“双供给”作用，助力持续优化营商环境，推动精准招商引资工作。积极配合区税务部门加大税收征收力度，确保各项税收应收尽收，提高征收效能，做大财政收入蛋糕，全年实现全口径税收收入84.20亿元，同比上年增长6.9%。</w:t>
      </w:r>
      <w:r>
        <w:rPr>
          <w:rFonts w:hint="eastAsia" w:ascii="Times New Roman" w:hAnsi="Times New Roman" w:eastAsia="仿宋_GB2312" w:cs="仿宋_GB2312"/>
          <w:b/>
          <w:bCs/>
          <w:color w:val="auto"/>
          <w:sz w:val="32"/>
          <w:szCs w:val="32"/>
          <w:lang w:val="en-US" w:eastAsia="zh-CN" w:bidi="ar"/>
        </w:rPr>
        <w:t>二是</w:t>
      </w:r>
      <w:r>
        <w:rPr>
          <w:rFonts w:hint="eastAsia" w:ascii="Times New Roman" w:hAnsi="Times New Roman" w:eastAsia="仿宋_GB2312" w:cs="仿宋_GB2312"/>
          <w:b w:val="0"/>
          <w:bCs w:val="0"/>
          <w:color w:val="auto"/>
          <w:sz w:val="32"/>
          <w:szCs w:val="32"/>
          <w:lang w:val="en-US" w:eastAsia="zh-CN" w:bidi="ar"/>
        </w:rPr>
        <w:t>全力争取上级资金支持。充分利用争取上级资金激励机制，向上级争取各类资金及政策支持。2025年，争取到上级转移支付资金14.28亿元，主要用于教育发展、农业扶持、美丽乡村、城镇老旧小区等重点项目建设。</w:t>
      </w:r>
      <w:r>
        <w:rPr>
          <w:rFonts w:hint="eastAsia" w:ascii="Times New Roman" w:hAnsi="Times New Roman" w:eastAsia="仿宋_GB2312" w:cs="仿宋_GB2312"/>
          <w:b/>
          <w:bCs/>
          <w:color w:val="auto"/>
          <w:sz w:val="32"/>
          <w:szCs w:val="32"/>
          <w:lang w:val="en-US" w:eastAsia="zh-CN" w:bidi="ar"/>
        </w:rPr>
        <w:t>三是</w:t>
      </w:r>
      <w:r>
        <w:rPr>
          <w:rFonts w:hint="eastAsia" w:ascii="Times New Roman" w:hAnsi="Times New Roman" w:eastAsia="仿宋_GB2312" w:cs="仿宋_GB2312"/>
          <w:b w:val="0"/>
          <w:bCs w:val="0"/>
          <w:color w:val="auto"/>
          <w:sz w:val="32"/>
          <w:szCs w:val="32"/>
          <w:lang w:val="en-US" w:eastAsia="zh-CN" w:bidi="ar"/>
        </w:rPr>
        <w:t>盘活存量资金1.14亿元，科学统筹分配保重点，保障重点项目和民生领域。</w:t>
      </w:r>
    </w:p>
    <w:p>
      <w:pPr>
        <w:keepNext w:val="0"/>
        <w:keepLines w:val="0"/>
        <w:pageBreakBefore w:val="0"/>
        <w:pBdr>
          <w:bottom w:val="single" w:color="FFFFFF" w:sz="4" w:space="15"/>
        </w:pBdr>
        <w:tabs>
          <w:tab w:val="left" w:pos="3544"/>
        </w:tabs>
        <w:kinsoku/>
        <w:overflowPunct/>
        <w:topLinePunct w:val="0"/>
        <w:autoSpaceDE w:val="0"/>
        <w:autoSpaceDN/>
        <w:bidi w:val="0"/>
        <w:adjustRightInd w:val="0"/>
        <w:snapToGrid/>
        <w:spacing w:line="578" w:lineRule="exact"/>
        <w:ind w:firstLine="640"/>
        <w:textAlignment w:val="auto"/>
        <w:rPr>
          <w:rFonts w:hint="eastAsia" w:ascii="仿宋_GB2312" w:hAnsi="仿宋_GB2312" w:eastAsia="仿宋_GB2312" w:cs="仿宋_GB2312"/>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2</w:t>
      </w:r>
      <w:r>
        <w:rPr>
          <w:rFonts w:hint="eastAsia" w:ascii="仿宋_GB2312" w:hAnsi="仿宋_GB2312" w:eastAsia="仿宋_GB2312" w:cs="仿宋_GB2312"/>
          <w:b/>
          <w:bCs/>
          <w:color w:val="auto"/>
          <w:sz w:val="32"/>
          <w:szCs w:val="32"/>
          <w:lang w:val="en-US" w:eastAsia="zh-CN"/>
        </w:rPr>
        <w:t>.聚力服务高质量发展，增强城乡发展协调性</w:t>
      </w:r>
    </w:p>
    <w:p>
      <w:pPr>
        <w:keepNext w:val="0"/>
        <w:keepLines w:val="0"/>
        <w:pageBreakBefore w:val="0"/>
        <w:pBdr>
          <w:bottom w:val="single" w:color="FFFFFF" w:sz="4" w:space="15"/>
        </w:pBdr>
        <w:tabs>
          <w:tab w:val="left" w:pos="3544"/>
        </w:tabs>
        <w:kinsoku/>
        <w:overflowPunct/>
        <w:topLinePunct w:val="0"/>
        <w:autoSpaceDE w:val="0"/>
        <w:autoSpaceDN/>
        <w:bidi w:val="0"/>
        <w:adjustRightInd w:val="0"/>
        <w:snapToGrid/>
        <w:spacing w:line="578" w:lineRule="exact"/>
        <w:ind w:firstLine="640"/>
        <w:textAlignment w:val="auto"/>
        <w:rPr>
          <w:rFonts w:hint="eastAsia" w:ascii="Times New Roman" w:hAnsi="Times New Roman" w:eastAsia="仿宋_GB2312" w:cs="仿宋_GB2312"/>
          <w:bCs/>
          <w:color w:val="auto"/>
          <w:sz w:val="32"/>
          <w:szCs w:val="32"/>
        </w:rPr>
      </w:pPr>
      <w:r>
        <w:rPr>
          <w:rFonts w:hint="eastAsia" w:ascii="Times New Roman" w:hAnsi="Times New Roman" w:eastAsia="仿宋_GB2312" w:cs="仿宋_GB2312"/>
          <w:b w:val="0"/>
          <w:bCs w:val="0"/>
          <w:color w:val="auto"/>
          <w:sz w:val="32"/>
          <w:szCs w:val="32"/>
          <w:lang w:val="en-US" w:eastAsia="zh-CN" w:bidi="ar"/>
        </w:rPr>
        <w:t>大</w:t>
      </w:r>
      <w:r>
        <w:rPr>
          <w:rFonts w:hint="eastAsia" w:ascii="Times New Roman" w:hAnsi="Times New Roman" w:eastAsia="仿宋_GB2312" w:cs="仿宋_GB2312"/>
          <w:color w:val="auto"/>
          <w:kern w:val="2"/>
          <w:sz w:val="32"/>
          <w:szCs w:val="32"/>
          <w:highlight w:val="none"/>
          <w:lang w:val="en-US" w:eastAsia="zh-CN" w:bidi="ar-SA"/>
        </w:rPr>
        <w:t>力提振消费。统筹用好各级财政资金，加大投资力度，投入0.11亿元补贴汽车、黄金消费，提振社会消费品零售总额。支持加大精准招商引资力度，持续优化吉阳区营商环境，投入0.14亿元，</w:t>
      </w:r>
      <w:r>
        <w:rPr>
          <w:rFonts w:hint="eastAsia" w:ascii="Times New Roman" w:hAnsi="Times New Roman" w:eastAsia="仿宋_GB2312" w:cs="仿宋_GB2312"/>
          <w:color w:val="auto"/>
          <w:sz w:val="32"/>
          <w:szCs w:val="32"/>
          <w:highlight w:val="none"/>
          <w:lang w:val="en-US" w:eastAsia="zh-CN"/>
        </w:rPr>
        <w:t>探索推行</w:t>
      </w:r>
      <w:r>
        <w:rPr>
          <w:rFonts w:hint="eastAsia" w:ascii="Times New Roman" w:hAnsi="Times New Roman" w:eastAsia="仿宋_GB2312" w:cs="仿宋_GB2312"/>
          <w:b w:val="0"/>
          <w:bCs w:val="0"/>
          <w:color w:val="auto"/>
          <w:sz w:val="32"/>
          <w:szCs w:val="32"/>
          <w:highlight w:val="none"/>
          <w:lang w:val="en-US" w:eastAsia="zh-CN"/>
        </w:rPr>
        <w:t>文旅类</w:t>
      </w:r>
      <w:r>
        <w:rPr>
          <w:rFonts w:hint="eastAsia" w:ascii="Times New Roman" w:hAnsi="Times New Roman" w:eastAsia="仿宋_GB2312" w:cs="仿宋_GB2312"/>
          <w:color w:val="auto"/>
          <w:sz w:val="32"/>
          <w:szCs w:val="32"/>
          <w:highlight w:val="none"/>
          <w:lang w:val="en-US" w:eastAsia="zh-CN"/>
        </w:rPr>
        <w:t>“阿吉帮选、址快一步”，</w:t>
      </w:r>
      <w:r>
        <w:rPr>
          <w:rFonts w:hint="eastAsia" w:ascii="Times New Roman" w:hAnsi="Times New Roman" w:eastAsia="仿宋_GB2312" w:cs="仿宋_GB2312"/>
          <w:b w:val="0"/>
          <w:bCs w:val="0"/>
          <w:color w:val="auto"/>
          <w:sz w:val="32"/>
          <w:szCs w:val="32"/>
          <w:highlight w:val="none"/>
          <w:lang w:val="en-US" w:eastAsia="zh-CN"/>
        </w:rPr>
        <w:t>实施“两评一</w:t>
      </w:r>
      <w:r>
        <w:rPr>
          <w:rFonts w:hint="eastAsia" w:ascii="Times New Roman" w:hAnsi="Times New Roman" w:eastAsia="仿宋_GB2312" w:cs="仿宋_GB2312"/>
          <w:color w:val="auto"/>
          <w:kern w:val="2"/>
          <w:sz w:val="32"/>
          <w:szCs w:val="32"/>
          <w:highlight w:val="none"/>
          <w:lang w:val="en-US" w:eastAsia="zh-CN" w:bidi="ar-SA"/>
        </w:rPr>
        <w:t>证”合一审批，节约项目审批时间。</w:t>
      </w:r>
    </w:p>
    <w:p>
      <w:pPr>
        <w:keepNext w:val="0"/>
        <w:keepLines w:val="0"/>
        <w:pageBreakBefore w:val="0"/>
        <w:pBdr>
          <w:bottom w:val="single" w:color="FFFFFF" w:sz="4" w:space="15"/>
        </w:pBdr>
        <w:tabs>
          <w:tab w:val="left" w:pos="3544"/>
        </w:tabs>
        <w:kinsoku/>
        <w:overflowPunct/>
        <w:topLinePunct w:val="0"/>
        <w:autoSpaceDE w:val="0"/>
        <w:autoSpaceDN/>
        <w:bidi w:val="0"/>
        <w:adjustRightInd w:val="0"/>
        <w:snapToGrid/>
        <w:spacing w:line="578" w:lineRule="exact"/>
        <w:ind w:firstLine="640"/>
        <w:textAlignment w:val="auto"/>
        <w:rPr>
          <w:rFonts w:hint="eastAsia" w:ascii="Times New Roman" w:hAnsi="Times New Roman" w:eastAsia="仿宋_GB2312" w:cs="仿宋_GB2312"/>
          <w:b w:val="0"/>
          <w:bCs w:val="0"/>
          <w:color w:val="auto"/>
          <w:sz w:val="32"/>
          <w:szCs w:val="32"/>
          <w:lang w:val="en-US" w:eastAsia="zh-CN" w:bidi="ar"/>
        </w:rPr>
      </w:pPr>
      <w:r>
        <w:rPr>
          <w:rFonts w:hint="eastAsia" w:ascii="Times New Roman" w:hAnsi="Times New Roman" w:eastAsia="仿宋_GB2312" w:cs="仿宋_GB2312"/>
          <w:bCs/>
          <w:color w:val="auto"/>
          <w:sz w:val="32"/>
          <w:szCs w:val="32"/>
        </w:rPr>
        <w:t>支持扩大有效投资</w:t>
      </w:r>
      <w:r>
        <w:rPr>
          <w:rFonts w:hint="eastAsia" w:ascii="Times New Roman" w:hAnsi="Times New Roman" w:eastAsia="仿宋_GB2312" w:cs="仿宋_GB2312"/>
          <w:bCs/>
          <w:color w:val="auto"/>
          <w:sz w:val="32"/>
          <w:szCs w:val="32"/>
          <w:lang w:eastAsia="zh-CN"/>
        </w:rPr>
        <w:t>，</w:t>
      </w:r>
      <w:r>
        <w:rPr>
          <w:rFonts w:hint="eastAsia" w:ascii="Times New Roman" w:hAnsi="Times New Roman" w:eastAsia="仿宋_GB2312" w:cs="仿宋_GB2312"/>
          <w:color w:val="auto"/>
          <w:kern w:val="2"/>
          <w:sz w:val="32"/>
          <w:szCs w:val="32"/>
          <w:highlight w:val="none"/>
          <w:lang w:val="en-US" w:eastAsia="zh-CN" w:bidi="ar-SA"/>
        </w:rPr>
        <w:t>全面加强城市基础设施统筹规划，拨付城乡社区支出7.28亿元，用于加快实施老旧小区改造，推动城市燃气管道改造升级，补齐城市基础设施短板，推动三亚市重点区域防洪工程、三亚市森海路、南丁岭路市政道路工程项目、三亚市积水点改造（一期）工程</w:t>
      </w:r>
      <w:r>
        <w:rPr>
          <w:rFonts w:hint="eastAsia" w:ascii="Times New Roman" w:hAnsi="Times New Roman" w:eastAsia="仿宋_GB2312" w:cs="仿宋_GB2312"/>
          <w:b w:val="0"/>
          <w:bCs w:val="0"/>
          <w:color w:val="auto"/>
          <w:sz w:val="32"/>
          <w:szCs w:val="32"/>
          <w:lang w:val="en-US" w:eastAsia="zh-CN" w:bidi="ar"/>
        </w:rPr>
        <w:t>等重大民生项目。扎实推进乡村振兴工作，深化和美乡村建设，确保财政衔接推进乡村振兴补助资金精准高效使用。配套省级资金，顺利申报海南省县域商业建设项目，提升县域商业体系，促进城乡消费市场联通。</w:t>
      </w:r>
    </w:p>
    <w:p>
      <w:pPr>
        <w:keepNext w:val="0"/>
        <w:keepLines w:val="0"/>
        <w:pageBreakBefore w:val="0"/>
        <w:pBdr>
          <w:bottom w:val="single" w:color="FFFFFF" w:sz="4" w:space="15"/>
        </w:pBdr>
        <w:tabs>
          <w:tab w:val="left" w:pos="3544"/>
        </w:tabs>
        <w:kinsoku/>
        <w:overflowPunct/>
        <w:topLinePunct w:val="0"/>
        <w:autoSpaceDE w:val="0"/>
        <w:autoSpaceDN/>
        <w:bidi w:val="0"/>
        <w:adjustRightInd w:val="0"/>
        <w:snapToGrid/>
        <w:spacing w:line="578" w:lineRule="exact"/>
        <w:ind w:firstLine="640"/>
        <w:textAlignment w:val="auto"/>
        <w:rPr>
          <w:rFonts w:hint="eastAsia" w:ascii="仿宋_GB2312" w:hAnsi="仿宋_GB2312" w:eastAsia="仿宋_GB2312" w:cs="仿宋_GB2312"/>
          <w:b/>
          <w:bCs/>
          <w:color w:val="auto"/>
          <w:sz w:val="32"/>
          <w:szCs w:val="32"/>
          <w:lang w:val="en-US" w:eastAsia="zh-CN" w:bidi="ar"/>
        </w:rPr>
      </w:pPr>
      <w:r>
        <w:rPr>
          <w:rFonts w:hint="default" w:ascii="Times New Roman" w:hAnsi="Times New Roman" w:eastAsia="仿宋_GB2312" w:cs="Times New Roman"/>
          <w:b/>
          <w:bCs/>
          <w:color w:val="auto"/>
          <w:sz w:val="32"/>
          <w:szCs w:val="32"/>
          <w:lang w:val="en-US" w:eastAsia="zh-CN" w:bidi="ar"/>
        </w:rPr>
        <w:t>3</w:t>
      </w:r>
      <w:r>
        <w:rPr>
          <w:rFonts w:hint="eastAsia" w:ascii="仿宋_GB2312" w:hAnsi="仿宋_GB2312" w:eastAsia="仿宋_GB2312" w:cs="仿宋_GB2312"/>
          <w:b/>
          <w:bCs/>
          <w:color w:val="auto"/>
          <w:sz w:val="32"/>
          <w:szCs w:val="32"/>
          <w:lang w:val="en-US" w:eastAsia="zh-CN" w:bidi="ar"/>
        </w:rPr>
        <w:t>.以民生福祉为主线，坚持财政政策民生导向</w:t>
      </w:r>
    </w:p>
    <w:p>
      <w:pPr>
        <w:keepNext w:val="0"/>
        <w:keepLines w:val="0"/>
        <w:pageBreakBefore w:val="0"/>
        <w:numPr>
          <w:ilvl w:val="0"/>
          <w:numId w:val="0"/>
        </w:numPr>
        <w:pBdr>
          <w:bottom w:val="single" w:color="FFFFFF" w:sz="4" w:space="15"/>
        </w:pBdr>
        <w:tabs>
          <w:tab w:val="left" w:pos="3544"/>
        </w:tabs>
        <w:kinsoku/>
        <w:overflowPunct/>
        <w:topLinePunct w:val="0"/>
        <w:autoSpaceDE w:val="0"/>
        <w:autoSpaceDN/>
        <w:bidi w:val="0"/>
        <w:adjustRightInd w:val="0"/>
        <w:snapToGrid/>
        <w:spacing w:line="578" w:lineRule="exact"/>
        <w:ind w:firstLine="640" w:firstLineChars="200"/>
        <w:textAlignment w:val="auto"/>
        <w:rPr>
          <w:rFonts w:hint="eastAsia" w:ascii="Times New Roman" w:hAnsi="Times New Roman" w:eastAsia="仿宋_GB2312" w:cs="仿宋_GB2312"/>
          <w:color w:val="auto"/>
          <w:sz w:val="32"/>
          <w:szCs w:val="32"/>
          <w:lang w:val="en-US" w:eastAsia="zh-CN" w:bidi="ar"/>
        </w:rPr>
      </w:pPr>
      <w:r>
        <w:rPr>
          <w:rFonts w:hint="eastAsia" w:ascii="Times New Roman" w:hAnsi="Times New Roman" w:eastAsia="仿宋_GB2312" w:cs="仿宋_GB2312"/>
          <w:color w:val="auto"/>
          <w:sz w:val="32"/>
          <w:szCs w:val="32"/>
          <w:highlight w:val="none"/>
          <w:lang w:val="en-US" w:eastAsia="zh-CN" w:bidi="ar"/>
        </w:rPr>
        <w:t>推动更多资金资源投资于人、服务民生。</w:t>
      </w:r>
      <w:r>
        <w:rPr>
          <w:rFonts w:hint="eastAsia" w:ascii="Times New Roman" w:hAnsi="Times New Roman" w:eastAsia="仿宋_GB2312" w:cs="仿宋_GB2312"/>
          <w:color w:val="auto"/>
          <w:sz w:val="32"/>
          <w:szCs w:val="32"/>
        </w:rPr>
        <w:t>以提升人民群众的幸福感为目标</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靶向发力。</w:t>
      </w:r>
      <w:r>
        <w:rPr>
          <w:rFonts w:hint="eastAsia" w:ascii="Times New Roman" w:hAnsi="Times New Roman" w:eastAsia="仿宋_GB2312" w:cs="仿宋_GB2312"/>
          <w:color w:val="auto"/>
          <w:sz w:val="32"/>
          <w:szCs w:val="32"/>
          <w:highlight w:val="none"/>
          <w:lang w:val="en-US" w:eastAsia="zh-CN" w:bidi="ar"/>
        </w:rPr>
        <w:t>坚持尽力而为、量力而行，加强基础性、普惠性、兜底性民生建设，在高质量发展中持续增进民生“福祉”。全年投入重点民生保障资金20.79亿元，占地方一般公共预算支出的85.7%。</w:t>
      </w:r>
      <w:r>
        <w:rPr>
          <w:rFonts w:hint="eastAsia" w:ascii="Times New Roman" w:hAnsi="Times New Roman" w:eastAsia="仿宋_GB2312" w:cs="仿宋_GB2312"/>
          <w:color w:val="auto"/>
          <w:sz w:val="32"/>
          <w:szCs w:val="32"/>
          <w:lang w:val="en-US" w:eastAsia="zh-CN" w:bidi="ar"/>
        </w:rPr>
        <w:t>主要成效如下：</w:t>
      </w:r>
    </w:p>
    <w:p>
      <w:pPr>
        <w:keepNext w:val="0"/>
        <w:keepLines w:val="0"/>
        <w:pageBreakBefore w:val="0"/>
        <w:numPr>
          <w:ilvl w:val="0"/>
          <w:numId w:val="0"/>
        </w:numPr>
        <w:pBdr>
          <w:bottom w:val="single" w:color="FFFFFF" w:sz="4" w:space="15"/>
        </w:pBdr>
        <w:tabs>
          <w:tab w:val="left" w:pos="3544"/>
        </w:tabs>
        <w:kinsoku/>
        <w:overflowPunct/>
        <w:topLinePunct w:val="0"/>
        <w:autoSpaceDE w:val="0"/>
        <w:autoSpaceDN/>
        <w:bidi w:val="0"/>
        <w:adjustRightInd w:val="0"/>
        <w:snapToGrid/>
        <w:spacing w:line="578" w:lineRule="exact"/>
        <w:ind w:firstLine="643" w:firstLineChars="200"/>
        <w:textAlignment w:val="auto"/>
        <w:rPr>
          <w:rFonts w:hint="eastAsia" w:ascii="Times New Roman" w:hAnsi="Times New Roman" w:eastAsia="仿宋_GB2312" w:cs="仿宋_GB2312"/>
          <w:color w:val="auto"/>
          <w:sz w:val="32"/>
          <w:szCs w:val="32"/>
          <w:highlight w:val="none"/>
          <w:lang w:val="en-US" w:eastAsia="zh-CN" w:bidi="ar"/>
        </w:rPr>
      </w:pPr>
      <w:r>
        <w:rPr>
          <w:rFonts w:hint="eastAsia" w:ascii="Times New Roman" w:hAnsi="Times New Roman" w:eastAsia="仿宋_GB2312" w:cs="仿宋_GB2312"/>
          <w:b/>
          <w:bCs/>
          <w:color w:val="auto"/>
          <w:sz w:val="32"/>
          <w:szCs w:val="32"/>
          <w:lang w:val="en-US" w:eastAsia="zh-CN" w:bidi="ar"/>
        </w:rPr>
        <w:t>教育支出</w:t>
      </w:r>
      <w:r>
        <w:rPr>
          <w:rFonts w:hint="eastAsia" w:ascii="Times New Roman" w:hAnsi="Times New Roman" w:eastAsia="仿宋_GB2312" w:cs="仿宋_GB2312"/>
          <w:color w:val="auto"/>
          <w:sz w:val="32"/>
          <w:szCs w:val="32"/>
          <w:lang w:val="en-US" w:eastAsia="zh-CN" w:bidi="ar"/>
        </w:rPr>
        <w:t>6.05亿元，增长4.6%。</w:t>
      </w:r>
      <w:r>
        <w:rPr>
          <w:rFonts w:hint="eastAsia" w:ascii="Times New Roman" w:hAnsi="Times New Roman" w:eastAsia="仿宋_GB2312" w:cs="仿宋_GB2312"/>
          <w:color w:val="auto"/>
          <w:sz w:val="32"/>
          <w:szCs w:val="32"/>
          <w:highlight w:val="none"/>
          <w:lang w:val="en-US" w:eastAsia="zh-CN" w:bidi="ar"/>
        </w:rPr>
        <w:t>主要用于继续推进教育优质均衡发展，通过新增学位、组建教育集团、引进优质资源托管薄弱学校、实施教师交流轮岗等方式扩大优质资源供给，并全面推进心理健康教育、课后服务、营养改善及校园食品安全等综合保障。</w:t>
      </w:r>
    </w:p>
    <w:p>
      <w:pPr>
        <w:keepNext w:val="0"/>
        <w:keepLines w:val="0"/>
        <w:pageBreakBefore w:val="0"/>
        <w:numPr>
          <w:ilvl w:val="0"/>
          <w:numId w:val="0"/>
        </w:numPr>
        <w:pBdr>
          <w:bottom w:val="single" w:color="FFFFFF" w:sz="4" w:space="15"/>
        </w:pBdr>
        <w:tabs>
          <w:tab w:val="left" w:pos="3544"/>
        </w:tabs>
        <w:kinsoku/>
        <w:overflowPunct/>
        <w:topLinePunct w:val="0"/>
        <w:autoSpaceDE w:val="0"/>
        <w:autoSpaceDN/>
        <w:bidi w:val="0"/>
        <w:adjustRightInd w:val="0"/>
        <w:snapToGrid/>
        <w:spacing w:line="578" w:lineRule="exact"/>
        <w:ind w:firstLine="643" w:firstLineChars="200"/>
        <w:textAlignment w:val="auto"/>
        <w:rPr>
          <w:rFonts w:hint="eastAsia" w:ascii="Times New Roman" w:hAnsi="Times New Roman" w:eastAsia="仿宋_GB2312" w:cs="仿宋_GB2312"/>
          <w:color w:val="auto"/>
          <w:kern w:val="2"/>
          <w:sz w:val="32"/>
          <w:szCs w:val="32"/>
          <w:highlight w:val="none"/>
          <w:lang w:val="en-US" w:eastAsia="zh-CN" w:bidi="ar"/>
        </w:rPr>
      </w:pPr>
      <w:r>
        <w:rPr>
          <w:rFonts w:hint="eastAsia" w:ascii="Times New Roman" w:hAnsi="Times New Roman" w:eastAsia="仿宋_GB2312" w:cs="仿宋_GB2312"/>
          <w:b/>
          <w:bCs/>
          <w:color w:val="auto"/>
          <w:sz w:val="32"/>
          <w:szCs w:val="32"/>
          <w:lang w:val="en-US" w:eastAsia="zh-CN" w:bidi="ar"/>
        </w:rPr>
        <w:t>卫生健康支出</w:t>
      </w:r>
      <w:r>
        <w:rPr>
          <w:rFonts w:hint="eastAsia" w:ascii="Times New Roman" w:hAnsi="Times New Roman" w:eastAsia="仿宋_GB2312" w:cs="仿宋_GB2312"/>
          <w:color w:val="auto"/>
          <w:sz w:val="32"/>
          <w:szCs w:val="32"/>
          <w:lang w:val="en-US" w:eastAsia="zh-CN" w:bidi="ar"/>
        </w:rPr>
        <w:t>0.90亿元，下降25%。主要用于支持提升基层医疗服务能力，推动</w:t>
      </w:r>
      <w:r>
        <w:rPr>
          <w:rFonts w:hint="eastAsia" w:ascii="Times New Roman" w:hAnsi="Times New Roman" w:eastAsia="仿宋_GB2312" w:cs="仿宋_GB2312"/>
          <w:color w:val="auto"/>
          <w:kern w:val="2"/>
          <w:sz w:val="32"/>
          <w:szCs w:val="32"/>
          <w:highlight w:val="none"/>
          <w:lang w:val="en-US" w:eastAsia="zh-CN" w:bidi="ar"/>
        </w:rPr>
        <w:t>田独卫生院综合楼投用、开展双向转诊与分级诊疗、建设老年友善医疗机构及</w:t>
      </w:r>
      <w:r>
        <w:rPr>
          <w:rFonts w:hint="eastAsia" w:ascii="Times New Roman" w:hAnsi="Times New Roman" w:eastAsia="仿宋_GB2312" w:cs="仿宋_GB2312"/>
          <w:color w:val="auto"/>
          <w:sz w:val="32"/>
          <w:szCs w:val="32"/>
          <w:highlight w:val="none"/>
          <w:lang w:val="en-US" w:eastAsia="zh-CN"/>
        </w:rPr>
        <w:t>普惠托育体系</w:t>
      </w:r>
      <w:r>
        <w:rPr>
          <w:rFonts w:hint="eastAsia" w:ascii="Times New Roman" w:hAnsi="Times New Roman" w:eastAsia="仿宋_GB2312" w:cs="仿宋_GB2312"/>
          <w:color w:val="auto"/>
          <w:kern w:val="2"/>
          <w:sz w:val="32"/>
          <w:szCs w:val="32"/>
          <w:highlight w:val="none"/>
          <w:lang w:val="en-US" w:eastAsia="zh-CN" w:bidi="ar"/>
        </w:rPr>
        <w:t>。注重疾病防控与公共卫生服务，开通24小时心理援助热线，广泛发动群众开展“清洁家园 防蚊灭蚊”活动，妥善处置基孔肯亚热和登革热疫情。</w:t>
      </w:r>
    </w:p>
    <w:p>
      <w:pPr>
        <w:keepNext w:val="0"/>
        <w:keepLines w:val="0"/>
        <w:pageBreakBefore w:val="0"/>
        <w:numPr>
          <w:ilvl w:val="0"/>
          <w:numId w:val="0"/>
        </w:numPr>
        <w:pBdr>
          <w:bottom w:val="single" w:color="FFFFFF" w:sz="4" w:space="15"/>
        </w:pBdr>
        <w:tabs>
          <w:tab w:val="left" w:pos="3544"/>
        </w:tabs>
        <w:kinsoku/>
        <w:overflowPunct/>
        <w:topLinePunct w:val="0"/>
        <w:autoSpaceDE w:val="0"/>
        <w:autoSpaceDN/>
        <w:bidi w:val="0"/>
        <w:adjustRightInd w:val="0"/>
        <w:snapToGrid/>
        <w:spacing w:line="578" w:lineRule="exact"/>
        <w:ind w:firstLine="643" w:firstLineChars="200"/>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b/>
          <w:bCs/>
          <w:color w:val="auto"/>
          <w:sz w:val="32"/>
          <w:szCs w:val="32"/>
          <w:highlight w:val="none"/>
          <w:lang w:val="en-US" w:eastAsia="zh-CN" w:bidi="ar"/>
        </w:rPr>
        <w:t>文化旅游体育与传媒支出</w:t>
      </w:r>
      <w:r>
        <w:rPr>
          <w:rFonts w:hint="eastAsia" w:ascii="Times New Roman" w:hAnsi="Times New Roman" w:eastAsia="仿宋_GB2312" w:cs="仿宋_GB2312"/>
          <w:color w:val="auto"/>
          <w:sz w:val="32"/>
          <w:szCs w:val="32"/>
          <w:highlight w:val="none"/>
          <w:lang w:val="en-US" w:eastAsia="zh-CN" w:bidi="ar"/>
        </w:rPr>
        <w:t xml:space="preserve"> 0.17亿元，下降54.2%。主要用于支持优化旅游产业提质升级，体育旅游示范区创建</w:t>
      </w:r>
      <w:r>
        <w:rPr>
          <w:rFonts w:hint="eastAsia" w:ascii="Times New Roman" w:hAnsi="Times New Roman" w:eastAsia="仿宋_GB2312" w:cs="仿宋_GB2312"/>
          <w:color w:val="auto"/>
          <w:kern w:val="2"/>
          <w:sz w:val="32"/>
          <w:szCs w:val="32"/>
          <w:highlight w:val="none"/>
          <w:lang w:val="en-US" w:eastAsia="zh-CN" w:bidi="ar-SA"/>
        </w:rPr>
        <w:t>，完成龙潭湖环境提升。升级改造榆红、大茅等村级体育场地</w:t>
      </w:r>
      <w:r>
        <w:rPr>
          <w:rFonts w:hint="eastAsia" w:ascii="Times New Roman" w:hAnsi="Times New Roman" w:eastAsia="仿宋_GB2312" w:cs="仿宋_GB2312"/>
          <w:color w:val="auto"/>
          <w:sz w:val="32"/>
          <w:szCs w:val="32"/>
          <w:highlight w:val="none"/>
          <w:lang w:val="en-US" w:eastAsia="zh-CN"/>
        </w:rPr>
        <w:t>，做好</w:t>
      </w:r>
      <w:r>
        <w:rPr>
          <w:rFonts w:hint="eastAsia" w:ascii="Times New Roman" w:hAnsi="Times New Roman" w:eastAsia="仿宋_GB2312" w:cs="仿宋_GB2312"/>
          <w:color w:val="auto"/>
          <w:sz w:val="32"/>
          <w:szCs w:val="32"/>
          <w:highlight w:val="none"/>
          <w:lang w:eastAsia="zh-CN"/>
        </w:rPr>
        <w:t>体育设施建设与维护。</w:t>
      </w:r>
      <w:r>
        <w:rPr>
          <w:rFonts w:hint="eastAsia" w:ascii="Times New Roman" w:hAnsi="Times New Roman" w:eastAsia="仿宋_GB2312" w:cs="仿宋_GB2312"/>
          <w:b w:val="0"/>
          <w:bCs w:val="0"/>
          <w:color w:val="auto"/>
          <w:sz w:val="32"/>
          <w:szCs w:val="32"/>
          <w:highlight w:val="none"/>
          <w:lang w:val="en-US" w:eastAsia="zh-CN"/>
        </w:rPr>
        <w:t>开展文化惠民活动、全民健身活动，推动非遗文化，进一步丰富群众文化生活。持续优化全域旅游环境，</w:t>
      </w:r>
      <w:r>
        <w:rPr>
          <w:rFonts w:hint="eastAsia" w:ascii="Times New Roman" w:hAnsi="Times New Roman" w:eastAsia="仿宋_GB2312" w:cs="仿宋_GB2312"/>
          <w:color w:val="auto"/>
          <w:sz w:val="32"/>
          <w:szCs w:val="32"/>
          <w:highlight w:val="none"/>
          <w:lang w:eastAsia="zh-CN"/>
        </w:rPr>
        <w:t>推动文体旅商展产业与消费市场深度融合。</w:t>
      </w:r>
    </w:p>
    <w:p>
      <w:pPr>
        <w:keepNext w:val="0"/>
        <w:keepLines w:val="0"/>
        <w:pageBreakBefore w:val="0"/>
        <w:numPr>
          <w:ilvl w:val="0"/>
          <w:numId w:val="0"/>
        </w:numPr>
        <w:pBdr>
          <w:bottom w:val="single" w:color="FFFFFF" w:sz="4" w:space="15"/>
        </w:pBdr>
        <w:tabs>
          <w:tab w:val="left" w:pos="3544"/>
        </w:tabs>
        <w:kinsoku/>
        <w:overflowPunct/>
        <w:topLinePunct w:val="0"/>
        <w:autoSpaceDE w:val="0"/>
        <w:autoSpaceDN/>
        <w:bidi w:val="0"/>
        <w:adjustRightInd w:val="0"/>
        <w:snapToGrid/>
        <w:spacing w:line="578" w:lineRule="exact"/>
        <w:ind w:firstLine="643" w:firstLineChars="200"/>
        <w:textAlignment w:val="auto"/>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bCs/>
          <w:color w:val="auto"/>
          <w:sz w:val="32"/>
          <w:szCs w:val="32"/>
          <w:lang w:val="en-US" w:eastAsia="zh-CN" w:bidi="ar"/>
        </w:rPr>
        <w:t>社会保障和就业支出</w:t>
      </w:r>
      <w:r>
        <w:rPr>
          <w:rFonts w:hint="eastAsia" w:ascii="Times New Roman" w:hAnsi="Times New Roman" w:eastAsia="仿宋_GB2312" w:cs="仿宋_GB2312"/>
          <w:color w:val="auto"/>
          <w:sz w:val="32"/>
          <w:szCs w:val="32"/>
          <w:lang w:val="en-US" w:eastAsia="zh-CN" w:bidi="ar"/>
        </w:rPr>
        <w:t>2.27亿元，增长4.9%。主要用于加强社会保障体系建设，优化特殊困难群体服务，建成区级残疾人综合康复中心，成立精神障碍社区康复服务中心。实现居家养老全面覆盖，</w:t>
      </w:r>
      <w:r>
        <w:rPr>
          <w:rFonts w:hint="eastAsia" w:ascii="Times New Roman" w:hAnsi="Times New Roman" w:eastAsia="仿宋_GB2312" w:cs="仿宋_GB2312"/>
          <w:color w:val="auto"/>
          <w:sz w:val="32"/>
          <w:szCs w:val="32"/>
          <w:highlight w:val="none"/>
          <w:lang w:val="en-US" w:eastAsia="zh-CN"/>
        </w:rPr>
        <w:t>南新</w:t>
      </w:r>
      <w:r>
        <w:rPr>
          <w:rFonts w:hint="eastAsia" w:ascii="Times New Roman" w:hAnsi="Times New Roman" w:eastAsia="仿宋_GB2312" w:cs="仿宋_GB2312"/>
          <w:b w:val="0"/>
          <w:bCs w:val="0"/>
          <w:color w:val="auto"/>
          <w:sz w:val="32"/>
          <w:szCs w:val="32"/>
          <w:highlight w:val="none"/>
          <w:lang w:val="en-US" w:eastAsia="zh-CN"/>
        </w:rPr>
        <w:t>老年人日间照料服务中心</w:t>
      </w:r>
      <w:r>
        <w:rPr>
          <w:rFonts w:hint="eastAsia" w:ascii="Times New Roman" w:hAnsi="Times New Roman" w:eastAsia="仿宋_GB2312" w:cs="仿宋_GB2312"/>
          <w:color w:val="auto"/>
          <w:sz w:val="32"/>
          <w:szCs w:val="32"/>
          <w:highlight w:val="none"/>
          <w:lang w:val="en-US" w:eastAsia="zh-CN"/>
        </w:rPr>
        <w:t>投入运营。</w:t>
      </w:r>
      <w:r>
        <w:rPr>
          <w:rFonts w:hint="eastAsia" w:ascii="Times New Roman" w:hAnsi="Times New Roman" w:eastAsia="仿宋_GB2312" w:cs="仿宋_GB2312"/>
          <w:b w:val="0"/>
          <w:bCs w:val="0"/>
          <w:color w:val="auto"/>
          <w:sz w:val="32"/>
          <w:szCs w:val="32"/>
          <w:highlight w:val="none"/>
          <w:lang w:val="en-US" w:eastAsia="zh-CN"/>
        </w:rPr>
        <w:t>城市便民服务站体系持续完善，举办就业服务活动，开设普惠性职业技能培训班，</w:t>
      </w:r>
      <w:r>
        <w:rPr>
          <w:rFonts w:hint="eastAsia" w:ascii="Times New Roman" w:hAnsi="Times New Roman" w:eastAsia="仿宋_GB2312" w:cs="仿宋_GB2312"/>
          <w:color w:val="auto"/>
          <w:sz w:val="32"/>
          <w:szCs w:val="32"/>
          <w:lang w:val="en-US" w:eastAsia="zh-CN" w:bidi="ar"/>
        </w:rPr>
        <w:t>鼓励支持大学生就业、创业培训，帮助失业人员、低收入农户提高职业技能</w:t>
      </w:r>
      <w:r>
        <w:rPr>
          <w:rFonts w:hint="eastAsia" w:ascii="Times New Roman" w:hAnsi="Times New Roman" w:eastAsia="仿宋_GB2312" w:cs="仿宋_GB2312"/>
          <w:b w:val="0"/>
          <w:bCs w:val="0"/>
          <w:color w:val="auto"/>
          <w:sz w:val="32"/>
          <w:szCs w:val="32"/>
          <w:highlight w:val="none"/>
          <w:lang w:val="en-US" w:eastAsia="zh-CN"/>
        </w:rPr>
        <w:t>，零就业家庭基本实现动态清零，同时支持建立欠薪案件调处“零门槛登记+多部门联动机制”，打造劳动关系公共服务样板站点。</w:t>
      </w:r>
    </w:p>
    <w:p>
      <w:pPr>
        <w:keepNext w:val="0"/>
        <w:keepLines w:val="0"/>
        <w:pageBreakBefore w:val="0"/>
        <w:numPr>
          <w:ilvl w:val="0"/>
          <w:numId w:val="0"/>
        </w:numPr>
        <w:pBdr>
          <w:bottom w:val="single" w:color="FFFFFF" w:sz="4" w:space="15"/>
        </w:pBdr>
        <w:tabs>
          <w:tab w:val="left" w:pos="3544"/>
        </w:tabs>
        <w:kinsoku/>
        <w:overflowPunct/>
        <w:topLinePunct w:val="0"/>
        <w:autoSpaceDE/>
        <w:autoSpaceDN/>
        <w:bidi w:val="0"/>
        <w:adjustRightInd/>
        <w:snapToGrid/>
        <w:spacing w:line="578" w:lineRule="exact"/>
        <w:ind w:firstLine="643"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b/>
          <w:bCs/>
          <w:color w:val="auto"/>
          <w:sz w:val="32"/>
          <w:szCs w:val="32"/>
          <w:lang w:val="en-US" w:eastAsia="zh-CN" w:bidi="ar"/>
        </w:rPr>
        <w:t>农林水支出</w:t>
      </w:r>
      <w:r>
        <w:rPr>
          <w:rFonts w:hint="eastAsia" w:ascii="Times New Roman" w:hAnsi="Times New Roman" w:eastAsia="仿宋_GB2312" w:cs="仿宋_GB2312"/>
          <w:color w:val="auto"/>
          <w:sz w:val="32"/>
          <w:szCs w:val="32"/>
          <w:lang w:val="en-US" w:eastAsia="zh-CN" w:bidi="ar"/>
        </w:rPr>
        <w:t>3.49亿元，增长3.6%。主要发展热带特色高效农业，全力夯实共同富裕的农业基础。资金重点投向高标准农田建设、优质稻米与特色品种推广、“吉阳鲜品”区域公用品牌打造等。落实耕地地力保护补贴和高标准农田管护，严守粮食安全底线，夯实粮食安全基础。</w:t>
      </w:r>
    </w:p>
    <w:p>
      <w:pPr>
        <w:keepNext w:val="0"/>
        <w:keepLines w:val="0"/>
        <w:pageBreakBefore w:val="0"/>
        <w:numPr>
          <w:ilvl w:val="0"/>
          <w:numId w:val="0"/>
        </w:numPr>
        <w:pBdr>
          <w:bottom w:val="single" w:color="FFFFFF" w:sz="4" w:space="15"/>
        </w:pBdr>
        <w:tabs>
          <w:tab w:val="left" w:pos="3544"/>
        </w:tabs>
        <w:kinsoku/>
        <w:overflowPunct/>
        <w:topLinePunct w:val="0"/>
        <w:autoSpaceDE/>
        <w:autoSpaceDN/>
        <w:bidi w:val="0"/>
        <w:adjustRightInd/>
        <w:snapToGrid/>
        <w:spacing w:line="578" w:lineRule="exact"/>
        <w:ind w:firstLine="640" w:firstLineChars="200"/>
        <w:textAlignment w:val="auto"/>
        <w:rPr>
          <w:rFonts w:hint="eastAsia" w:ascii="Times New Roman" w:hAnsi="Times New Roman" w:eastAsia="仿宋_GB2312" w:cs="仿宋_GB2312"/>
          <w:i w:val="0"/>
          <w:caps w:val="0"/>
          <w:color w:val="auto"/>
          <w:spacing w:val="0"/>
          <w:kern w:val="0"/>
          <w:sz w:val="32"/>
          <w:szCs w:val="32"/>
          <w:lang w:val="en-US" w:eastAsia="zh-CN" w:bidi="ar"/>
        </w:rPr>
      </w:pPr>
      <w:r>
        <w:rPr>
          <w:rFonts w:hint="eastAsia" w:ascii="Times New Roman" w:hAnsi="Times New Roman" w:eastAsia="仿宋_GB2312" w:cs="仿宋_GB2312"/>
          <w:i w:val="0"/>
          <w:caps w:val="0"/>
          <w:color w:val="auto"/>
          <w:spacing w:val="0"/>
          <w:kern w:val="0"/>
          <w:sz w:val="32"/>
          <w:szCs w:val="32"/>
          <w:lang w:val="en-US" w:eastAsia="zh-CN" w:bidi="ar"/>
        </w:rPr>
        <w:t>始终将人民群众生命财产</w:t>
      </w:r>
      <w:bookmarkStart w:id="0" w:name="_GoBack"/>
      <w:bookmarkEnd w:id="0"/>
      <w:r>
        <w:rPr>
          <w:rFonts w:hint="eastAsia" w:ascii="Times New Roman" w:hAnsi="Times New Roman" w:eastAsia="仿宋_GB2312" w:cs="仿宋_GB2312"/>
          <w:i w:val="0"/>
          <w:caps w:val="0"/>
          <w:color w:val="auto"/>
          <w:spacing w:val="0"/>
          <w:kern w:val="0"/>
          <w:sz w:val="32"/>
          <w:szCs w:val="32"/>
          <w:lang w:val="en-US" w:eastAsia="zh-CN" w:bidi="ar"/>
        </w:rPr>
        <w:t>安全摆在第一位，保障抢险救灾和灾后恢复重建。多渠道筹措资金0.11亿元，支持“剑鱼”台风灾后生产生活恢复重建，为科学开展救助和恢复工作提供有力支撑。</w:t>
      </w:r>
    </w:p>
    <w:p>
      <w:pPr>
        <w:keepNext w:val="0"/>
        <w:keepLines w:val="0"/>
        <w:pageBreakBefore w:val="0"/>
        <w:numPr>
          <w:ilvl w:val="0"/>
          <w:numId w:val="0"/>
        </w:numPr>
        <w:pBdr>
          <w:bottom w:val="single" w:color="FFFFFF" w:sz="4" w:space="15"/>
        </w:pBdr>
        <w:tabs>
          <w:tab w:val="left" w:pos="3544"/>
        </w:tabs>
        <w:kinsoku/>
        <w:overflowPunct/>
        <w:topLinePunct w:val="0"/>
        <w:autoSpaceDE/>
        <w:autoSpaceDN/>
        <w:bidi w:val="0"/>
        <w:adjustRightInd/>
        <w:snapToGrid/>
        <w:spacing w:line="578" w:lineRule="exact"/>
        <w:ind w:firstLine="643" w:firstLineChars="200"/>
        <w:textAlignment w:val="auto"/>
        <w:rPr>
          <w:rFonts w:hint="eastAsia" w:ascii="Times New Roman" w:hAnsi="Times New Roman" w:eastAsia="仿宋_GB2312" w:cs="仿宋_GB2312"/>
          <w:i w:val="0"/>
          <w:iCs w:val="0"/>
          <w:caps w:val="0"/>
          <w:color w:val="auto"/>
          <w:spacing w:val="0"/>
          <w:kern w:val="0"/>
          <w:sz w:val="32"/>
          <w:szCs w:val="32"/>
          <w:lang w:val="en-US" w:eastAsia="zh-CN" w:bidi="ar"/>
        </w:rPr>
      </w:pPr>
      <w:r>
        <w:rPr>
          <w:rFonts w:hint="eastAsia" w:ascii="Times New Roman" w:hAnsi="Times New Roman" w:eastAsia="仿宋_GB2312" w:cs="仿宋_GB2312"/>
          <w:b/>
          <w:bCs/>
          <w:color w:val="auto"/>
          <w:sz w:val="32"/>
          <w:szCs w:val="32"/>
          <w:lang w:val="en-US" w:eastAsia="zh-CN" w:bidi="ar"/>
        </w:rPr>
        <w:t>坚持为民办实事</w:t>
      </w:r>
      <w:r>
        <w:rPr>
          <w:rFonts w:hint="eastAsia" w:ascii="Times New Roman" w:hAnsi="Times New Roman" w:eastAsia="仿宋_GB2312" w:cs="仿宋_GB2312"/>
          <w:color w:val="auto"/>
          <w:sz w:val="32"/>
          <w:szCs w:val="32"/>
          <w:lang w:val="en-US" w:eastAsia="zh-CN" w:bidi="ar"/>
        </w:rPr>
        <w:t>，</w:t>
      </w:r>
      <w:r>
        <w:rPr>
          <w:rFonts w:hint="eastAsia" w:ascii="Times New Roman" w:hAnsi="Times New Roman" w:eastAsia="仿宋_GB2312" w:cs="仿宋_GB2312"/>
          <w:i w:val="0"/>
          <w:caps w:val="0"/>
          <w:color w:val="auto"/>
          <w:spacing w:val="0"/>
          <w:sz w:val="32"/>
          <w:szCs w:val="32"/>
          <w:highlight w:val="none"/>
          <w:shd w:val="clear" w:color="auto" w:fill="auto"/>
        </w:rPr>
        <w:t>锲而不舍谋民生之利</w:t>
      </w:r>
      <w:r>
        <w:rPr>
          <w:rFonts w:hint="eastAsia" w:ascii="Times New Roman" w:hAnsi="Times New Roman" w:eastAsia="仿宋_GB2312" w:cs="仿宋_GB2312"/>
          <w:i w:val="0"/>
          <w:caps w:val="0"/>
          <w:color w:val="auto"/>
          <w:spacing w:val="0"/>
          <w:sz w:val="32"/>
          <w:szCs w:val="32"/>
          <w:highlight w:val="none"/>
          <w:shd w:val="clear" w:color="auto" w:fill="auto"/>
          <w:lang w:eastAsia="zh-CN"/>
        </w:rPr>
        <w:t>，</w:t>
      </w:r>
      <w:r>
        <w:rPr>
          <w:rFonts w:hint="eastAsia" w:ascii="Times New Roman" w:hAnsi="Times New Roman" w:eastAsia="仿宋_GB2312" w:cs="仿宋_GB2312"/>
          <w:color w:val="auto"/>
          <w:sz w:val="32"/>
          <w:szCs w:val="32"/>
          <w:highlight w:val="none"/>
          <w:lang w:val="en-US" w:eastAsia="zh-CN" w:bidi="ar"/>
        </w:rPr>
        <w:t>投入0.18亿元用于</w:t>
      </w:r>
      <w:r>
        <w:rPr>
          <w:rFonts w:hint="eastAsia" w:ascii="Times New Roman" w:hAnsi="Times New Roman" w:eastAsia="仿宋_GB2312" w:cs="仿宋_GB2312"/>
          <w:i w:val="0"/>
          <w:iCs w:val="0"/>
          <w:caps w:val="0"/>
          <w:color w:val="auto"/>
          <w:spacing w:val="0"/>
          <w:kern w:val="0"/>
          <w:sz w:val="32"/>
          <w:szCs w:val="32"/>
          <w:lang w:val="en-US" w:eastAsia="zh-CN" w:bidi="ar"/>
        </w:rPr>
        <w:t>民生实事事项。主要用于支持吉阳区水利设施水毁修复工程，修复强降雨中被损毁的水库枢纽建筑物、干渠、涉河建筑物、挡墙及堤防等水利设施。支持吉阳区2025年辖区路灯安装，解决吉阳区农村部分路段无路灯照明或路灯已损坏的现象，方便群众出行；进行吉阳区防汛防风重点点位视频监控系统建设，对全区易受淹小区、危房、易积水路段、漫水路桥（涵）、泄洪道、水库、蔬菜基地、地质灾害隐患点等重点部位进行实时检测预警，切实保障人民群众安全；建设吉阳区商品街老旧小区线路安全隐患整治项目、吉阳区农村道路安全防护工程、特色课堂、三亚市吉阳区民政兜底特殊人群免费体检项目等为民办实事事项。</w:t>
      </w:r>
    </w:p>
    <w:p>
      <w:pPr>
        <w:keepNext w:val="0"/>
        <w:keepLines w:val="0"/>
        <w:pageBreakBefore w:val="0"/>
        <w:numPr>
          <w:ilvl w:val="0"/>
          <w:numId w:val="0"/>
        </w:numPr>
        <w:pBdr>
          <w:bottom w:val="single" w:color="FFFFFF" w:sz="4" w:space="15"/>
        </w:pBdr>
        <w:tabs>
          <w:tab w:val="left" w:pos="3544"/>
        </w:tabs>
        <w:kinsoku/>
        <w:overflowPunct/>
        <w:topLinePunct w:val="0"/>
        <w:autoSpaceDE/>
        <w:autoSpaceDN/>
        <w:bidi w:val="0"/>
        <w:adjustRightInd/>
        <w:snapToGrid/>
        <w:spacing w:line="578" w:lineRule="exact"/>
        <w:ind w:firstLine="643" w:firstLineChars="200"/>
        <w:textAlignment w:val="auto"/>
        <w:rPr>
          <w:rFonts w:hint="eastAsia" w:ascii="仿宋_GB2312" w:hAnsi="仿宋_GB2312" w:eastAsia="仿宋_GB2312" w:cs="仿宋_GB2312"/>
          <w:b/>
          <w:bCs/>
          <w:color w:val="auto"/>
          <w:sz w:val="32"/>
          <w:szCs w:val="32"/>
          <w:lang w:val="en-US" w:eastAsia="zh-CN" w:bidi="ar"/>
        </w:rPr>
      </w:pPr>
      <w:r>
        <w:rPr>
          <w:rFonts w:hint="eastAsia" w:ascii="Times New Roman" w:hAnsi="Times New Roman" w:eastAsia="仿宋_GB2312" w:cs="仿宋_GB2312"/>
          <w:b/>
          <w:bCs/>
          <w:i w:val="0"/>
          <w:iCs w:val="0"/>
          <w:caps w:val="0"/>
          <w:color w:val="auto"/>
          <w:spacing w:val="0"/>
          <w:kern w:val="0"/>
          <w:sz w:val="32"/>
          <w:szCs w:val="32"/>
          <w:lang w:val="en-US" w:eastAsia="zh-CN" w:bidi="ar"/>
        </w:rPr>
        <w:t>4</w:t>
      </w:r>
      <w:r>
        <w:rPr>
          <w:rFonts w:hint="eastAsia" w:ascii="仿宋_GB2312" w:hAnsi="仿宋_GB2312" w:eastAsia="仿宋_GB2312" w:cs="仿宋_GB2312"/>
          <w:b/>
          <w:bCs/>
          <w:i w:val="0"/>
          <w:iCs w:val="0"/>
          <w:caps w:val="0"/>
          <w:color w:val="auto"/>
          <w:spacing w:val="0"/>
          <w:kern w:val="0"/>
          <w:sz w:val="32"/>
          <w:szCs w:val="32"/>
          <w:lang w:val="en-US" w:eastAsia="zh-CN" w:bidi="ar"/>
        </w:rPr>
        <w:t>.</w:t>
      </w:r>
      <w:r>
        <w:rPr>
          <w:rFonts w:hint="eastAsia" w:ascii="仿宋_GB2312" w:hAnsi="仿宋_GB2312" w:eastAsia="仿宋_GB2312" w:cs="仿宋_GB2312"/>
          <w:b/>
          <w:bCs/>
          <w:color w:val="auto"/>
          <w:sz w:val="32"/>
          <w:szCs w:val="32"/>
          <w:lang w:val="en-US" w:eastAsia="zh-CN" w:bidi="ar"/>
        </w:rPr>
        <w:t>财政管理纵深推进，切实防范财政运行风险</w:t>
      </w:r>
    </w:p>
    <w:p>
      <w:pPr>
        <w:keepNext w:val="0"/>
        <w:keepLines w:val="0"/>
        <w:pageBreakBefore w:val="0"/>
        <w:numPr>
          <w:ilvl w:val="0"/>
          <w:numId w:val="0"/>
        </w:numPr>
        <w:pBdr>
          <w:bottom w:val="single" w:color="FFFFFF" w:sz="4" w:space="15"/>
        </w:pBdr>
        <w:tabs>
          <w:tab w:val="left" w:pos="3544"/>
        </w:tabs>
        <w:kinsoku/>
        <w:overflowPunct/>
        <w:topLinePunct w:val="0"/>
        <w:autoSpaceDE/>
        <w:autoSpaceDN/>
        <w:bidi w:val="0"/>
        <w:adjustRightInd/>
        <w:snapToGrid/>
        <w:spacing w:line="578" w:lineRule="exact"/>
        <w:ind w:firstLine="640" w:firstLineChars="200"/>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bidi="ar"/>
        </w:rPr>
        <w:t>坚持“小钱小气，大钱大方”，</w:t>
      </w:r>
      <w:r>
        <w:rPr>
          <w:rFonts w:hint="eastAsia" w:ascii="Times New Roman" w:hAnsi="Times New Roman" w:eastAsia="仿宋_GB2312" w:cs="仿宋_GB2312"/>
          <w:color w:val="auto"/>
          <w:sz w:val="32"/>
          <w:szCs w:val="32"/>
          <w:highlight w:val="none"/>
          <w:lang w:val="en-US" w:eastAsia="zh-CN"/>
        </w:rPr>
        <w:t>持续优化支出结构，</w:t>
      </w:r>
      <w:r>
        <w:rPr>
          <w:rFonts w:hint="eastAsia" w:ascii="Times New Roman" w:hAnsi="Times New Roman" w:eastAsia="仿宋_GB2312" w:cs="仿宋_GB2312"/>
          <w:color w:val="auto"/>
          <w:sz w:val="32"/>
          <w:szCs w:val="32"/>
          <w:lang w:eastAsia="zh-CN"/>
        </w:rPr>
        <w:t>结合深入贯彻中央八项规定精神学习教育，</w:t>
      </w:r>
      <w:r>
        <w:rPr>
          <w:rFonts w:hint="eastAsia" w:ascii="Times New Roman" w:hAnsi="Times New Roman" w:eastAsia="仿宋_GB2312" w:cs="仿宋_GB2312"/>
          <w:color w:val="auto"/>
          <w:kern w:val="2"/>
          <w:sz w:val="32"/>
          <w:szCs w:val="32"/>
          <w:lang w:val="en-US" w:eastAsia="zh-CN" w:bidi="ar-SA"/>
        </w:rPr>
        <w:t>牵头党政机关“过紧日子"专项整治，</w:t>
      </w:r>
      <w:r>
        <w:rPr>
          <w:rFonts w:hint="eastAsia" w:ascii="Times New Roman" w:hAnsi="Times New Roman" w:eastAsia="仿宋_GB2312" w:cs="仿宋_GB2312"/>
          <w:color w:val="auto"/>
          <w:sz w:val="32"/>
          <w:szCs w:val="32"/>
          <w:highlight w:val="none"/>
          <w:lang w:val="en-US" w:eastAsia="zh-CN"/>
        </w:rPr>
        <w:t>落实政府过“紧日子”要求，压减低效无效开支。</w:t>
      </w:r>
      <w:r>
        <w:rPr>
          <w:rFonts w:hint="eastAsia" w:ascii="Times New Roman" w:hAnsi="Times New Roman" w:eastAsia="仿宋_GB2312" w:cs="仿宋_GB2312"/>
          <w:color w:val="auto"/>
          <w:sz w:val="32"/>
          <w:szCs w:val="32"/>
        </w:rPr>
        <w:t>健全预算评审机制，细化支出事项审核，遏制项目预算申报高估冒算等问题。坚持精打细算、保障重点，严控一般性支出和“三公”经费，压缩论坛、节庆、展会等活动</w:t>
      </w:r>
      <w:r>
        <w:rPr>
          <w:rFonts w:hint="eastAsia" w:ascii="Times New Roman" w:hAnsi="Times New Roman" w:eastAsia="仿宋_GB2312" w:cs="仿宋_GB2312"/>
          <w:color w:val="auto"/>
          <w:sz w:val="32"/>
          <w:szCs w:val="32"/>
          <w:lang w:eastAsia="zh-CN"/>
        </w:rPr>
        <w:t>。开展政府采购领域妨碍公平竞争专项清理和“四类”违法违规行为专项整治。严肃财经纪律，加强财政收支规范管理，聚焦党政机关过“紧日子”、债务管理、国有资产管理、惠民惠农补贴等重点领域，加强监督检查工作</w:t>
      </w:r>
      <w:r>
        <w:rPr>
          <w:rFonts w:hint="eastAsia" w:ascii="Times New Roman" w:hAnsi="Times New Roman" w:eastAsia="仿宋_GB2312" w:cs="仿宋_GB2312"/>
          <w:color w:val="auto"/>
          <w:sz w:val="32"/>
          <w:szCs w:val="32"/>
          <w:lang w:val="en-US" w:eastAsia="zh-CN"/>
        </w:rPr>
        <w:t>。建立财会监督与纪检监察、巡视巡察等各类监督贯通协调，提升各类监督合力。</w:t>
      </w:r>
    </w:p>
    <w:p>
      <w:pPr>
        <w:keepNext w:val="0"/>
        <w:keepLines w:val="0"/>
        <w:pageBreakBefore w:val="0"/>
        <w:numPr>
          <w:ilvl w:val="0"/>
          <w:numId w:val="0"/>
        </w:numPr>
        <w:pBdr>
          <w:bottom w:val="single" w:color="FFFFFF" w:sz="4" w:space="15"/>
        </w:pBdr>
        <w:tabs>
          <w:tab w:val="left" w:pos="3544"/>
        </w:tabs>
        <w:kinsoku/>
        <w:overflowPunct/>
        <w:topLinePunct w:val="0"/>
        <w:autoSpaceDE/>
        <w:autoSpaceDN/>
        <w:bidi w:val="0"/>
        <w:adjustRightInd/>
        <w:snapToGrid/>
        <w:spacing w:line="578"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bidi="ar"/>
        </w:rPr>
      </w:pPr>
      <w:r>
        <w:rPr>
          <w:rFonts w:hint="eastAsia" w:ascii="Times New Roman" w:hAnsi="Times New Roman" w:eastAsia="仿宋_GB2312" w:cs="仿宋_GB2312"/>
          <w:b/>
          <w:bCs/>
          <w:color w:val="auto"/>
          <w:sz w:val="32"/>
          <w:szCs w:val="32"/>
          <w:highlight w:val="none"/>
          <w:lang w:val="en-US" w:eastAsia="zh-CN" w:bidi="ar"/>
        </w:rPr>
        <w:t>5</w:t>
      </w:r>
      <w:r>
        <w:rPr>
          <w:rFonts w:hint="eastAsia" w:ascii="仿宋_GB2312" w:hAnsi="仿宋_GB2312" w:eastAsia="仿宋_GB2312" w:cs="仿宋_GB2312"/>
          <w:b/>
          <w:bCs/>
          <w:color w:val="auto"/>
          <w:sz w:val="32"/>
          <w:szCs w:val="32"/>
          <w:highlight w:val="none"/>
          <w:lang w:val="en-US" w:eastAsia="zh-CN" w:bidi="ar"/>
        </w:rPr>
        <w:t>.持续深化财政体制改革，提升财政管理效能</w:t>
      </w:r>
    </w:p>
    <w:p>
      <w:pPr>
        <w:keepNext w:val="0"/>
        <w:keepLines w:val="0"/>
        <w:pageBreakBefore w:val="0"/>
        <w:numPr>
          <w:ilvl w:val="0"/>
          <w:numId w:val="0"/>
        </w:numPr>
        <w:pBdr>
          <w:bottom w:val="single" w:color="FFFFFF" w:sz="4" w:space="15"/>
        </w:pBdr>
        <w:tabs>
          <w:tab w:val="left" w:pos="3544"/>
        </w:tabs>
        <w:kinsoku/>
        <w:overflowPunct/>
        <w:topLinePunct w:val="0"/>
        <w:autoSpaceDE/>
        <w:autoSpaceDN/>
        <w:bidi w:val="0"/>
        <w:adjustRightInd/>
        <w:snapToGrid/>
        <w:spacing w:line="578" w:lineRule="exact"/>
        <w:ind w:firstLine="640" w:firstLineChars="200"/>
        <w:textAlignment w:val="auto"/>
        <w:rPr>
          <w:rFonts w:hint="eastAsia" w:ascii="Times New Roman" w:hAnsi="Times New Roman" w:eastAsia="仿宋_GB2312" w:cs="仿宋_GB2312"/>
          <w:color w:val="auto"/>
          <w:kern w:val="0"/>
          <w:sz w:val="32"/>
          <w:szCs w:val="32"/>
          <w:highlight w:val="none"/>
          <w:lang w:val="en-US" w:eastAsia="zh-CN" w:bidi="ar"/>
        </w:rPr>
      </w:pPr>
      <w:r>
        <w:rPr>
          <w:rFonts w:hint="eastAsia" w:ascii="Times New Roman" w:hAnsi="Times New Roman" w:eastAsia="仿宋_GB2312" w:cs="仿宋_GB2312"/>
          <w:color w:val="auto"/>
          <w:kern w:val="0"/>
          <w:sz w:val="32"/>
          <w:szCs w:val="32"/>
          <w:highlight w:val="none"/>
          <w:lang w:val="en-US" w:eastAsia="zh-CN" w:bidi="ar"/>
        </w:rPr>
        <w:t>深化预算制度改革。在2026年预算编制中，选取5家部门启动零基预算改革试点，通过实行项目分类管理、强化绩效排序和支出标准运用，提升预算编制质量，打破支出固化格局。加强2025年预算项目绩效目标审核，对住建局、教育局等99个预算单位1127个项目开展全面复核，聚焦重点项目，政府购买服务等重点项目开展绩效评价，加强财政支出评价结果运用，切实发挥绩效评价结果在预算安排、改进管理方面的作用。</w:t>
      </w:r>
    </w:p>
    <w:p>
      <w:pPr>
        <w:keepNext w:val="0"/>
        <w:keepLines w:val="0"/>
        <w:pageBreakBefore w:val="0"/>
        <w:numPr>
          <w:ilvl w:val="0"/>
          <w:numId w:val="0"/>
        </w:numPr>
        <w:pBdr>
          <w:bottom w:val="single" w:color="FFFFFF" w:sz="4" w:space="15"/>
        </w:pBdr>
        <w:tabs>
          <w:tab w:val="left" w:pos="3544"/>
        </w:tabs>
        <w:kinsoku/>
        <w:overflowPunct/>
        <w:topLinePunct w:val="0"/>
        <w:autoSpaceDE/>
        <w:autoSpaceDN/>
        <w:bidi w:val="0"/>
        <w:adjustRightInd/>
        <w:snapToGrid/>
        <w:spacing w:line="578" w:lineRule="exact"/>
        <w:ind w:firstLine="640" w:firstLineChars="200"/>
        <w:textAlignment w:val="auto"/>
        <w:rPr>
          <w:rFonts w:hint="eastAsia" w:ascii="Times New Roman" w:hAnsi="Times New Roman" w:eastAsia="仿宋_GB2312" w:cs="仿宋_GB2312"/>
          <w:color w:val="auto"/>
          <w:kern w:val="0"/>
          <w:sz w:val="32"/>
          <w:szCs w:val="32"/>
          <w:highlight w:val="none"/>
          <w:lang w:val="en-US" w:eastAsia="zh-CN" w:bidi="ar"/>
        </w:rPr>
      </w:pPr>
      <w:r>
        <w:rPr>
          <w:rFonts w:hint="eastAsia" w:ascii="Times New Roman" w:hAnsi="Times New Roman" w:eastAsia="仿宋_GB2312" w:cs="仿宋_GB2312"/>
          <w:color w:val="auto"/>
          <w:kern w:val="0"/>
          <w:sz w:val="32"/>
          <w:szCs w:val="32"/>
          <w:highlight w:val="none"/>
          <w:lang w:val="en-US" w:eastAsia="zh-CN" w:bidi="ar"/>
        </w:rPr>
        <w:t>防范化解财政风险，加强政府债务管理，依托专项债券项目穿透式监测系统，夯实专项债券“借、用、管、还”全生命周期管理工作。认真落实一揽子化债方案，用好置换存量隐性债务、再融资债券政策，缓解区级偿债压力。2025年我区各类债务均按时偿还，建立健全基层“三保”保障机制，加强“三保”预算审查，优先足额保障“三保”预算，全年“三保”预算支出约6.6亿元，“三保”保障倍数为5，“三保”保障充足有力。</w:t>
      </w:r>
    </w:p>
    <w:p>
      <w:pPr>
        <w:keepNext w:val="0"/>
        <w:keepLines w:val="0"/>
        <w:pageBreakBefore w:val="0"/>
        <w:numPr>
          <w:ilvl w:val="0"/>
          <w:numId w:val="0"/>
        </w:numPr>
        <w:pBdr>
          <w:bottom w:val="single" w:color="FFFFFF" w:sz="4" w:space="15"/>
        </w:pBdr>
        <w:tabs>
          <w:tab w:val="left" w:pos="3544"/>
        </w:tabs>
        <w:kinsoku/>
        <w:overflowPunct/>
        <w:topLinePunct w:val="0"/>
        <w:autoSpaceDE/>
        <w:autoSpaceDN/>
        <w:bidi w:val="0"/>
        <w:adjustRightInd/>
        <w:snapToGrid/>
        <w:spacing w:line="578" w:lineRule="exact"/>
        <w:ind w:firstLine="640" w:firstLineChars="200"/>
        <w:textAlignment w:val="auto"/>
        <w:rPr>
          <w:rFonts w:hint="eastAsia" w:ascii="Times New Roman" w:hAnsi="Times New Roman" w:eastAsia="仿宋_GB2312" w:cs="仿宋_GB2312"/>
          <w:b w:val="0"/>
          <w:bCs w:val="0"/>
          <w:color w:val="auto"/>
          <w:sz w:val="32"/>
          <w:szCs w:val="32"/>
          <w:highlight w:val="none"/>
        </w:rPr>
      </w:pPr>
      <w:r>
        <w:rPr>
          <w:rFonts w:hint="eastAsia" w:ascii="Times New Roman" w:hAnsi="Times New Roman" w:eastAsia="仿宋_GB2312" w:cs="仿宋_GB2312"/>
          <w:color w:val="auto"/>
          <w:kern w:val="0"/>
          <w:sz w:val="32"/>
          <w:szCs w:val="32"/>
          <w:highlight w:val="none"/>
          <w:lang w:val="en-US" w:eastAsia="zh-CN" w:bidi="ar"/>
        </w:rPr>
        <w:t>2025年，在区委、区政府的正确领导下，财政体制及预算管理改革深化，财政预算执行良好，财政总体保持平稳运行，积极财政政策加力提效，有效发挥了财政服务保障社会经济高质量发展的职能。我区经济持续回升向好，高质量发展扎实推进。在看到财政改革发展成绩的同时，也要看到预算执行存在的问题，比如财政收支矛盾仍较突出、财政资源配置效率有待提升等。我们高度重视这些问题，坚持人大建议决议及审计问题导向，积极采取措施予以整改解决，也恳请各位代表、委员给予一以贯之的精心指导及大力支持。</w:t>
      </w:r>
    </w:p>
    <w:p>
      <w:pPr>
        <w:pStyle w:val="21"/>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spacing w:line="578" w:lineRule="exact"/>
        <w:ind w:left="0" w:leftChars="0" w:right="0" w:rightChars="0" w:firstLine="640" w:firstLineChars="200"/>
        <w:jc w:val="center"/>
        <w:textAlignment w:val="auto"/>
        <w:outlineLvl w:val="9"/>
        <w:rPr>
          <w:rFonts w:hint="eastAsia" w:ascii="Times New Roman" w:hAnsi="Times New Roman" w:eastAsia="黑体" w:cs="黑体"/>
          <w:b w:val="0"/>
          <w:bCs w:val="0"/>
          <w:color w:val="auto"/>
          <w:sz w:val="32"/>
          <w:szCs w:val="32"/>
          <w:highlight w:val="none"/>
          <w:lang w:eastAsia="zh-CN"/>
        </w:rPr>
      </w:pPr>
      <w:r>
        <w:rPr>
          <w:rFonts w:hint="eastAsia" w:ascii="Times New Roman" w:hAnsi="Times New Roman" w:eastAsia="黑体" w:cs="黑体"/>
          <w:b w:val="0"/>
          <w:bCs w:val="0"/>
          <w:color w:val="auto"/>
          <w:sz w:val="32"/>
          <w:szCs w:val="32"/>
          <w:highlight w:val="none"/>
        </w:rPr>
        <w:t>二、</w:t>
      </w:r>
      <w:r>
        <w:rPr>
          <w:rFonts w:hint="eastAsia" w:ascii="Times New Roman" w:hAnsi="Times New Roman" w:eastAsia="黑体" w:cs="黑体"/>
          <w:b w:val="0"/>
          <w:bCs w:val="0"/>
          <w:color w:val="auto"/>
          <w:sz w:val="32"/>
          <w:szCs w:val="32"/>
          <w:highlight w:val="none"/>
          <w:lang w:eastAsia="zh-CN"/>
        </w:rPr>
        <w:t>202</w:t>
      </w:r>
      <w:r>
        <w:rPr>
          <w:rFonts w:hint="eastAsia" w:ascii="Times New Roman" w:hAnsi="Times New Roman" w:eastAsia="黑体" w:cs="黑体"/>
          <w:b w:val="0"/>
          <w:bCs w:val="0"/>
          <w:color w:val="auto"/>
          <w:sz w:val="32"/>
          <w:szCs w:val="32"/>
          <w:highlight w:val="none"/>
          <w:lang w:val="en-US" w:eastAsia="zh-CN"/>
        </w:rPr>
        <w:t>6</w:t>
      </w:r>
      <w:r>
        <w:rPr>
          <w:rFonts w:hint="eastAsia" w:ascii="Times New Roman" w:hAnsi="Times New Roman" w:eastAsia="黑体" w:cs="黑体"/>
          <w:b w:val="0"/>
          <w:bCs w:val="0"/>
          <w:color w:val="auto"/>
          <w:sz w:val="32"/>
          <w:szCs w:val="32"/>
          <w:highlight w:val="none"/>
          <w:lang w:eastAsia="zh-CN"/>
        </w:rPr>
        <w:t>年预算草案</w:t>
      </w:r>
    </w:p>
    <w:p>
      <w:pPr>
        <w:pStyle w:val="21"/>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spacing w:line="578" w:lineRule="exact"/>
        <w:ind w:right="0" w:rightChars="0" w:firstLine="640" w:firstLineChars="200"/>
        <w:jc w:val="both"/>
        <w:textAlignment w:val="auto"/>
        <w:outlineLvl w:val="9"/>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2026年是“十五五”规划开局之年，是基本实现社会主义现代化夯实基础的关键起步之年，也是海南自由贸易港封关运作、扩大开放之年，做好预算编制和财政经济工作意义重大。要按照市委市政府和区委区政府工作要求，准确把握财政政策取向，科学研判财政收支形势，扎实做好财政预算编制，持续提升财政效能，发挥财政逆周期调节作用，推动经济持续回升向好，为海南自贸港封关运作筑牢财政基础。</w:t>
      </w:r>
    </w:p>
    <w:p>
      <w:pPr>
        <w:pStyle w:val="21"/>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spacing w:line="578" w:lineRule="exact"/>
        <w:ind w:right="0" w:rightChars="0" w:firstLine="643" w:firstLineChars="200"/>
        <w:jc w:val="both"/>
        <w:textAlignment w:val="auto"/>
        <w:outlineLvl w:val="9"/>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（一）</w:t>
      </w:r>
      <w:r>
        <w:rPr>
          <w:rFonts w:hint="default" w:ascii="Times New Roman" w:hAnsi="Times New Roman" w:eastAsia="楷体_GB2312" w:cs="Times New Roman"/>
          <w:b/>
          <w:bCs/>
          <w:color w:val="auto"/>
          <w:sz w:val="32"/>
          <w:szCs w:val="32"/>
          <w:highlight w:val="none"/>
          <w:lang w:val="en-US" w:eastAsia="zh-CN"/>
        </w:rPr>
        <w:t>2026</w:t>
      </w:r>
      <w:r>
        <w:rPr>
          <w:rFonts w:hint="eastAsia" w:ascii="楷体_GB2312" w:hAnsi="楷体_GB2312" w:eastAsia="楷体_GB2312" w:cs="楷体_GB2312"/>
          <w:b/>
          <w:bCs/>
          <w:color w:val="auto"/>
          <w:sz w:val="32"/>
          <w:szCs w:val="32"/>
          <w:highlight w:val="none"/>
          <w:lang w:val="en-US" w:eastAsia="zh-CN"/>
        </w:rPr>
        <w:t>年财政收支形势分析</w:t>
      </w:r>
    </w:p>
    <w:p>
      <w:pPr>
        <w:pStyle w:val="21"/>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spacing w:line="578" w:lineRule="exact"/>
        <w:ind w:right="0" w:rightChars="0" w:firstLine="640" w:firstLineChars="200"/>
        <w:jc w:val="both"/>
        <w:textAlignment w:val="auto"/>
        <w:outlineLvl w:val="9"/>
        <w:rPr>
          <w:rFonts w:hint="eastAsia" w:ascii="Times New Roman" w:hAnsi="Times New Roman" w:eastAsia="仿宋" w:cs="仿宋"/>
          <w:color w:val="auto"/>
          <w:sz w:val="32"/>
          <w:szCs w:val="32"/>
          <w:lang w:val="en-US" w:eastAsia="zh-CN"/>
        </w:rPr>
      </w:pPr>
      <w:r>
        <w:rPr>
          <w:rFonts w:hint="eastAsia" w:ascii="Times New Roman" w:hAnsi="Times New Roman" w:eastAsia="仿宋_GB2312" w:cs="仿宋_GB2312"/>
          <w:color w:val="auto"/>
          <w:sz w:val="32"/>
          <w:szCs w:val="32"/>
          <w:lang w:val="en-US" w:eastAsia="zh-CN"/>
        </w:rPr>
        <w:t>2026年，随着海南自由贸易港进入封关运作，一揽子增量政策持续发挥作用，以及出台实施力度更大的政策措施，经济向好大趋势不断巩固加强。但是，外部环境复杂多变，国内需求不足消费不振，市场预期偏弱。就吉阳区发展而言，主城区的使命价值潜力挖掘和动能释放不足，推动高质量发展的财政支撑不够稳固，房地产等重点税源行业增长放缓，新的税收增长点还在培育阶段，非税收入空间收窄，收入增长还有较大不确定性。支出方面，产业升级、民生保障、城市治理等重点领域资金需求大，政府债务还本付息进入高峰期，兜牢“三保”底线，落实</w:t>
      </w:r>
      <w:r>
        <w:rPr>
          <w:rFonts w:hint="eastAsia" w:ascii="Times New Roman" w:hAnsi="Times New Roman" w:cs="仿宋_GB2312"/>
          <w:color w:val="auto"/>
          <w:sz w:val="32"/>
          <w:szCs w:val="32"/>
          <w:lang w:val="en-US" w:eastAsia="zh-CN"/>
        </w:rPr>
        <w:t>为</w:t>
      </w:r>
      <w:r>
        <w:rPr>
          <w:rFonts w:hint="eastAsia" w:ascii="Times New Roman" w:hAnsi="Times New Roman" w:eastAsia="仿宋_GB2312" w:cs="仿宋_GB2312"/>
          <w:color w:val="auto"/>
          <w:sz w:val="32"/>
          <w:szCs w:val="32"/>
          <w:lang w:val="en-US" w:eastAsia="zh-CN"/>
        </w:rPr>
        <w:t>民办实事需保持一定力度，2026年财政收支矛盾将更加突出。当此之际，我们要全面看待发展形势、把握大势，抓住重点、主动作为，增强财政预算和资源统筹，有效应对风险挑战，努力把积极因素转为发展动能。</w:t>
      </w:r>
    </w:p>
    <w:p>
      <w:pPr>
        <w:pStyle w:val="21"/>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spacing w:line="578" w:lineRule="exact"/>
        <w:ind w:right="0" w:rightChars="0" w:firstLine="643" w:firstLineChars="200"/>
        <w:jc w:val="both"/>
        <w:textAlignment w:val="auto"/>
        <w:outlineLvl w:val="9"/>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 xml:space="preserve"> （二）</w:t>
      </w:r>
      <w:r>
        <w:rPr>
          <w:rFonts w:hint="default" w:ascii="Times New Roman" w:hAnsi="Times New Roman" w:eastAsia="楷体_GB2312" w:cs="Times New Roman"/>
          <w:b/>
          <w:bCs/>
          <w:color w:val="auto"/>
          <w:sz w:val="32"/>
          <w:szCs w:val="32"/>
          <w:lang w:val="en-US" w:eastAsia="zh-CN"/>
        </w:rPr>
        <w:t>2026</w:t>
      </w:r>
      <w:r>
        <w:rPr>
          <w:rFonts w:hint="eastAsia" w:ascii="楷体_GB2312" w:hAnsi="楷体_GB2312" w:eastAsia="楷体_GB2312" w:cs="楷体_GB2312"/>
          <w:b/>
          <w:bCs/>
          <w:color w:val="auto"/>
          <w:sz w:val="32"/>
          <w:szCs w:val="32"/>
          <w:lang w:val="en-US" w:eastAsia="zh-CN"/>
        </w:rPr>
        <w:t>年预算编制主要原则</w:t>
      </w:r>
    </w:p>
    <w:p>
      <w:pPr>
        <w:pStyle w:val="21"/>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spacing w:line="578" w:lineRule="exact"/>
        <w:ind w:right="0" w:rightChars="0" w:firstLine="640" w:firstLineChars="200"/>
        <w:jc w:val="both"/>
        <w:textAlignment w:val="auto"/>
        <w:outlineLvl w:val="9"/>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做好2026年预算编制和财政工作，要以习近平新时代中国特色社会主义思想为指导，全面贯彻落实党的二十大和二十届历次全会精神，围绕市委、区委全会部署，坚持稳中求进</w:t>
      </w:r>
      <w:r>
        <w:rPr>
          <w:rFonts w:hint="eastAsia" w:ascii="Times New Roman" w:hAnsi="Times New Roman" w:cs="仿宋_GB2312"/>
          <w:color w:val="auto"/>
          <w:sz w:val="32"/>
          <w:szCs w:val="32"/>
          <w:lang w:val="en-US" w:eastAsia="zh-CN"/>
        </w:rPr>
        <w:t>工作</w:t>
      </w:r>
      <w:r>
        <w:rPr>
          <w:rFonts w:hint="eastAsia" w:ascii="Times New Roman" w:hAnsi="Times New Roman" w:eastAsia="仿宋_GB2312" w:cs="仿宋_GB2312"/>
          <w:color w:val="auto"/>
          <w:sz w:val="32"/>
          <w:szCs w:val="32"/>
          <w:lang w:val="en-US" w:eastAsia="zh-CN"/>
        </w:rPr>
        <w:t>总基调，完整、准确、全面贯彻新发展理念，积极的财政政策适度加力、提质增效。落实好结构性减税降费及自贸港财税优惠政策，更好统筹发展和安全，防范化解风险，为实现“十五五”良好开局提供有力保障。2026年预算应充分考虑财政经济形势，保证预算安排与经济社会发展水平相协调、与财政可承受能力相匹配、与区域资源空间相适应。深化零基预算改革，进一步增强预算安排的前瞻性、科学性和规范性，从严从紧安排非刚性、非重点项目支出，保障财政可持续发展，为全区经济社会高质量发展提供财力支撑。</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textAlignment w:val="auto"/>
        <w:rPr>
          <w:rFonts w:hint="eastAsia" w:ascii="楷体_GB2312" w:hAnsi="楷体_GB2312" w:eastAsia="楷体_GB2312" w:cs="楷体_GB2312"/>
          <w:b/>
          <w:bCs/>
          <w:color w:val="auto"/>
          <w:kern w:val="2"/>
          <w:sz w:val="32"/>
          <w:szCs w:val="32"/>
          <w:lang w:val="en-US" w:eastAsia="zh-CN"/>
        </w:rPr>
      </w:pPr>
      <w:r>
        <w:rPr>
          <w:rFonts w:hint="eastAsia" w:ascii="楷体_GB2312" w:hAnsi="楷体_GB2312" w:eastAsia="楷体_GB2312" w:cs="楷体_GB2312"/>
          <w:b w:val="0"/>
          <w:bCs w:val="0"/>
          <w:color w:val="auto"/>
          <w:sz w:val="32"/>
          <w:szCs w:val="32"/>
          <w:highlight w:val="none"/>
          <w:lang w:val="en-US" w:eastAsia="zh-CN"/>
        </w:rPr>
        <w:t xml:space="preserve">    </w:t>
      </w:r>
      <w:r>
        <w:rPr>
          <w:rFonts w:hint="eastAsia" w:ascii="楷体_GB2312" w:hAnsi="楷体_GB2312" w:eastAsia="楷体_GB2312" w:cs="楷体_GB2312"/>
          <w:b/>
          <w:bCs/>
          <w:color w:val="auto"/>
          <w:kern w:val="2"/>
          <w:sz w:val="32"/>
          <w:szCs w:val="32"/>
          <w:lang w:val="en-US" w:eastAsia="zh-CN"/>
        </w:rPr>
        <w:t xml:space="preserve"> （三）</w:t>
      </w:r>
      <w:r>
        <w:rPr>
          <w:rFonts w:hint="default" w:ascii="Times New Roman" w:hAnsi="Times New Roman" w:eastAsia="楷体_GB2312" w:cs="Times New Roman"/>
          <w:b/>
          <w:bCs/>
          <w:color w:val="auto"/>
          <w:kern w:val="2"/>
          <w:sz w:val="32"/>
          <w:szCs w:val="32"/>
          <w:lang w:val="en-US" w:eastAsia="zh-CN"/>
        </w:rPr>
        <w:t>2026</w:t>
      </w:r>
      <w:r>
        <w:rPr>
          <w:rFonts w:hint="eastAsia" w:ascii="楷体_GB2312" w:hAnsi="楷体_GB2312" w:eastAsia="楷体_GB2312" w:cs="楷体_GB2312"/>
          <w:b/>
          <w:bCs/>
          <w:color w:val="auto"/>
          <w:kern w:val="2"/>
          <w:sz w:val="32"/>
          <w:szCs w:val="32"/>
          <w:lang w:val="en-US" w:eastAsia="zh-CN"/>
        </w:rPr>
        <w:t>年财政预算总量及结构</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3" w:firstLineChars="200"/>
        <w:textAlignment w:val="auto"/>
        <w:rPr>
          <w:rFonts w:hint="eastAsia" w:ascii="仿宋_GB2312" w:hAnsi="仿宋_GB2312" w:eastAsia="仿宋_GB2312" w:cs="仿宋_GB2312"/>
          <w:b/>
          <w:bCs/>
          <w:color w:val="auto"/>
          <w:kern w:val="2"/>
          <w:sz w:val="32"/>
          <w:szCs w:val="32"/>
          <w:lang w:val="en-US" w:eastAsia="zh-CN"/>
        </w:rPr>
      </w:pPr>
      <w:r>
        <w:rPr>
          <w:rFonts w:hint="eastAsia" w:ascii="仿宋_GB2312" w:hAnsi="仿宋_GB2312" w:eastAsia="仿宋_GB2312" w:cs="仿宋_GB2312"/>
          <w:b/>
          <w:bCs/>
          <w:color w:val="auto"/>
          <w:kern w:val="2"/>
          <w:sz w:val="32"/>
          <w:szCs w:val="32"/>
          <w:lang w:val="en-US" w:eastAsia="zh-CN"/>
        </w:rPr>
        <w:t xml:space="preserve"> </w:t>
      </w:r>
      <w:r>
        <w:rPr>
          <w:rFonts w:hint="eastAsia" w:ascii="Times New Roman" w:hAnsi="Times New Roman" w:eastAsia="仿宋_GB2312" w:cs="仿宋_GB2312"/>
          <w:b/>
          <w:bCs/>
          <w:color w:val="auto"/>
          <w:kern w:val="2"/>
          <w:sz w:val="32"/>
          <w:szCs w:val="32"/>
          <w:lang w:val="en-US" w:eastAsia="zh-CN"/>
        </w:rPr>
        <w:t>1</w:t>
      </w:r>
      <w:r>
        <w:rPr>
          <w:rFonts w:hint="eastAsia" w:ascii="仿宋_GB2312" w:hAnsi="仿宋_GB2312" w:eastAsia="仿宋_GB2312" w:cs="仿宋_GB2312"/>
          <w:b/>
          <w:bCs/>
          <w:color w:val="auto"/>
          <w:kern w:val="2"/>
          <w:sz w:val="32"/>
          <w:szCs w:val="32"/>
          <w:lang w:val="en-US" w:eastAsia="zh-CN"/>
        </w:rPr>
        <w:t>.一般公共预算安排情况</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0" w:firstLineChars="200"/>
        <w:textAlignment w:val="auto"/>
        <w:rPr>
          <w:rFonts w:hint="eastAsia" w:ascii="Times New Roman" w:hAnsi="Times New Roman" w:eastAsia="仿宋_GB2312" w:cs="仿宋_GB2312"/>
          <w:color w:val="auto"/>
          <w:kern w:val="2"/>
          <w:sz w:val="32"/>
          <w:szCs w:val="32"/>
          <w:lang w:val="en-US" w:eastAsia="zh-CN"/>
        </w:rPr>
      </w:pPr>
      <w:r>
        <w:rPr>
          <w:rFonts w:hint="eastAsia" w:ascii="Times New Roman" w:hAnsi="Times New Roman" w:eastAsia="仿宋_GB2312" w:cs="仿宋_GB2312"/>
          <w:color w:val="auto"/>
          <w:kern w:val="2"/>
          <w:sz w:val="32"/>
          <w:szCs w:val="32"/>
          <w:lang w:val="en-US" w:eastAsia="zh-CN"/>
        </w:rPr>
        <w:t>全区地方一般公共预算收入20.6亿元，加上上级补助收入 2.56亿元，上年结余结转收入</w:t>
      </w:r>
      <w:r>
        <w:rPr>
          <w:rFonts w:hint="eastAsia" w:ascii="Times New Roman" w:hAnsi="Times New Roman" w:cs="仿宋_GB2312"/>
          <w:color w:val="auto"/>
          <w:kern w:val="2"/>
          <w:sz w:val="32"/>
          <w:szCs w:val="32"/>
          <w:lang w:val="en-US" w:eastAsia="zh-CN"/>
        </w:rPr>
        <w:t>0.87</w:t>
      </w:r>
      <w:r>
        <w:rPr>
          <w:rFonts w:hint="eastAsia" w:ascii="Times New Roman" w:hAnsi="Times New Roman" w:eastAsia="仿宋_GB2312" w:cs="仿宋_GB2312"/>
          <w:color w:val="auto"/>
          <w:kern w:val="2"/>
          <w:sz w:val="32"/>
          <w:szCs w:val="32"/>
          <w:lang w:val="en-US" w:eastAsia="zh-CN"/>
        </w:rPr>
        <w:t>亿元，调入预算稳定调节基金0.25亿元，调入资金2万元，收入总计24.</w:t>
      </w:r>
      <w:r>
        <w:rPr>
          <w:rFonts w:hint="eastAsia" w:ascii="Times New Roman" w:hAnsi="Times New Roman" w:cs="仿宋_GB2312"/>
          <w:color w:val="auto"/>
          <w:kern w:val="2"/>
          <w:sz w:val="32"/>
          <w:szCs w:val="32"/>
          <w:lang w:val="en-US" w:eastAsia="zh-CN"/>
        </w:rPr>
        <w:t>28</w:t>
      </w:r>
      <w:r>
        <w:rPr>
          <w:rFonts w:hint="eastAsia" w:ascii="Times New Roman" w:hAnsi="Times New Roman" w:eastAsia="仿宋_GB2312" w:cs="仿宋_GB2312"/>
          <w:color w:val="auto"/>
          <w:kern w:val="2"/>
          <w:sz w:val="32"/>
          <w:szCs w:val="32"/>
          <w:lang w:val="en-US" w:eastAsia="zh-CN"/>
        </w:rPr>
        <w:t>亿元。全区一般公共预算支出</w:t>
      </w:r>
      <w:r>
        <w:rPr>
          <w:rFonts w:hint="eastAsia" w:ascii="Times New Roman" w:hAnsi="Times New Roman" w:cs="仿宋_GB2312"/>
          <w:color w:val="auto"/>
          <w:kern w:val="2"/>
          <w:sz w:val="32"/>
          <w:szCs w:val="32"/>
          <w:lang w:val="en-US" w:eastAsia="zh-CN"/>
        </w:rPr>
        <w:t>22.03</w:t>
      </w:r>
      <w:r>
        <w:rPr>
          <w:rFonts w:hint="eastAsia" w:ascii="Times New Roman" w:hAnsi="Times New Roman" w:eastAsia="仿宋_GB2312" w:cs="仿宋_GB2312"/>
          <w:color w:val="auto"/>
          <w:kern w:val="2"/>
          <w:sz w:val="32"/>
          <w:szCs w:val="32"/>
          <w:lang w:val="en-US" w:eastAsia="zh-CN"/>
        </w:rPr>
        <w:t>亿元，加上预备费0.25亿元，上解上级支出 2亿元，支出总计24.</w:t>
      </w:r>
      <w:r>
        <w:rPr>
          <w:rFonts w:hint="eastAsia" w:ascii="Times New Roman" w:hAnsi="Times New Roman" w:cs="仿宋_GB2312"/>
          <w:color w:val="auto"/>
          <w:kern w:val="2"/>
          <w:sz w:val="32"/>
          <w:szCs w:val="32"/>
          <w:lang w:val="en-US" w:eastAsia="zh-CN"/>
        </w:rPr>
        <w:t>28</w:t>
      </w:r>
      <w:r>
        <w:rPr>
          <w:rFonts w:hint="eastAsia" w:ascii="Times New Roman" w:hAnsi="Times New Roman" w:eastAsia="仿宋_GB2312" w:cs="仿宋_GB2312"/>
          <w:color w:val="auto"/>
          <w:kern w:val="2"/>
          <w:sz w:val="32"/>
          <w:szCs w:val="32"/>
          <w:lang w:val="en-US" w:eastAsia="zh-CN"/>
        </w:rPr>
        <w:t>亿元。收支相抵，年终结余结转0亿元。</w:t>
      </w:r>
    </w:p>
    <w:p>
      <w:pPr>
        <w:pStyle w:val="21"/>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spacing w:line="578" w:lineRule="exact"/>
        <w:ind w:firstLine="643" w:firstLineChars="200"/>
        <w:textAlignment w:val="auto"/>
        <w:rPr>
          <w:rFonts w:hint="eastAsia" w:ascii="仿宋_GB2312" w:hAnsi="仿宋_GB2312" w:eastAsia="仿宋_GB2312" w:cs="仿宋_GB2312"/>
          <w:b/>
          <w:bCs/>
          <w:color w:val="auto"/>
          <w:kern w:val="2"/>
          <w:sz w:val="32"/>
          <w:szCs w:val="32"/>
          <w:lang w:val="en-US" w:eastAsia="zh-CN"/>
        </w:rPr>
      </w:pPr>
      <w:r>
        <w:rPr>
          <w:rFonts w:hint="default" w:ascii="Times New Roman" w:hAnsi="Times New Roman" w:cs="Times New Roman"/>
          <w:b/>
          <w:bCs/>
          <w:color w:val="auto"/>
          <w:kern w:val="2"/>
          <w:sz w:val="32"/>
          <w:szCs w:val="32"/>
          <w:lang w:val="en-US" w:eastAsia="zh-CN"/>
        </w:rPr>
        <w:t>2</w:t>
      </w:r>
      <w:r>
        <w:rPr>
          <w:rFonts w:hint="eastAsia" w:hAnsi="仿宋_GB2312" w:cs="仿宋_GB2312"/>
          <w:b/>
          <w:bCs/>
          <w:color w:val="auto"/>
          <w:kern w:val="2"/>
          <w:sz w:val="32"/>
          <w:szCs w:val="32"/>
          <w:lang w:val="en-US" w:eastAsia="zh-CN"/>
        </w:rPr>
        <w:t>.</w:t>
      </w:r>
      <w:r>
        <w:rPr>
          <w:rFonts w:hint="eastAsia" w:ascii="仿宋_GB2312" w:hAnsi="仿宋_GB2312" w:eastAsia="仿宋_GB2312" w:cs="仿宋_GB2312"/>
          <w:b/>
          <w:bCs/>
          <w:color w:val="auto"/>
          <w:kern w:val="2"/>
          <w:sz w:val="32"/>
          <w:szCs w:val="32"/>
          <w:lang w:val="en-US" w:eastAsia="zh-CN"/>
        </w:rPr>
        <w:t>政府性基金预算安排情况</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0" w:firstLineChars="200"/>
        <w:textAlignment w:val="auto"/>
        <w:rPr>
          <w:rFonts w:hint="eastAsia" w:ascii="Times New Roman" w:hAnsi="Times New Roman" w:eastAsia="仿宋_GB2312" w:cs="仿宋_GB2312"/>
          <w:color w:val="auto"/>
          <w:kern w:val="2"/>
          <w:sz w:val="32"/>
          <w:szCs w:val="32"/>
          <w:lang w:val="en-US" w:eastAsia="zh-CN"/>
        </w:rPr>
      </w:pPr>
      <w:r>
        <w:rPr>
          <w:rFonts w:hint="eastAsia" w:ascii="Times New Roman" w:hAnsi="Times New Roman" w:eastAsia="仿宋_GB2312" w:cs="仿宋_GB2312"/>
          <w:color w:val="auto"/>
          <w:kern w:val="2"/>
          <w:sz w:val="32"/>
          <w:szCs w:val="32"/>
          <w:lang w:val="en-US" w:eastAsia="zh-CN"/>
        </w:rPr>
        <w:t>全区</w:t>
      </w:r>
      <w:r>
        <w:rPr>
          <w:rFonts w:hint="eastAsia" w:ascii="Times New Roman" w:hAnsi="Times New Roman" w:eastAsia="仿宋_GB2312" w:cs="仿宋_GB2312"/>
          <w:b w:val="0"/>
          <w:bCs w:val="0"/>
          <w:color w:val="auto"/>
          <w:kern w:val="2"/>
          <w:sz w:val="32"/>
          <w:szCs w:val="32"/>
          <w:lang w:val="en-US" w:eastAsia="zh-CN" w:bidi="ar-SA"/>
        </w:rPr>
        <w:t>政府性基金预算收入0.31亿元，加上上年结余结转1.93亿元，总收入2.24亿元。安排政府性基金支出2.24亿元。</w:t>
      </w:r>
      <w:r>
        <w:rPr>
          <w:rFonts w:hint="eastAsia" w:ascii="Times New Roman" w:hAnsi="Times New Roman" w:eastAsia="仿宋_GB2312" w:cs="仿宋_GB2312"/>
          <w:color w:val="auto"/>
          <w:kern w:val="2"/>
          <w:sz w:val="32"/>
          <w:szCs w:val="32"/>
          <w:lang w:val="en-US" w:eastAsia="zh-CN"/>
        </w:rPr>
        <w:t>收支相抵，年终结余结转0亿元。</w:t>
      </w:r>
    </w:p>
    <w:p>
      <w:pPr>
        <w:pStyle w:val="21"/>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spacing w:line="578" w:lineRule="exact"/>
        <w:ind w:firstLine="643" w:firstLineChars="200"/>
        <w:textAlignment w:val="auto"/>
        <w:rPr>
          <w:rFonts w:hint="eastAsia" w:ascii="仿宋_GB2312" w:hAnsi="仿宋_GB2312" w:eastAsia="仿宋_GB2312" w:cs="仿宋_GB2312"/>
          <w:b/>
          <w:bCs/>
          <w:color w:val="auto"/>
          <w:kern w:val="2"/>
          <w:sz w:val="32"/>
          <w:szCs w:val="32"/>
          <w:lang w:val="en-US" w:eastAsia="zh-CN"/>
        </w:rPr>
      </w:pPr>
      <w:r>
        <w:rPr>
          <w:rFonts w:hint="default" w:ascii="Times New Roman" w:hAnsi="Times New Roman" w:cs="Times New Roman"/>
          <w:b/>
          <w:bCs/>
          <w:color w:val="auto"/>
          <w:kern w:val="2"/>
          <w:sz w:val="32"/>
          <w:szCs w:val="32"/>
          <w:lang w:val="en-US" w:eastAsia="zh-CN"/>
        </w:rPr>
        <w:t>3</w:t>
      </w:r>
      <w:r>
        <w:rPr>
          <w:rFonts w:hint="eastAsia" w:hAnsi="仿宋_GB2312" w:cs="仿宋_GB2312"/>
          <w:b/>
          <w:bCs/>
          <w:color w:val="auto"/>
          <w:kern w:val="2"/>
          <w:sz w:val="32"/>
          <w:szCs w:val="32"/>
          <w:lang w:val="en-US" w:eastAsia="zh-CN"/>
        </w:rPr>
        <w:t>.</w:t>
      </w:r>
      <w:r>
        <w:rPr>
          <w:rFonts w:hint="eastAsia" w:ascii="仿宋_GB2312" w:hAnsi="仿宋_GB2312" w:eastAsia="仿宋_GB2312" w:cs="仿宋_GB2312"/>
          <w:b/>
          <w:bCs/>
          <w:color w:val="auto"/>
          <w:kern w:val="2"/>
          <w:sz w:val="32"/>
          <w:szCs w:val="32"/>
          <w:lang w:val="en-US" w:eastAsia="zh-CN"/>
        </w:rPr>
        <w:t>国有资本经营预算安排情况</w:t>
      </w:r>
    </w:p>
    <w:p>
      <w:pPr>
        <w:pStyle w:val="21"/>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spacing w:line="578" w:lineRule="exact"/>
        <w:ind w:right="0" w:rightChars="0" w:firstLine="640" w:firstLineChars="200"/>
        <w:jc w:val="both"/>
        <w:textAlignment w:val="auto"/>
        <w:outlineLvl w:val="9"/>
        <w:rPr>
          <w:rFonts w:hint="eastAsia" w:ascii="Times New Roman" w:hAnsi="Times New Roman" w:eastAsia="仿宋_GB2312" w:cs="仿宋_GB2312"/>
          <w:b w:val="0"/>
          <w:bCs w:val="0"/>
          <w:color w:val="auto"/>
          <w:kern w:val="2"/>
          <w:sz w:val="32"/>
          <w:szCs w:val="32"/>
          <w:lang w:val="en-US" w:eastAsia="zh-CN" w:bidi="ar-SA"/>
        </w:rPr>
      </w:pPr>
      <w:r>
        <w:rPr>
          <w:rFonts w:hint="eastAsia" w:ascii="Times New Roman" w:hAnsi="Times New Roman" w:eastAsia="仿宋_GB2312" w:cs="仿宋_GB2312"/>
          <w:b w:val="0"/>
          <w:bCs w:val="0"/>
          <w:color w:val="auto"/>
          <w:kern w:val="2"/>
          <w:sz w:val="32"/>
          <w:szCs w:val="32"/>
          <w:lang w:val="en-US" w:eastAsia="zh-CN" w:bidi="ar-SA"/>
        </w:rPr>
        <w:t>吉阳区国有资本经营预算收入5万元，安排国有资本经营预算支出5万元，其中：调出资金2万元，收支相抵，年</w:t>
      </w:r>
      <w:r>
        <w:rPr>
          <w:rFonts w:hint="eastAsia" w:ascii="Times New Roman" w:hAnsi="Times New Roman" w:cs="仿宋_GB2312"/>
          <w:b w:val="0"/>
          <w:bCs w:val="0"/>
          <w:color w:val="auto"/>
          <w:kern w:val="2"/>
          <w:sz w:val="32"/>
          <w:szCs w:val="32"/>
          <w:lang w:val="en-US" w:eastAsia="zh-CN" w:bidi="ar-SA"/>
        </w:rPr>
        <w:t>终</w:t>
      </w:r>
      <w:r>
        <w:rPr>
          <w:rFonts w:hint="eastAsia" w:ascii="Times New Roman" w:hAnsi="Times New Roman" w:eastAsia="仿宋_GB2312" w:cs="仿宋_GB2312"/>
          <w:b w:val="0"/>
          <w:bCs w:val="0"/>
          <w:color w:val="auto"/>
          <w:kern w:val="2"/>
          <w:sz w:val="32"/>
          <w:szCs w:val="32"/>
          <w:lang w:val="en-US" w:eastAsia="zh-CN" w:bidi="ar-SA"/>
        </w:rPr>
        <w:t>结余结转0万元。</w:t>
      </w:r>
    </w:p>
    <w:p>
      <w:pPr>
        <w:pStyle w:val="21"/>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spacing w:line="578" w:lineRule="exact"/>
        <w:ind w:right="0" w:rightChars="0" w:firstLine="640" w:firstLineChars="200"/>
        <w:jc w:val="both"/>
        <w:textAlignment w:val="auto"/>
        <w:outlineLvl w:val="9"/>
        <w:rPr>
          <w:rFonts w:hint="eastAsia" w:ascii="Times New Roman" w:hAnsi="Times New Roman" w:eastAsia="仿宋_GB2312" w:cs="仿宋_GB2312"/>
          <w:b w:val="0"/>
          <w:bCs w:val="0"/>
          <w:color w:val="auto"/>
          <w:kern w:val="2"/>
          <w:sz w:val="32"/>
          <w:szCs w:val="32"/>
          <w:lang w:val="en-US" w:eastAsia="zh-CN" w:bidi="ar-SA"/>
        </w:rPr>
      </w:pPr>
    </w:p>
    <w:p>
      <w:pPr>
        <w:pStyle w:val="21"/>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spacing w:line="578" w:lineRule="exact"/>
        <w:ind w:firstLine="643" w:firstLineChars="200"/>
        <w:textAlignment w:val="auto"/>
        <w:rPr>
          <w:rFonts w:hint="eastAsia" w:ascii="仿宋_GB2312" w:hAnsi="仿宋_GB2312" w:eastAsia="仿宋_GB2312" w:cs="仿宋_GB2312"/>
          <w:b/>
          <w:bCs/>
          <w:color w:val="auto"/>
          <w:kern w:val="2"/>
          <w:sz w:val="32"/>
          <w:szCs w:val="32"/>
          <w:lang w:val="en-US" w:eastAsia="zh-CN"/>
        </w:rPr>
      </w:pPr>
      <w:r>
        <w:rPr>
          <w:rFonts w:hint="default" w:ascii="Times New Roman" w:hAnsi="Times New Roman" w:cs="Times New Roman"/>
          <w:b/>
          <w:bCs/>
          <w:color w:val="auto"/>
          <w:kern w:val="2"/>
          <w:sz w:val="32"/>
          <w:szCs w:val="32"/>
          <w:lang w:val="en-US" w:eastAsia="zh-CN"/>
        </w:rPr>
        <w:t>4</w:t>
      </w:r>
      <w:r>
        <w:rPr>
          <w:rFonts w:hint="eastAsia" w:ascii="仿宋_GB2312" w:hAnsi="仿宋_GB2312" w:eastAsia="仿宋_GB2312" w:cs="仿宋_GB2312"/>
          <w:b/>
          <w:bCs/>
          <w:color w:val="auto"/>
          <w:kern w:val="2"/>
          <w:sz w:val="32"/>
          <w:szCs w:val="32"/>
          <w:lang w:val="en-US" w:eastAsia="zh-CN"/>
        </w:rPr>
        <w:t>.社会保险基金预算安排情况</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textAlignment w:val="auto"/>
        <w:rPr>
          <w:rFonts w:hint="eastAsia" w:ascii="Times New Roman" w:hAnsi="Times New Roman" w:eastAsia="仿宋" w:cs="仿宋"/>
          <w:color w:val="auto"/>
          <w:kern w:val="2"/>
          <w:sz w:val="32"/>
          <w:szCs w:val="32"/>
          <w:lang w:val="en-US" w:eastAsia="zh-CN"/>
        </w:rPr>
      </w:pPr>
      <w:r>
        <w:rPr>
          <w:rFonts w:hint="eastAsia" w:ascii="Times New Roman" w:hAnsi="Times New Roman" w:eastAsia="仿宋" w:cs="仿宋"/>
          <w:color w:val="auto"/>
          <w:kern w:val="2"/>
          <w:sz w:val="32"/>
          <w:szCs w:val="32"/>
          <w:lang w:val="en-US" w:eastAsia="zh-CN"/>
        </w:rPr>
        <w:t xml:space="preserve">    </w:t>
      </w:r>
      <w:r>
        <w:rPr>
          <w:rFonts w:hint="eastAsia" w:ascii="Times New Roman" w:hAnsi="Times New Roman" w:eastAsia="仿宋_GB2312" w:cs="仿宋_GB2312"/>
          <w:color w:val="auto"/>
          <w:kern w:val="2"/>
          <w:sz w:val="32"/>
          <w:szCs w:val="32"/>
          <w:lang w:val="en-US" w:eastAsia="zh-CN"/>
        </w:rPr>
        <w:t>吉阳区无相关预算支出。</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3" w:firstLineChars="200"/>
        <w:textAlignment w:val="auto"/>
        <w:rPr>
          <w:rFonts w:hint="eastAsia" w:ascii="楷体_GB2312" w:hAnsi="楷体_GB2312" w:eastAsia="楷体_GB2312" w:cs="楷体_GB2312"/>
          <w:b/>
          <w:bCs/>
          <w:color w:val="auto"/>
          <w:kern w:val="2"/>
          <w:sz w:val="32"/>
          <w:szCs w:val="32"/>
          <w:lang w:val="en-US" w:eastAsia="zh-CN"/>
        </w:rPr>
      </w:pPr>
      <w:r>
        <w:rPr>
          <w:rFonts w:hint="eastAsia" w:ascii="楷体_GB2312" w:hAnsi="楷体_GB2312" w:eastAsia="楷体_GB2312" w:cs="楷体_GB2312"/>
          <w:b/>
          <w:bCs/>
          <w:color w:val="auto"/>
          <w:kern w:val="2"/>
          <w:sz w:val="32"/>
          <w:szCs w:val="32"/>
          <w:lang w:val="en-US" w:eastAsia="zh-CN"/>
        </w:rPr>
        <w:t>（四）</w:t>
      </w:r>
      <w:r>
        <w:rPr>
          <w:rFonts w:hint="default" w:ascii="Times New Roman" w:hAnsi="Times New Roman" w:eastAsia="楷体_GB2312" w:cs="Times New Roman"/>
          <w:b/>
          <w:bCs/>
          <w:color w:val="auto"/>
          <w:kern w:val="2"/>
          <w:sz w:val="32"/>
          <w:szCs w:val="32"/>
          <w:lang w:val="en-US" w:eastAsia="zh-CN"/>
        </w:rPr>
        <w:t>2026</w:t>
      </w:r>
      <w:r>
        <w:rPr>
          <w:rFonts w:hint="eastAsia" w:ascii="楷体_GB2312" w:hAnsi="楷体_GB2312" w:eastAsia="楷体_GB2312" w:cs="楷体_GB2312"/>
          <w:b/>
          <w:bCs/>
          <w:color w:val="auto"/>
          <w:kern w:val="2"/>
          <w:sz w:val="32"/>
          <w:szCs w:val="32"/>
          <w:lang w:val="en-US" w:eastAsia="zh-CN"/>
        </w:rPr>
        <w:t>年财政重点工作</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0" w:firstLineChars="200"/>
        <w:textAlignment w:val="auto"/>
        <w:rPr>
          <w:rFonts w:hint="eastAsia" w:ascii="Times New Roman" w:hAnsi="Times New Roman" w:eastAsia="仿宋_GB2312" w:cs="仿宋_GB2312"/>
          <w:b w:val="0"/>
          <w:bCs w:val="0"/>
          <w:color w:val="auto"/>
          <w:kern w:val="2"/>
          <w:sz w:val="32"/>
          <w:szCs w:val="32"/>
          <w:lang w:val="en-US" w:eastAsia="zh-CN"/>
        </w:rPr>
      </w:pPr>
      <w:r>
        <w:rPr>
          <w:rFonts w:hint="eastAsia" w:ascii="Times New Roman" w:hAnsi="Times New Roman" w:eastAsia="仿宋_GB2312" w:cs="仿宋_GB2312"/>
          <w:b w:val="0"/>
          <w:bCs w:val="0"/>
          <w:color w:val="auto"/>
          <w:kern w:val="2"/>
          <w:sz w:val="32"/>
          <w:szCs w:val="32"/>
          <w:lang w:val="en-US" w:eastAsia="zh-CN"/>
        </w:rPr>
        <w:t>2026年，按照党的二十届四中全会明确的“十五五”时期党和国家事业发展的目标任务，聚焦区委、区政府决策部署和区中心工作，以预算编制为切入点，优化支出结构、提升管理质效，推动财政保障能力达到新水平。</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3" w:firstLineChars="200"/>
        <w:textAlignment w:val="auto"/>
        <w:rPr>
          <w:rFonts w:hint="eastAsia" w:ascii="仿宋_GB2312" w:hAnsi="仿宋_GB2312" w:eastAsia="仿宋_GB2312" w:cs="仿宋_GB2312"/>
          <w:b/>
          <w:bCs/>
          <w:color w:val="auto"/>
          <w:kern w:val="2"/>
          <w:sz w:val="32"/>
          <w:szCs w:val="32"/>
          <w:lang w:val="en-US" w:eastAsia="zh-CN"/>
        </w:rPr>
      </w:pPr>
      <w:r>
        <w:rPr>
          <w:rFonts w:hint="eastAsia" w:ascii="Times New Roman" w:hAnsi="Times New Roman" w:eastAsia="仿宋_GB2312" w:cs="仿宋_GB2312"/>
          <w:b/>
          <w:bCs/>
          <w:color w:val="auto"/>
          <w:kern w:val="2"/>
          <w:sz w:val="32"/>
          <w:szCs w:val="32"/>
          <w:lang w:val="en-US" w:eastAsia="zh-CN"/>
        </w:rPr>
        <w:t>1</w:t>
      </w:r>
      <w:r>
        <w:rPr>
          <w:rFonts w:hint="eastAsia" w:ascii="仿宋_GB2312" w:hAnsi="仿宋_GB2312" w:eastAsia="仿宋_GB2312" w:cs="仿宋_GB2312"/>
          <w:b/>
          <w:bCs/>
          <w:color w:val="auto"/>
          <w:kern w:val="2"/>
          <w:sz w:val="32"/>
          <w:szCs w:val="32"/>
          <w:lang w:val="en-US" w:eastAsia="zh-CN"/>
        </w:rPr>
        <w:t>.兜牢兜实“三保”底线，防范财政运行风险</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0" w:firstLineChars="200"/>
        <w:textAlignment w:val="auto"/>
        <w:rPr>
          <w:rFonts w:hint="eastAsia" w:ascii="Times New Roman" w:hAnsi="Times New Roman" w:eastAsia="仿宋_GB2312" w:cs="仿宋_GB2312"/>
          <w:color w:val="auto"/>
          <w:kern w:val="2"/>
          <w:sz w:val="32"/>
          <w:szCs w:val="32"/>
          <w:lang w:val="en-US" w:eastAsia="zh-CN"/>
        </w:rPr>
      </w:pPr>
      <w:r>
        <w:rPr>
          <w:rFonts w:hint="eastAsia" w:ascii="Times New Roman" w:hAnsi="Times New Roman" w:eastAsia="仿宋_GB2312" w:cs="仿宋_GB2312"/>
          <w:color w:val="auto"/>
          <w:kern w:val="2"/>
          <w:sz w:val="32"/>
          <w:szCs w:val="32"/>
          <w:lang w:val="en-US" w:eastAsia="zh-CN"/>
        </w:rPr>
        <w:t>优先保障“三保”支出。贯彻落实中央及省级关于“三保”政策要求，优先使用稳定财力足额保障“三保”预算，足额编列预算，全年“三保”预算投入</w:t>
      </w:r>
      <w:r>
        <w:rPr>
          <w:rFonts w:hint="eastAsia" w:ascii="Times New Roman" w:hAnsi="Times New Roman" w:cs="仿宋_GB2312"/>
          <w:color w:val="auto"/>
          <w:kern w:val="2"/>
          <w:sz w:val="32"/>
          <w:szCs w:val="32"/>
          <w:lang w:val="en-US" w:eastAsia="zh-CN"/>
        </w:rPr>
        <w:t>5.6</w:t>
      </w:r>
      <w:r>
        <w:rPr>
          <w:rFonts w:hint="eastAsia" w:ascii="Times New Roman" w:hAnsi="Times New Roman" w:eastAsia="仿宋_GB2312" w:cs="仿宋_GB2312"/>
          <w:color w:val="auto"/>
          <w:kern w:val="2"/>
          <w:sz w:val="32"/>
          <w:szCs w:val="32"/>
          <w:lang w:val="en-US" w:eastAsia="zh-CN"/>
        </w:rPr>
        <w:t>亿元，超过国标需求和地标需求，“三保”保障充足有力。</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3" w:firstLineChars="200"/>
        <w:textAlignment w:val="auto"/>
        <w:rPr>
          <w:rFonts w:hint="eastAsia" w:ascii="仿宋_GB2312" w:hAnsi="仿宋_GB2312" w:eastAsia="仿宋_GB2312" w:cs="仿宋_GB2312"/>
          <w:b/>
          <w:bCs/>
          <w:color w:val="auto"/>
          <w:kern w:val="2"/>
          <w:sz w:val="32"/>
          <w:szCs w:val="32"/>
          <w:lang w:val="en-US" w:eastAsia="zh-CN"/>
        </w:rPr>
      </w:pPr>
      <w:r>
        <w:rPr>
          <w:rFonts w:hint="eastAsia" w:ascii="Times New Roman" w:hAnsi="Times New Roman" w:eastAsia="仿宋_GB2312" w:cs="仿宋_GB2312"/>
          <w:b/>
          <w:bCs/>
          <w:color w:val="auto"/>
          <w:kern w:val="2"/>
          <w:sz w:val="32"/>
          <w:szCs w:val="32"/>
          <w:lang w:val="en-US" w:eastAsia="zh-CN"/>
        </w:rPr>
        <w:t>2</w:t>
      </w:r>
      <w:r>
        <w:rPr>
          <w:rFonts w:hint="eastAsia" w:ascii="仿宋_GB2312" w:hAnsi="仿宋_GB2312" w:eastAsia="仿宋_GB2312" w:cs="仿宋_GB2312"/>
          <w:b/>
          <w:bCs/>
          <w:color w:val="auto"/>
          <w:kern w:val="2"/>
          <w:sz w:val="32"/>
          <w:szCs w:val="32"/>
          <w:lang w:val="en-US" w:eastAsia="zh-CN"/>
        </w:rPr>
        <w:t>.激发消费潜能，提升开放发展水平</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0"/>
        <w:textAlignment w:val="auto"/>
        <w:rPr>
          <w:rFonts w:hint="eastAsia" w:ascii="Times New Roman" w:hAnsi="Times New Roman" w:eastAsia="仿宋_GB2312" w:cs="仿宋_GB2312"/>
          <w:color w:val="auto"/>
          <w:kern w:val="2"/>
          <w:sz w:val="32"/>
          <w:szCs w:val="32"/>
          <w:lang w:val="en-US" w:eastAsia="zh-CN"/>
        </w:rPr>
      </w:pPr>
      <w:r>
        <w:rPr>
          <w:rFonts w:hint="eastAsia" w:ascii="Times New Roman" w:hAnsi="Times New Roman" w:eastAsia="仿宋_GB2312" w:cs="仿宋_GB2312"/>
          <w:color w:val="auto"/>
          <w:kern w:val="2"/>
          <w:sz w:val="32"/>
          <w:szCs w:val="32"/>
          <w:lang w:val="en-US" w:eastAsia="zh-CN"/>
        </w:rPr>
        <w:t>支持提振消费。围绕高标准打造国际旅游胜地，加快旅游业高质量发展，加快推进亚龙湾旅游度假区基础设施提质增效工作，积极推动湾区酒店升级改造，亚龙湾热带天堂森林旅游区升级改造，打造国际高端旅游休闲度假区和高端品质消费集聚区。加大财政支持力度，助力促消费提振经济。持续推进消费品以旧换新，开展汽车消费补贴活动，不断释放离岛免税购物新政效应，全面激发居民消费潜力。优化产业发展“链长制”，促进招商信息数字化，不断提高项目落地转化率。</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0"/>
        <w:textAlignment w:val="auto"/>
        <w:rPr>
          <w:rFonts w:hint="eastAsia" w:ascii="Times New Roman" w:hAnsi="Times New Roman" w:eastAsia="仿宋_GB2312" w:cs="仿宋_GB2312"/>
          <w:color w:val="auto"/>
          <w:kern w:val="2"/>
          <w:sz w:val="32"/>
          <w:szCs w:val="32"/>
          <w:lang w:val="en-US" w:eastAsia="zh-CN"/>
        </w:rPr>
      </w:pP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Times New Roman" w:hAnsi="Times New Roman" w:eastAsia="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lang w:val="en-US" w:eastAsia="zh-CN"/>
        </w:rPr>
        <w:t>.筑牢生态根基</w:t>
      </w:r>
      <w:r>
        <w:rPr>
          <w:rFonts w:hint="eastAsia" w:ascii="仿宋_GB2312" w:hAnsi="仿宋_GB2312" w:eastAsia="仿宋_GB2312" w:cs="仿宋_GB2312"/>
          <w:b/>
          <w:bCs/>
          <w:color w:val="auto"/>
          <w:sz w:val="32"/>
          <w:szCs w:val="32"/>
          <w:lang w:val="en-US"/>
        </w:rPr>
        <w:t>，</w:t>
      </w:r>
      <w:r>
        <w:rPr>
          <w:rFonts w:hint="eastAsia" w:ascii="仿宋_GB2312" w:hAnsi="仿宋_GB2312" w:eastAsia="仿宋_GB2312" w:cs="仿宋_GB2312"/>
          <w:b/>
          <w:bCs/>
          <w:color w:val="auto"/>
          <w:sz w:val="32"/>
          <w:szCs w:val="32"/>
          <w:lang w:val="en-US" w:eastAsia="zh-CN"/>
        </w:rPr>
        <w:t>赋能高质量经济发展</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0" w:firstLineChars="200"/>
        <w:textAlignment w:val="auto"/>
        <w:rPr>
          <w:rFonts w:hint="eastAsia" w:ascii="Times New Roman" w:hAnsi="Times New Roman" w:eastAsia="仿宋_GB2312" w:cs="仿宋_GB2312"/>
          <w:color w:val="auto"/>
          <w:kern w:val="2"/>
          <w:sz w:val="32"/>
          <w:szCs w:val="32"/>
          <w:lang w:val="en-US" w:eastAsia="zh-CN"/>
        </w:rPr>
      </w:pPr>
      <w:r>
        <w:rPr>
          <w:rFonts w:hint="eastAsia" w:ascii="Times New Roman" w:hAnsi="Times New Roman" w:eastAsia="仿宋_GB2312" w:cs="仿宋_GB2312"/>
          <w:color w:val="auto"/>
          <w:kern w:val="2"/>
          <w:sz w:val="32"/>
          <w:szCs w:val="32"/>
          <w:lang w:val="en-US" w:eastAsia="zh-CN"/>
        </w:rPr>
        <w:t>完成山水林田湖草沙一体化生态修复，深化“河湖制+六水共治”，投入资金0.11亿元，主要用于加快推进大茅水综合治理工程、亚龙溪综合整治工程、龙潭湖水环境提升一期工程。支持垃圾处理，推行生活垃圾无害化、减量化、资源化，推行绿色生产生活方式</w:t>
      </w:r>
      <w:r>
        <w:rPr>
          <w:rFonts w:hint="eastAsia" w:ascii="Times New Roman" w:hAnsi="Times New Roman" w:cs="仿宋_GB2312"/>
          <w:color w:val="auto"/>
          <w:kern w:val="2"/>
          <w:sz w:val="32"/>
          <w:szCs w:val="32"/>
          <w:lang w:val="en-US" w:eastAsia="zh-CN"/>
        </w:rPr>
        <w:t>。</w:t>
      </w:r>
      <w:r>
        <w:rPr>
          <w:rFonts w:hint="eastAsia" w:ascii="Times New Roman" w:hAnsi="Times New Roman" w:eastAsia="仿宋_GB2312" w:cs="仿宋_GB2312"/>
          <w:color w:val="auto"/>
          <w:kern w:val="2"/>
          <w:sz w:val="32"/>
          <w:szCs w:val="32"/>
          <w:lang w:val="en-US" w:eastAsia="zh-CN"/>
        </w:rPr>
        <w:t>加快建设三亚绿色建材产业园，启动建筑垃圾消纳处置建设，有序推进生态系统生产总值核算工作。</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Times New Roman" w:hAnsi="Times New Roman" w:eastAsia="仿宋_GB2312" w:cs="仿宋_GB2312"/>
          <w:b/>
          <w:bCs/>
          <w:color w:val="auto"/>
          <w:sz w:val="32"/>
          <w:szCs w:val="32"/>
          <w:lang w:val="en-US" w:eastAsia="zh-CN"/>
        </w:rPr>
        <w:t>4</w:t>
      </w:r>
      <w:r>
        <w:rPr>
          <w:rFonts w:hint="eastAsia" w:ascii="仿宋_GB2312" w:hAnsi="仿宋_GB2312" w:eastAsia="仿宋_GB2312" w:cs="仿宋_GB2312"/>
          <w:b/>
          <w:bCs/>
          <w:color w:val="auto"/>
          <w:sz w:val="32"/>
          <w:szCs w:val="32"/>
          <w:lang w:val="en-US" w:eastAsia="zh-CN"/>
        </w:rPr>
        <w:t>.支持农业农村优先发展，推进城乡区域融合发展</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textAlignment w:val="auto"/>
        <w:rPr>
          <w:rFonts w:hint="eastAsia" w:ascii="Times New Roman" w:hAnsi="Times New Roman" w:eastAsia="仿宋_GB2312" w:cs="仿宋_GB2312"/>
          <w:color w:val="auto"/>
          <w:kern w:val="2"/>
          <w:sz w:val="32"/>
          <w:szCs w:val="32"/>
          <w:lang w:val="en-US" w:eastAsia="zh-CN"/>
        </w:rPr>
      </w:pPr>
      <w:r>
        <w:rPr>
          <w:rFonts w:hint="eastAsia" w:ascii="Times New Roman" w:hAnsi="Times New Roman" w:eastAsia="仿宋" w:cs="仿宋"/>
          <w:color w:val="auto"/>
          <w:sz w:val="32"/>
          <w:szCs w:val="32"/>
          <w:lang w:val="en-US" w:eastAsia="zh-CN"/>
        </w:rPr>
        <w:t xml:space="preserve">    </w:t>
      </w:r>
      <w:r>
        <w:rPr>
          <w:rFonts w:hint="eastAsia" w:ascii="Times New Roman" w:hAnsi="Times New Roman" w:eastAsia="仿宋_GB2312" w:cs="仿宋_GB2312"/>
          <w:color w:val="auto"/>
          <w:sz w:val="32"/>
          <w:szCs w:val="32"/>
          <w:lang w:val="en-US" w:eastAsia="zh-CN"/>
        </w:rPr>
        <w:t>围绕促进城乡融合发展与区域协调，持续优化财政投入结构，稳步提高农</w:t>
      </w:r>
      <w:r>
        <w:rPr>
          <w:rFonts w:hint="eastAsia" w:ascii="Times New Roman" w:hAnsi="Times New Roman" w:cs="仿宋_GB2312"/>
          <w:color w:val="auto"/>
          <w:sz w:val="32"/>
          <w:szCs w:val="32"/>
          <w:lang w:val="en-US" w:eastAsia="zh-CN"/>
        </w:rPr>
        <w:t>业</w:t>
      </w:r>
      <w:r>
        <w:rPr>
          <w:rFonts w:hint="eastAsia" w:ascii="Times New Roman" w:hAnsi="Times New Roman" w:eastAsia="仿宋_GB2312" w:cs="仿宋_GB2312"/>
          <w:color w:val="auto"/>
          <w:sz w:val="32"/>
          <w:szCs w:val="32"/>
          <w:lang w:val="en-US" w:eastAsia="zh-CN"/>
        </w:rPr>
        <w:t>农村财政投入比例，切实巩固拓展脱贫攻坚成果。安排农林水支出3.69亿元，重点投向热带特色高效农业、高标准农田建设与农民增收机制构建，以产业带动城乡经济联动。支持农村供水安全、人居环境整治、农村综合改革等基础设施建设与治理提升，着力增强乡村内生发展能力，加快建设宜居宜业和美乡村，系统性推进城乡区域融合与共同富裕。</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3" w:firstLineChars="200"/>
        <w:textAlignment w:val="auto"/>
        <w:rPr>
          <w:rFonts w:hint="eastAsia" w:ascii="仿宋_GB2312" w:hAnsi="仿宋_GB2312" w:eastAsia="仿宋_GB2312" w:cs="仿宋_GB2312"/>
          <w:b/>
          <w:bCs/>
          <w:color w:val="auto"/>
          <w:kern w:val="2"/>
          <w:sz w:val="32"/>
          <w:szCs w:val="32"/>
          <w:lang w:val="en-US" w:eastAsia="zh-CN"/>
        </w:rPr>
      </w:pPr>
      <w:r>
        <w:rPr>
          <w:rFonts w:hint="eastAsia" w:ascii="Times New Roman" w:hAnsi="Times New Roman" w:eastAsia="仿宋_GB2312" w:cs="仿宋_GB2312"/>
          <w:b/>
          <w:bCs/>
          <w:color w:val="auto"/>
          <w:kern w:val="2"/>
          <w:sz w:val="32"/>
          <w:szCs w:val="32"/>
          <w:lang w:val="en-US" w:eastAsia="zh-CN"/>
        </w:rPr>
        <w:t>5</w:t>
      </w:r>
      <w:r>
        <w:rPr>
          <w:rFonts w:hint="eastAsia" w:ascii="仿宋_GB2312" w:hAnsi="仿宋_GB2312" w:eastAsia="仿宋_GB2312" w:cs="仿宋_GB2312"/>
          <w:b/>
          <w:bCs/>
          <w:color w:val="auto"/>
          <w:kern w:val="2"/>
          <w:sz w:val="32"/>
          <w:szCs w:val="32"/>
          <w:lang w:val="en-US" w:eastAsia="zh-CN"/>
        </w:rPr>
        <w:t>.切实保障和改善民生，持续增进民生福祉</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textAlignment w:val="auto"/>
        <w:rPr>
          <w:rFonts w:hint="eastAsia" w:ascii="Times New Roman" w:hAnsi="Times New Roman" w:eastAsia="仿宋_GB2312" w:cs="仿宋_GB2312"/>
          <w:color w:val="auto"/>
          <w:kern w:val="2"/>
          <w:sz w:val="32"/>
          <w:szCs w:val="32"/>
          <w:lang w:val="en-US" w:eastAsia="zh-CN"/>
        </w:rPr>
      </w:pPr>
      <w:r>
        <w:rPr>
          <w:rFonts w:hint="eastAsia" w:ascii="Times New Roman" w:hAnsi="Times New Roman" w:eastAsia="仿宋" w:cs="仿宋"/>
          <w:color w:val="auto"/>
          <w:kern w:val="2"/>
          <w:sz w:val="32"/>
          <w:szCs w:val="32"/>
          <w:lang w:val="en-US" w:eastAsia="zh-CN"/>
        </w:rPr>
        <w:t xml:space="preserve">   </w:t>
      </w:r>
      <w:r>
        <w:rPr>
          <w:rFonts w:hint="eastAsia" w:ascii="Times New Roman" w:hAnsi="Times New Roman" w:eastAsia="仿宋_GB2312" w:cs="仿宋_GB2312"/>
          <w:color w:val="auto"/>
          <w:kern w:val="2"/>
          <w:sz w:val="32"/>
          <w:szCs w:val="32"/>
          <w:lang w:val="en-US" w:eastAsia="zh-CN"/>
        </w:rPr>
        <w:t xml:space="preserve"> 全区安排民生支出</w:t>
      </w:r>
      <w:r>
        <w:rPr>
          <w:rFonts w:hint="eastAsia" w:ascii="Times New Roman" w:hAnsi="Times New Roman" w:cs="仿宋_GB2312"/>
          <w:color w:val="auto"/>
          <w:kern w:val="2"/>
          <w:sz w:val="32"/>
          <w:szCs w:val="32"/>
          <w:lang w:val="en-US" w:eastAsia="zh-CN"/>
        </w:rPr>
        <w:t>17.14</w:t>
      </w:r>
      <w:r>
        <w:rPr>
          <w:rFonts w:hint="eastAsia" w:ascii="Times New Roman" w:hAnsi="Times New Roman" w:eastAsia="仿宋_GB2312" w:cs="仿宋_GB2312"/>
          <w:color w:val="auto"/>
          <w:kern w:val="2"/>
          <w:sz w:val="32"/>
          <w:szCs w:val="32"/>
          <w:lang w:val="en-US" w:eastAsia="zh-CN"/>
        </w:rPr>
        <w:t>亿元，占地方一般公共预算支出 7</w:t>
      </w:r>
      <w:r>
        <w:rPr>
          <w:rFonts w:hint="eastAsia" w:ascii="Times New Roman" w:hAnsi="Times New Roman" w:cs="仿宋_GB2312"/>
          <w:color w:val="auto"/>
          <w:kern w:val="2"/>
          <w:sz w:val="32"/>
          <w:szCs w:val="32"/>
          <w:lang w:val="en-US" w:eastAsia="zh-CN"/>
        </w:rPr>
        <w:t>8</w:t>
      </w:r>
      <w:r>
        <w:rPr>
          <w:rFonts w:hint="eastAsia" w:ascii="Times New Roman" w:hAnsi="Times New Roman" w:eastAsia="仿宋_GB2312" w:cs="仿宋_GB2312"/>
          <w:color w:val="auto"/>
          <w:kern w:val="2"/>
          <w:sz w:val="32"/>
          <w:szCs w:val="32"/>
          <w:lang w:val="en-US" w:eastAsia="zh-CN"/>
        </w:rPr>
        <w:t>%，保障2026年</w:t>
      </w:r>
      <w:r>
        <w:rPr>
          <w:rFonts w:hint="eastAsia" w:ascii="Times New Roman" w:hAnsi="Times New Roman" w:cs="仿宋_GB2312"/>
          <w:color w:val="auto"/>
          <w:kern w:val="2"/>
          <w:sz w:val="32"/>
          <w:szCs w:val="32"/>
          <w:lang w:val="en-US" w:eastAsia="zh-CN"/>
        </w:rPr>
        <w:t>民生实事</w:t>
      </w:r>
      <w:r>
        <w:rPr>
          <w:rFonts w:hint="eastAsia" w:ascii="Times New Roman" w:hAnsi="Times New Roman" w:eastAsia="仿宋_GB2312" w:cs="仿宋_GB2312"/>
          <w:color w:val="auto"/>
          <w:kern w:val="2"/>
          <w:sz w:val="32"/>
          <w:szCs w:val="32"/>
          <w:lang w:val="en-US" w:eastAsia="zh-CN"/>
        </w:rPr>
        <w:t>事项，解决群众“急难愁盼”问题，织密织牢民生保障网，推动吉阳区共同富裕发展。</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0" w:firstLineChars="200"/>
        <w:textAlignment w:val="auto"/>
        <w:rPr>
          <w:rFonts w:hint="eastAsia" w:ascii="Times New Roman" w:hAnsi="Times New Roman" w:eastAsia="仿宋_GB2312" w:cs="仿宋_GB2312"/>
          <w:color w:val="auto"/>
          <w:kern w:val="2"/>
          <w:sz w:val="32"/>
          <w:szCs w:val="32"/>
          <w:lang w:val="en-US" w:eastAsia="zh-CN"/>
        </w:rPr>
      </w:pPr>
      <w:r>
        <w:rPr>
          <w:rFonts w:hint="eastAsia" w:ascii="Times New Roman" w:hAnsi="Times New Roman" w:eastAsia="仿宋_GB2312" w:cs="仿宋_GB2312"/>
          <w:color w:val="auto"/>
          <w:kern w:val="2"/>
          <w:sz w:val="32"/>
          <w:szCs w:val="32"/>
          <w:lang w:val="en-US" w:eastAsia="zh-CN"/>
        </w:rPr>
        <w:t>安排教育领域支出5.22亿元，主要是依法足额保障教育领域支出，支持引进优质教育资源合作办学和集团化办学，</w:t>
      </w:r>
      <w:r>
        <w:rPr>
          <w:rFonts w:hint="eastAsia" w:ascii="Times New Roman" w:hAnsi="Times New Roman" w:cs="仿宋_GB2312"/>
          <w:color w:val="auto"/>
          <w:kern w:val="2"/>
          <w:sz w:val="32"/>
          <w:szCs w:val="32"/>
          <w:lang w:val="en-US" w:eastAsia="zh-CN"/>
        </w:rPr>
        <w:t>成立三亚市首家公办特殊教育幼儿园，</w:t>
      </w:r>
      <w:r>
        <w:rPr>
          <w:rFonts w:hint="eastAsia" w:ascii="Times New Roman" w:hAnsi="Times New Roman" w:eastAsia="仿宋_GB2312" w:cs="仿宋_GB2312"/>
          <w:color w:val="auto"/>
          <w:kern w:val="2"/>
          <w:sz w:val="32"/>
          <w:szCs w:val="32"/>
          <w:lang w:val="en-US" w:eastAsia="zh-CN"/>
        </w:rPr>
        <w:t>推动区教育高质量、均衡化发展</w:t>
      </w:r>
      <w:r>
        <w:rPr>
          <w:rFonts w:hint="eastAsia" w:ascii="Times New Roman" w:hAnsi="Times New Roman" w:cs="仿宋_GB2312"/>
          <w:color w:val="auto"/>
          <w:kern w:val="2"/>
          <w:sz w:val="32"/>
          <w:szCs w:val="32"/>
          <w:lang w:val="en-US" w:eastAsia="zh-CN"/>
        </w:rPr>
        <w:t>。</w:t>
      </w:r>
      <w:r>
        <w:rPr>
          <w:rFonts w:hint="eastAsia" w:ascii="Times New Roman" w:hAnsi="Times New Roman" w:eastAsia="仿宋_GB2312" w:cs="仿宋_GB2312"/>
          <w:color w:val="auto"/>
          <w:kern w:val="2"/>
          <w:sz w:val="32"/>
          <w:szCs w:val="32"/>
          <w:lang w:val="en-US" w:eastAsia="zh-CN"/>
        </w:rPr>
        <w:t>分批次实施学校营养改善计划。深化国家中小学智慧教育平台应用</w:t>
      </w:r>
      <w:r>
        <w:rPr>
          <w:rFonts w:hint="eastAsia" w:ascii="Times New Roman" w:hAnsi="Times New Roman" w:cs="仿宋_GB2312"/>
          <w:color w:val="auto"/>
          <w:kern w:val="2"/>
          <w:sz w:val="32"/>
          <w:szCs w:val="32"/>
          <w:lang w:val="en-US" w:eastAsia="zh-CN"/>
        </w:rPr>
        <w:t>；</w:t>
      </w:r>
      <w:r>
        <w:rPr>
          <w:rFonts w:hint="eastAsia" w:ascii="Times New Roman" w:hAnsi="Times New Roman" w:eastAsia="仿宋_GB2312" w:cs="仿宋_GB2312"/>
          <w:color w:val="auto"/>
          <w:kern w:val="2"/>
          <w:sz w:val="32"/>
          <w:szCs w:val="32"/>
          <w:lang w:val="en-US" w:eastAsia="zh-CN"/>
        </w:rPr>
        <w:t>提升学前教育普及普惠水平，推动义务教育优质均衡发展。</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0" w:firstLineChars="200"/>
        <w:textAlignment w:val="auto"/>
        <w:rPr>
          <w:rFonts w:hint="eastAsia" w:ascii="Times New Roman" w:hAnsi="Times New Roman" w:eastAsia="仿宋_GB2312" w:cs="仿宋_GB2312"/>
          <w:color w:val="auto"/>
          <w:kern w:val="2"/>
          <w:sz w:val="32"/>
          <w:szCs w:val="32"/>
          <w:lang w:val="en-US" w:eastAsia="zh-CN"/>
        </w:rPr>
      </w:pPr>
      <w:r>
        <w:rPr>
          <w:rFonts w:hint="eastAsia" w:ascii="Times New Roman" w:hAnsi="Times New Roman" w:eastAsia="仿宋_GB2312" w:cs="仿宋_GB2312"/>
          <w:color w:val="auto"/>
          <w:kern w:val="2"/>
          <w:sz w:val="32"/>
          <w:szCs w:val="32"/>
          <w:lang w:val="en-US" w:eastAsia="zh-CN"/>
        </w:rPr>
        <w:t>安排社会保障领域支出2.16亿元，主要是用于加快建设更高水平、更加均衡的社会保障和基本公共服务体系。落实城乡居民保障、养老服务、社会福利、残疾人保障、临时救助等各项政策</w:t>
      </w:r>
      <w:r>
        <w:rPr>
          <w:rFonts w:hint="eastAsia" w:ascii="Times New Roman" w:hAnsi="Times New Roman" w:cs="仿宋_GB2312"/>
          <w:color w:val="auto"/>
          <w:kern w:val="2"/>
          <w:sz w:val="32"/>
          <w:szCs w:val="32"/>
          <w:lang w:val="en-US" w:eastAsia="zh-CN"/>
        </w:rPr>
        <w:t>；</w:t>
      </w:r>
      <w:r>
        <w:rPr>
          <w:rFonts w:hint="eastAsia" w:ascii="Times New Roman" w:hAnsi="Times New Roman" w:eastAsia="仿宋_GB2312" w:cs="仿宋_GB2312"/>
          <w:color w:val="auto"/>
          <w:kern w:val="2"/>
          <w:sz w:val="32"/>
          <w:szCs w:val="32"/>
          <w:lang w:val="en-US" w:eastAsia="zh-CN"/>
        </w:rPr>
        <w:t>确保军转干部、退役安置、优抚对象补助落实到位，加强社会救助体系建设，保障城乡困难群众基本生活。</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0" w:firstLineChars="200"/>
        <w:textAlignment w:val="auto"/>
        <w:rPr>
          <w:rFonts w:hint="eastAsia" w:ascii="Times New Roman" w:hAnsi="Times New Roman" w:eastAsia="仿宋_GB2312" w:cs="仿宋_GB2312"/>
          <w:color w:val="auto"/>
          <w:kern w:val="2"/>
          <w:sz w:val="32"/>
          <w:szCs w:val="32"/>
          <w:lang w:val="en-US" w:eastAsia="zh-CN"/>
        </w:rPr>
      </w:pPr>
      <w:r>
        <w:rPr>
          <w:rFonts w:hint="eastAsia" w:ascii="Times New Roman" w:hAnsi="Times New Roman" w:eastAsia="仿宋_GB2312" w:cs="仿宋_GB2312"/>
          <w:color w:val="auto"/>
          <w:kern w:val="2"/>
          <w:sz w:val="32"/>
          <w:szCs w:val="32"/>
          <w:lang w:val="en-US" w:eastAsia="zh-CN"/>
        </w:rPr>
        <w:t>安排卫生健康领域支出0.</w:t>
      </w:r>
      <w:r>
        <w:rPr>
          <w:rFonts w:hint="eastAsia" w:ascii="Times New Roman" w:hAnsi="Times New Roman" w:cs="仿宋_GB2312"/>
          <w:color w:val="auto"/>
          <w:kern w:val="2"/>
          <w:sz w:val="32"/>
          <w:szCs w:val="32"/>
          <w:lang w:val="en-US" w:eastAsia="zh-CN"/>
        </w:rPr>
        <w:t>80</w:t>
      </w:r>
      <w:r>
        <w:rPr>
          <w:rFonts w:hint="eastAsia" w:ascii="Times New Roman" w:hAnsi="Times New Roman" w:eastAsia="仿宋_GB2312" w:cs="仿宋_GB2312"/>
          <w:color w:val="auto"/>
          <w:kern w:val="2"/>
          <w:sz w:val="32"/>
          <w:szCs w:val="32"/>
          <w:lang w:val="en-US" w:eastAsia="zh-CN"/>
        </w:rPr>
        <w:t>亿元，主要是支持提升基本医疗卫生服务能力，落实基本公共卫生服务保障标准</w:t>
      </w:r>
      <w:r>
        <w:rPr>
          <w:rFonts w:hint="eastAsia" w:ascii="Times New Roman" w:hAnsi="Times New Roman" w:cs="仿宋_GB2312"/>
          <w:color w:val="auto"/>
          <w:kern w:val="2"/>
          <w:sz w:val="32"/>
          <w:szCs w:val="32"/>
          <w:lang w:val="en-US" w:eastAsia="zh-CN"/>
        </w:rPr>
        <w:t>。</w:t>
      </w:r>
      <w:r>
        <w:rPr>
          <w:rFonts w:hint="eastAsia" w:ascii="Times New Roman" w:hAnsi="Times New Roman" w:eastAsia="仿宋_GB2312" w:cs="仿宋_GB2312"/>
          <w:color w:val="auto"/>
          <w:kern w:val="2"/>
          <w:sz w:val="32"/>
          <w:szCs w:val="32"/>
          <w:lang w:val="en-US" w:eastAsia="zh-CN"/>
        </w:rPr>
        <w:t>安排资金用于提升医疗服务“五个一”能力、不断增加0</w:t>
      </w:r>
      <w:r>
        <w:rPr>
          <w:rFonts w:hint="eastAsia" w:ascii="Times New Roman" w:hAnsi="Times New Roman" w:cs="仿宋_GB2312"/>
          <w:color w:val="auto"/>
          <w:kern w:val="2"/>
          <w:sz w:val="32"/>
          <w:szCs w:val="32"/>
          <w:lang w:val="en-US" w:eastAsia="zh-CN"/>
        </w:rPr>
        <w:t>—</w:t>
      </w:r>
      <w:r>
        <w:rPr>
          <w:rFonts w:hint="eastAsia" w:ascii="Times New Roman" w:hAnsi="Times New Roman" w:eastAsia="仿宋_GB2312" w:cs="仿宋_GB2312"/>
          <w:color w:val="auto"/>
          <w:kern w:val="2"/>
          <w:sz w:val="32"/>
          <w:szCs w:val="32"/>
          <w:lang w:val="en-US" w:eastAsia="zh-CN"/>
        </w:rPr>
        <w:t>3岁婴幼儿照护服务供给、村卫生室标准化建设等。</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0" w:firstLineChars="200"/>
        <w:textAlignment w:val="auto"/>
        <w:rPr>
          <w:rFonts w:hint="eastAsia" w:ascii="Times New Roman" w:hAnsi="Times New Roman" w:eastAsia="仿宋_GB2312" w:cs="仿宋_GB2312"/>
          <w:color w:val="auto"/>
          <w:kern w:val="2"/>
          <w:sz w:val="32"/>
          <w:szCs w:val="32"/>
          <w:lang w:val="en-US" w:eastAsia="zh-CN"/>
        </w:rPr>
      </w:pPr>
      <w:r>
        <w:rPr>
          <w:rFonts w:hint="eastAsia" w:ascii="Times New Roman" w:hAnsi="Times New Roman" w:eastAsia="仿宋_GB2312" w:cs="仿宋_GB2312"/>
          <w:color w:val="auto"/>
          <w:kern w:val="2"/>
          <w:sz w:val="32"/>
          <w:szCs w:val="32"/>
          <w:lang w:val="en-US" w:eastAsia="zh-CN"/>
        </w:rPr>
        <w:t>安排城乡社区支出4.</w:t>
      </w:r>
      <w:r>
        <w:rPr>
          <w:rFonts w:hint="eastAsia" w:ascii="Times New Roman" w:hAnsi="Times New Roman" w:cs="仿宋_GB2312"/>
          <w:color w:val="auto"/>
          <w:kern w:val="2"/>
          <w:sz w:val="32"/>
          <w:szCs w:val="32"/>
          <w:lang w:val="en-US" w:eastAsia="zh-CN"/>
        </w:rPr>
        <w:t>64</w:t>
      </w:r>
      <w:r>
        <w:rPr>
          <w:rFonts w:hint="eastAsia" w:ascii="Times New Roman" w:hAnsi="Times New Roman" w:eastAsia="仿宋_GB2312" w:cs="仿宋_GB2312"/>
          <w:color w:val="auto"/>
          <w:kern w:val="2"/>
          <w:sz w:val="32"/>
          <w:szCs w:val="32"/>
          <w:lang w:val="en-US" w:eastAsia="zh-CN"/>
        </w:rPr>
        <w:t>亿元，主要是加大对城乡社区基础设施建设维护力度。主要用于道路日常养护、农村道路维修、桥梁检测等城市运行项目；支持重点区域环境整治、生活垃圾分类、农村亮灯工程等综合治理项目，优化城市环境；安排资金用于落实“接诉即办”，物业管理等日常工作经费。</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0" w:firstLineChars="200"/>
        <w:textAlignment w:val="auto"/>
        <w:rPr>
          <w:rFonts w:hint="eastAsia" w:ascii="Times New Roman" w:hAnsi="Times New Roman" w:eastAsia="仿宋_GB2312" w:cs="仿宋_GB2312"/>
          <w:color w:val="auto"/>
          <w:kern w:val="2"/>
          <w:sz w:val="32"/>
          <w:szCs w:val="32"/>
          <w:lang w:val="en-US" w:eastAsia="zh-CN"/>
        </w:rPr>
      </w:pPr>
      <w:r>
        <w:rPr>
          <w:rFonts w:hint="eastAsia" w:ascii="Times New Roman" w:hAnsi="Times New Roman" w:eastAsia="仿宋_GB2312" w:cs="仿宋_GB2312"/>
          <w:color w:val="auto"/>
          <w:kern w:val="2"/>
          <w:sz w:val="32"/>
          <w:szCs w:val="32"/>
          <w:lang w:val="en-US" w:eastAsia="zh-CN"/>
        </w:rPr>
        <w:t>安排公共安全领域支出0.75亿元，主要是支持平安吉阳建设，维护社会安</w:t>
      </w:r>
      <w:r>
        <w:rPr>
          <w:rFonts w:hint="eastAsia" w:ascii="Times New Roman" w:hAnsi="Times New Roman" w:cs="仿宋_GB2312"/>
          <w:color w:val="auto"/>
          <w:kern w:val="2"/>
          <w:sz w:val="32"/>
          <w:szCs w:val="32"/>
          <w:lang w:val="en-US" w:eastAsia="zh-CN"/>
        </w:rPr>
        <w:t>全</w:t>
      </w:r>
      <w:r>
        <w:rPr>
          <w:rFonts w:hint="eastAsia" w:ascii="Times New Roman" w:hAnsi="Times New Roman" w:eastAsia="仿宋_GB2312" w:cs="仿宋_GB2312"/>
          <w:color w:val="auto"/>
          <w:kern w:val="2"/>
          <w:sz w:val="32"/>
          <w:szCs w:val="32"/>
          <w:lang w:val="en-US" w:eastAsia="zh-CN"/>
        </w:rPr>
        <w:t>稳定；安排资金用于公安辅警，执法办案经费，以及常态化开展未成年人保护工作。深入开展扫黑除恶、禁毒、反诈等行动，坚决遏止离岛免税“套代购”走私行为。</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0" w:firstLineChars="200"/>
        <w:textAlignment w:val="auto"/>
        <w:rPr>
          <w:rFonts w:hint="eastAsia" w:ascii="Times New Roman" w:hAnsi="Times New Roman" w:eastAsia="仿宋_GB2312" w:cs="仿宋_GB2312"/>
          <w:color w:val="auto"/>
          <w:kern w:val="2"/>
          <w:sz w:val="32"/>
          <w:szCs w:val="32"/>
          <w:lang w:val="en-US" w:eastAsia="zh-CN"/>
        </w:rPr>
      </w:pPr>
      <w:r>
        <w:rPr>
          <w:rFonts w:hint="eastAsia" w:ascii="Times New Roman" w:hAnsi="Times New Roman" w:eastAsia="仿宋_GB2312" w:cs="仿宋_GB2312"/>
          <w:color w:val="auto"/>
          <w:kern w:val="2"/>
          <w:sz w:val="32"/>
          <w:szCs w:val="32"/>
          <w:lang w:val="en-US" w:eastAsia="zh-CN"/>
        </w:rPr>
        <w:t>安排住房保障领域0.</w:t>
      </w:r>
      <w:r>
        <w:rPr>
          <w:rFonts w:hint="eastAsia" w:ascii="Times New Roman" w:hAnsi="Times New Roman" w:cs="仿宋_GB2312"/>
          <w:color w:val="auto"/>
          <w:kern w:val="2"/>
          <w:sz w:val="32"/>
          <w:szCs w:val="32"/>
          <w:lang w:val="en-US" w:eastAsia="zh-CN"/>
        </w:rPr>
        <w:t>31</w:t>
      </w:r>
      <w:r>
        <w:rPr>
          <w:rFonts w:hint="eastAsia" w:ascii="Times New Roman" w:hAnsi="Times New Roman" w:eastAsia="仿宋_GB2312" w:cs="仿宋_GB2312"/>
          <w:color w:val="auto"/>
          <w:kern w:val="2"/>
          <w:sz w:val="32"/>
          <w:szCs w:val="32"/>
          <w:lang w:val="en-US" w:eastAsia="zh-CN"/>
        </w:rPr>
        <w:t>亿元，主要做好住房保障政策和老旧小区改造补助；安排资金用于推进棚户区改造、保障老旧小区改造补助、改善居民住房条件等。</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3" w:firstLineChars="200"/>
        <w:textAlignment w:val="auto"/>
        <w:rPr>
          <w:rFonts w:hint="eastAsia" w:ascii="楷体_GB2312" w:hAnsi="楷体_GB2312" w:eastAsia="楷体_GB2312" w:cs="楷体_GB2312"/>
          <w:b/>
          <w:bCs/>
          <w:color w:val="auto"/>
          <w:kern w:val="2"/>
          <w:sz w:val="32"/>
          <w:szCs w:val="32"/>
          <w:lang w:val="en-US" w:eastAsia="zh-CN"/>
        </w:rPr>
      </w:pPr>
      <w:r>
        <w:rPr>
          <w:rFonts w:hint="eastAsia" w:ascii="楷体_GB2312" w:hAnsi="楷体_GB2312" w:eastAsia="楷体_GB2312" w:cs="楷体_GB2312"/>
          <w:b/>
          <w:bCs/>
          <w:color w:val="auto"/>
          <w:kern w:val="2"/>
          <w:sz w:val="32"/>
          <w:szCs w:val="32"/>
          <w:lang w:val="en-US" w:eastAsia="zh-CN"/>
        </w:rPr>
        <w:t>（五）扎实做好</w:t>
      </w:r>
      <w:r>
        <w:rPr>
          <w:rFonts w:hint="default" w:ascii="Times New Roman" w:hAnsi="Times New Roman" w:eastAsia="楷体_GB2312" w:cs="Times New Roman"/>
          <w:b/>
          <w:bCs/>
          <w:color w:val="auto"/>
          <w:kern w:val="2"/>
          <w:sz w:val="32"/>
          <w:szCs w:val="32"/>
          <w:lang w:val="en-US" w:eastAsia="zh-CN"/>
        </w:rPr>
        <w:t>2026</w:t>
      </w:r>
      <w:r>
        <w:rPr>
          <w:rFonts w:hint="eastAsia" w:ascii="楷体_GB2312" w:hAnsi="楷体_GB2312" w:eastAsia="楷体_GB2312" w:cs="楷体_GB2312"/>
          <w:b/>
          <w:bCs/>
          <w:color w:val="auto"/>
          <w:kern w:val="2"/>
          <w:sz w:val="32"/>
          <w:szCs w:val="32"/>
          <w:lang w:val="en-US" w:eastAsia="zh-CN"/>
        </w:rPr>
        <w:t>财政改革发展工作</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3" w:firstLineChars="200"/>
        <w:textAlignment w:val="auto"/>
        <w:rPr>
          <w:rFonts w:hint="eastAsia" w:ascii="仿宋_GB2312" w:hAnsi="仿宋_GB2312" w:eastAsia="仿宋_GB2312" w:cs="仿宋_GB2312"/>
          <w:b/>
          <w:bCs/>
          <w:color w:val="auto"/>
          <w:kern w:val="2"/>
          <w:sz w:val="32"/>
          <w:szCs w:val="32"/>
          <w:lang w:val="en-US" w:eastAsia="zh-CN"/>
        </w:rPr>
      </w:pPr>
      <w:r>
        <w:rPr>
          <w:rFonts w:hint="eastAsia" w:ascii="Times New Roman" w:hAnsi="Times New Roman" w:eastAsia="仿宋_GB2312" w:cs="仿宋_GB2312"/>
          <w:b/>
          <w:bCs/>
          <w:color w:val="auto"/>
          <w:kern w:val="2"/>
          <w:sz w:val="32"/>
          <w:szCs w:val="32"/>
          <w:lang w:val="en-US" w:eastAsia="zh-CN"/>
        </w:rPr>
        <w:t>1</w:t>
      </w:r>
      <w:r>
        <w:rPr>
          <w:rFonts w:hint="eastAsia" w:ascii="仿宋_GB2312" w:hAnsi="仿宋_GB2312" w:eastAsia="仿宋_GB2312" w:cs="仿宋_GB2312"/>
          <w:b/>
          <w:bCs/>
          <w:color w:val="auto"/>
          <w:kern w:val="2"/>
          <w:sz w:val="32"/>
          <w:szCs w:val="32"/>
          <w:lang w:val="en-US" w:eastAsia="zh-CN"/>
        </w:rPr>
        <w:t>.统筹财政资源和预算，夯实财政管理基础</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0" w:firstLineChars="200"/>
        <w:textAlignment w:val="auto"/>
        <w:rPr>
          <w:rFonts w:hint="eastAsia" w:ascii="Times New Roman" w:hAnsi="Times New Roman" w:eastAsia="仿宋_GB2312" w:cs="仿宋_GB2312"/>
          <w:color w:val="auto"/>
          <w:kern w:val="2"/>
          <w:sz w:val="32"/>
          <w:szCs w:val="32"/>
          <w:lang w:val="en-US" w:eastAsia="zh-CN"/>
        </w:rPr>
      </w:pPr>
      <w:r>
        <w:rPr>
          <w:rFonts w:hint="eastAsia" w:ascii="Times New Roman" w:hAnsi="Times New Roman" w:eastAsia="仿宋_GB2312" w:cs="仿宋_GB2312"/>
          <w:color w:val="auto"/>
          <w:kern w:val="2"/>
          <w:sz w:val="32"/>
          <w:szCs w:val="32"/>
          <w:lang w:val="en-US" w:eastAsia="zh-CN"/>
        </w:rPr>
        <w:t xml:space="preserve">增强区级财政在封关新业态、新模式下的自主统筹与应变能力，抓实自贸港财税优惠政策转化，激发高质量发展活力动力。提高招商引资产出效率，着眼长远加强财源培育，夯实优质税源，围绕预期目标做好收入组织工作，努力做大财政收入“蛋糕”。积极争取上级专项补助、超长期特别国债和地方政府债券等资金支持，提升吉阳区财政保障能力。 </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3" w:firstLineChars="200"/>
        <w:textAlignment w:val="auto"/>
        <w:rPr>
          <w:rFonts w:hint="eastAsia" w:ascii="仿宋_GB2312" w:hAnsi="仿宋_GB2312" w:eastAsia="仿宋_GB2312" w:cs="仿宋_GB2312"/>
          <w:b/>
          <w:bCs/>
          <w:color w:val="auto"/>
          <w:kern w:val="2"/>
          <w:sz w:val="32"/>
          <w:szCs w:val="32"/>
          <w:lang w:val="en-US" w:eastAsia="zh-CN"/>
        </w:rPr>
      </w:pPr>
      <w:r>
        <w:rPr>
          <w:rFonts w:hint="eastAsia" w:ascii="Times New Roman" w:hAnsi="Times New Roman" w:eastAsia="仿宋_GB2312" w:cs="仿宋_GB2312"/>
          <w:b/>
          <w:bCs/>
          <w:color w:val="auto"/>
          <w:kern w:val="2"/>
          <w:sz w:val="32"/>
          <w:szCs w:val="32"/>
          <w:lang w:val="en-US" w:eastAsia="zh-CN"/>
        </w:rPr>
        <w:t>2</w:t>
      </w:r>
      <w:r>
        <w:rPr>
          <w:rFonts w:hint="eastAsia" w:ascii="仿宋_GB2312" w:hAnsi="仿宋_GB2312" w:eastAsia="仿宋_GB2312" w:cs="仿宋_GB2312"/>
          <w:b/>
          <w:bCs/>
          <w:color w:val="auto"/>
          <w:kern w:val="2"/>
          <w:sz w:val="32"/>
          <w:szCs w:val="32"/>
          <w:lang w:val="en-US" w:eastAsia="zh-CN"/>
        </w:rPr>
        <w:t>.加强监管推进科学管理，提升财政治理效能</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0" w:firstLineChars="200"/>
        <w:textAlignment w:val="auto"/>
        <w:rPr>
          <w:rFonts w:hint="eastAsia" w:ascii="Times New Roman" w:hAnsi="Times New Roman" w:eastAsia="仿宋_GB2312" w:cs="仿宋_GB2312"/>
          <w:color w:val="auto"/>
          <w:kern w:val="2"/>
          <w:sz w:val="32"/>
          <w:szCs w:val="32"/>
          <w:lang w:val="en-US" w:eastAsia="zh-CN"/>
        </w:rPr>
      </w:pPr>
      <w:r>
        <w:rPr>
          <w:rFonts w:hint="eastAsia" w:ascii="Times New Roman" w:hAnsi="Times New Roman" w:eastAsia="仿宋_GB2312" w:cs="仿宋_GB2312"/>
          <w:color w:val="auto"/>
          <w:kern w:val="2"/>
          <w:sz w:val="32"/>
          <w:szCs w:val="32"/>
          <w:lang w:val="en-US" w:eastAsia="zh-CN"/>
        </w:rPr>
        <w:t>加强财政资源和预算统筹，全面推行零基预算改革，打破支出固化格局，优化支出结构，提升财政资源配置效率。强化财政预算全过程管理，加快支出标准体系建设，完善重大事项资金保障机制，提升财政资源配置效率和使用效益；统筹推进财税体制改革，增加地方自主财力，兜牢基层“三保”底线。配合上级部门推进自贸港税制改革，加快推进海南自由贸易港政策落地，用好用足中央、省、市各级各类政策资金，对重大项目、优质税源精准施策，提升财税政策与经济发展的协同效应。</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3" w:firstLineChars="200"/>
        <w:textAlignment w:val="auto"/>
        <w:rPr>
          <w:rFonts w:hint="eastAsia" w:ascii="仿宋_GB2312" w:hAnsi="仿宋_GB2312" w:eastAsia="仿宋_GB2312" w:cs="仿宋_GB2312"/>
          <w:b/>
          <w:bCs/>
          <w:color w:val="auto"/>
          <w:kern w:val="2"/>
          <w:sz w:val="32"/>
          <w:szCs w:val="32"/>
          <w:lang w:val="en-US" w:eastAsia="zh-CN"/>
        </w:rPr>
      </w:pPr>
      <w:r>
        <w:rPr>
          <w:rFonts w:hint="eastAsia" w:ascii="Times New Roman" w:hAnsi="Times New Roman" w:eastAsia="仿宋_GB2312" w:cs="仿宋_GB2312"/>
          <w:b/>
          <w:bCs/>
          <w:color w:val="auto"/>
          <w:kern w:val="2"/>
          <w:sz w:val="32"/>
          <w:szCs w:val="32"/>
          <w:lang w:val="en-US" w:eastAsia="zh-CN"/>
        </w:rPr>
        <w:t>3</w:t>
      </w:r>
      <w:r>
        <w:rPr>
          <w:rFonts w:hint="eastAsia" w:ascii="仿宋_GB2312" w:hAnsi="仿宋_GB2312" w:eastAsia="仿宋_GB2312" w:cs="仿宋_GB2312"/>
          <w:b/>
          <w:bCs/>
          <w:color w:val="auto"/>
          <w:kern w:val="2"/>
          <w:sz w:val="32"/>
          <w:szCs w:val="32"/>
          <w:lang w:val="en-US" w:eastAsia="zh-CN"/>
        </w:rPr>
        <w:t>.促进资金提质增效，提高财政可持续能力</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0" w:firstLineChars="200"/>
        <w:textAlignment w:val="auto"/>
        <w:rPr>
          <w:rFonts w:hint="eastAsia" w:ascii="Times New Roman" w:hAnsi="Times New Roman" w:eastAsia="仿宋_GB2312" w:cs="仿宋_GB2312"/>
          <w:color w:val="auto"/>
          <w:kern w:val="2"/>
          <w:sz w:val="32"/>
          <w:szCs w:val="32"/>
          <w:lang w:val="en-US" w:eastAsia="zh-CN"/>
        </w:rPr>
      </w:pPr>
      <w:r>
        <w:rPr>
          <w:rFonts w:hint="eastAsia" w:ascii="Times New Roman" w:hAnsi="Times New Roman" w:eastAsia="仿宋_GB2312" w:cs="仿宋_GB2312"/>
          <w:color w:val="auto"/>
          <w:kern w:val="2"/>
          <w:sz w:val="32"/>
          <w:szCs w:val="32"/>
          <w:lang w:val="en-US" w:eastAsia="zh-CN"/>
        </w:rPr>
        <w:t>全面勤俭建设自贸港，勤俭节约办一切事业。坚持党政机关习惯过“紧日子”，把严把紧预算关口，深入挖掘节支潜能，严控一般性支出，切实降低财政运行成本。优化支出结构，坚持有保有压，把有限的资金用在刀刃上。探索优化政府管理新路径，在当前严峻的财政收支形势下，重新梳理各部门工作内容和工作机制，坚持权责法定，科学分配和使用预算。</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3" w:firstLineChars="200"/>
        <w:textAlignment w:val="auto"/>
        <w:rPr>
          <w:rFonts w:hint="eastAsia" w:ascii="仿宋_GB2312" w:hAnsi="仿宋_GB2312" w:eastAsia="仿宋_GB2312" w:cs="仿宋_GB2312"/>
          <w:b/>
          <w:bCs/>
          <w:color w:val="auto"/>
          <w:kern w:val="2"/>
          <w:sz w:val="32"/>
          <w:szCs w:val="32"/>
          <w:lang w:val="en-US" w:eastAsia="zh-CN"/>
        </w:rPr>
      </w:pPr>
      <w:r>
        <w:rPr>
          <w:rFonts w:hint="eastAsia" w:ascii="Times New Roman" w:hAnsi="Times New Roman" w:eastAsia="仿宋_GB2312" w:cs="仿宋_GB2312"/>
          <w:b/>
          <w:bCs/>
          <w:color w:val="auto"/>
          <w:kern w:val="2"/>
          <w:sz w:val="32"/>
          <w:szCs w:val="32"/>
          <w:lang w:val="en-US" w:eastAsia="zh-CN"/>
        </w:rPr>
        <w:t>4</w:t>
      </w:r>
      <w:r>
        <w:rPr>
          <w:rFonts w:hint="eastAsia" w:ascii="仿宋_GB2312" w:hAnsi="仿宋_GB2312" w:eastAsia="仿宋_GB2312" w:cs="仿宋_GB2312"/>
          <w:b/>
          <w:bCs/>
          <w:color w:val="auto"/>
          <w:kern w:val="2"/>
          <w:sz w:val="32"/>
          <w:szCs w:val="32"/>
          <w:lang w:val="en-US" w:eastAsia="zh-CN"/>
        </w:rPr>
        <w:t>.防范化解财政风险，筑牢安全底线思维</w:t>
      </w:r>
    </w:p>
    <w:p>
      <w:pPr>
        <w:pStyle w:val="21"/>
        <w:keepNext w:val="0"/>
        <w:keepLines w:val="0"/>
        <w:pageBreakBefore w:val="0"/>
        <w:widowControl w:val="0"/>
        <w:numPr>
          <w:ilvl w:val="0"/>
          <w:numId w:val="0"/>
        </w:numPr>
        <w:pBdr>
          <w:bottom w:val="single" w:color="FFFFFF" w:sz="4" w:space="31"/>
        </w:pBdr>
        <w:kinsoku/>
        <w:overflowPunct/>
        <w:topLinePunct w:val="0"/>
        <w:autoSpaceDN/>
        <w:bidi w:val="0"/>
        <w:adjustRightInd/>
        <w:snapToGrid/>
        <w:spacing w:line="578" w:lineRule="exact"/>
        <w:ind w:firstLine="640" w:firstLineChars="200"/>
        <w:textAlignment w:val="auto"/>
        <w:rPr>
          <w:rFonts w:hint="eastAsia" w:ascii="Times New Roman" w:hAnsi="Times New Roman" w:eastAsia="仿宋_GB2312" w:cs="仿宋_GB2312"/>
          <w:color w:val="auto"/>
          <w:kern w:val="2"/>
          <w:sz w:val="32"/>
          <w:szCs w:val="32"/>
          <w:lang w:val="en-US" w:eastAsia="zh-CN"/>
        </w:rPr>
      </w:pPr>
      <w:r>
        <w:rPr>
          <w:rFonts w:hint="eastAsia" w:ascii="Times New Roman" w:hAnsi="Times New Roman" w:eastAsia="仿宋_GB2312" w:cs="仿宋_GB2312"/>
          <w:color w:val="auto"/>
          <w:kern w:val="2"/>
          <w:sz w:val="32"/>
          <w:szCs w:val="32"/>
          <w:lang w:val="en-US" w:eastAsia="zh-CN"/>
        </w:rPr>
        <w:t>树立全岛封关下的财政安全观，严格执行人大批准的预算，坚决杜绝无预算支出。针对经责审计、财经专项检查、常规财务审计发现的各类问题，逐项分析具体情况，严格督导各预算单位整改落实到位。加强自贸港财税风险防控，防范化解债务风险，加强债券资金绩效管理，及时跟踪监控资金使用情况，督促主体单位合理安排债务资金支出进度。全面加强财会监督，聚焦财经纪律重点问题，强化财税政策落实、财经纪律执行等重点领域监督，加强财会监督与人大监督、纪检监督、审计监督等监督的贯通协调，牢牢守住不发生系统性风险底线。</w:t>
      </w:r>
    </w:p>
    <w:p>
      <w:pPr>
        <w:rPr>
          <w:rFonts w:hint="eastAsia"/>
          <w:lang w:val="en-US" w:eastAsia="zh-CN"/>
        </w:rPr>
      </w:pPr>
    </w:p>
    <w:sectPr>
      <w:footerReference r:id="rId3" w:type="default"/>
      <w:pgSz w:w="11906" w:h="16838"/>
      <w:pgMar w:top="2098" w:right="1417" w:bottom="1928"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9"/>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0"/>
  <w:drawingGridVerticalSpacing w:val="159"/>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MTUzZWFmYjI5Njc5NDAwZjAzNWU5NzcwZjlkNTkifQ=="/>
  </w:docVars>
  <w:rsids>
    <w:rsidRoot w:val="00000000"/>
    <w:rsid w:val="005F74AB"/>
    <w:rsid w:val="027C6AF2"/>
    <w:rsid w:val="02C013D6"/>
    <w:rsid w:val="04E100A2"/>
    <w:rsid w:val="06490D54"/>
    <w:rsid w:val="064B6E96"/>
    <w:rsid w:val="06F23D4B"/>
    <w:rsid w:val="08EA6C4B"/>
    <w:rsid w:val="09AB19EC"/>
    <w:rsid w:val="09B616FE"/>
    <w:rsid w:val="09FC66EA"/>
    <w:rsid w:val="0A221D4F"/>
    <w:rsid w:val="0B95451B"/>
    <w:rsid w:val="0C40514D"/>
    <w:rsid w:val="0E595400"/>
    <w:rsid w:val="0E7C3B00"/>
    <w:rsid w:val="0FBB42AE"/>
    <w:rsid w:val="11FF6A7D"/>
    <w:rsid w:val="125263FE"/>
    <w:rsid w:val="128E0F3F"/>
    <w:rsid w:val="14885A7B"/>
    <w:rsid w:val="149E565C"/>
    <w:rsid w:val="150A3BB1"/>
    <w:rsid w:val="19146660"/>
    <w:rsid w:val="19F854CF"/>
    <w:rsid w:val="1B7E0981"/>
    <w:rsid w:val="1C7A36C6"/>
    <w:rsid w:val="1DDA041C"/>
    <w:rsid w:val="1FE92D0C"/>
    <w:rsid w:val="21413AD8"/>
    <w:rsid w:val="21B62133"/>
    <w:rsid w:val="246B0498"/>
    <w:rsid w:val="288319E7"/>
    <w:rsid w:val="28B72A60"/>
    <w:rsid w:val="28BB3B26"/>
    <w:rsid w:val="290F362D"/>
    <w:rsid w:val="2B524E38"/>
    <w:rsid w:val="2C7C663B"/>
    <w:rsid w:val="2CCB468B"/>
    <w:rsid w:val="2D2A5DFE"/>
    <w:rsid w:val="2D952C1A"/>
    <w:rsid w:val="2DE61EDA"/>
    <w:rsid w:val="2E4048D4"/>
    <w:rsid w:val="2EC234F8"/>
    <w:rsid w:val="2F387750"/>
    <w:rsid w:val="2F4E427F"/>
    <w:rsid w:val="2FF974D7"/>
    <w:rsid w:val="310773E6"/>
    <w:rsid w:val="31741628"/>
    <w:rsid w:val="31875218"/>
    <w:rsid w:val="326C725D"/>
    <w:rsid w:val="32EF4688"/>
    <w:rsid w:val="331E00A3"/>
    <w:rsid w:val="33A0302E"/>
    <w:rsid w:val="34016987"/>
    <w:rsid w:val="35875890"/>
    <w:rsid w:val="36DB0FAB"/>
    <w:rsid w:val="38096D91"/>
    <w:rsid w:val="3A574716"/>
    <w:rsid w:val="3A797E95"/>
    <w:rsid w:val="3CDC0B41"/>
    <w:rsid w:val="3E9E05F6"/>
    <w:rsid w:val="3F994FCF"/>
    <w:rsid w:val="424F3E96"/>
    <w:rsid w:val="43591030"/>
    <w:rsid w:val="46EE7F95"/>
    <w:rsid w:val="470E421C"/>
    <w:rsid w:val="4712554B"/>
    <w:rsid w:val="4A3967BC"/>
    <w:rsid w:val="4A6B088A"/>
    <w:rsid w:val="4B574EEC"/>
    <w:rsid w:val="4BF2708C"/>
    <w:rsid w:val="4F9B4B36"/>
    <w:rsid w:val="4FBA073F"/>
    <w:rsid w:val="500E5CC3"/>
    <w:rsid w:val="51985C7B"/>
    <w:rsid w:val="52823CA7"/>
    <w:rsid w:val="55175393"/>
    <w:rsid w:val="55E84F6A"/>
    <w:rsid w:val="58583885"/>
    <w:rsid w:val="58DB3810"/>
    <w:rsid w:val="58EE1BCB"/>
    <w:rsid w:val="591C5A46"/>
    <w:rsid w:val="598F2114"/>
    <w:rsid w:val="5A9540AB"/>
    <w:rsid w:val="5BE61CE3"/>
    <w:rsid w:val="5C731345"/>
    <w:rsid w:val="5F3F04F8"/>
    <w:rsid w:val="61206652"/>
    <w:rsid w:val="61B72C6D"/>
    <w:rsid w:val="61FE48C9"/>
    <w:rsid w:val="63FC189C"/>
    <w:rsid w:val="64342E2B"/>
    <w:rsid w:val="64F83448"/>
    <w:rsid w:val="651A3199"/>
    <w:rsid w:val="660A328C"/>
    <w:rsid w:val="660B0339"/>
    <w:rsid w:val="69037C3C"/>
    <w:rsid w:val="6A0A6F1B"/>
    <w:rsid w:val="6A5765A3"/>
    <w:rsid w:val="6DA80669"/>
    <w:rsid w:val="6E45719C"/>
    <w:rsid w:val="6F677ECC"/>
    <w:rsid w:val="6FB63781"/>
    <w:rsid w:val="703C175A"/>
    <w:rsid w:val="70711D9A"/>
    <w:rsid w:val="70EE4841"/>
    <w:rsid w:val="71076E33"/>
    <w:rsid w:val="75155128"/>
    <w:rsid w:val="763E3CC5"/>
    <w:rsid w:val="77133B90"/>
    <w:rsid w:val="782E05C7"/>
    <w:rsid w:val="7A8A3EFD"/>
    <w:rsid w:val="7A945608"/>
    <w:rsid w:val="7BFF7C7F"/>
    <w:rsid w:val="7CF55846"/>
    <w:rsid w:val="7D1D732F"/>
    <w:rsid w:val="7D3F7C7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paragraph" w:styleId="3">
    <w:name w:val="heading 2"/>
    <w:basedOn w:val="1"/>
    <w:next w:val="1"/>
    <w:qFormat/>
    <w:uiPriority w:val="0"/>
    <w:pPr>
      <w:autoSpaceDE w:val="0"/>
      <w:adjustRightInd w:val="0"/>
      <w:spacing w:line="560" w:lineRule="exact"/>
      <w:ind w:left="178" w:leftChars="85"/>
      <w:jc w:val="left"/>
      <w:outlineLvl w:val="1"/>
    </w:pPr>
    <w:rPr>
      <w:sz w:val="24"/>
      <w:szCs w:val="32"/>
    </w:rPr>
  </w:style>
  <w:style w:type="paragraph" w:styleId="4">
    <w:name w:val="heading 3"/>
    <w:basedOn w:val="1"/>
    <w:next w:val="1"/>
    <w:unhideWhenUsed/>
    <w:qFormat/>
    <w:uiPriority w:val="9"/>
    <w:pPr>
      <w:keepNext/>
      <w:keepLines/>
      <w:spacing w:before="260" w:after="260" w:line="360" w:lineRule="auto"/>
      <w:outlineLvl w:val="2"/>
    </w:pPr>
    <w:rPr>
      <w:rFonts w:ascii="Times New Roman" w:hAnsi="Times New Roman" w:eastAsia="宋体" w:cs="Times New Roman"/>
      <w:sz w:val="21"/>
    </w:rPr>
  </w:style>
  <w:style w:type="character" w:default="1" w:styleId="15">
    <w:name w:val="Default Paragraph Font"/>
    <w:qFormat/>
    <w:uiPriority w:val="0"/>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next w:val="1"/>
    <w:unhideWhenUsed/>
    <w:qFormat/>
    <w:uiPriority w:val="99"/>
    <w:pPr>
      <w:ind w:firstLine="420" w:firstLineChars="200"/>
    </w:pPr>
  </w:style>
  <w:style w:type="paragraph" w:styleId="5">
    <w:name w:val="annotation text"/>
    <w:basedOn w:val="1"/>
    <w:qFormat/>
    <w:uiPriority w:val="0"/>
    <w:pPr>
      <w:jc w:val="left"/>
    </w:pPr>
  </w:style>
  <w:style w:type="paragraph" w:styleId="6">
    <w:name w:val="Salutation"/>
    <w:basedOn w:val="1"/>
    <w:next w:val="1"/>
    <w:qFormat/>
    <w:uiPriority w:val="0"/>
    <w:pPr>
      <w:tabs>
        <w:tab w:val="left" w:pos="3544"/>
      </w:tabs>
    </w:pPr>
  </w:style>
  <w:style w:type="paragraph" w:styleId="7">
    <w:name w:val="Body Text"/>
    <w:basedOn w:val="1"/>
    <w:next w:val="8"/>
    <w:qFormat/>
    <w:uiPriority w:val="0"/>
    <w:pPr>
      <w:spacing w:after="120" w:afterAutospacing="0"/>
    </w:p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footnote text"/>
    <w:basedOn w:val="1"/>
    <w:qFormat/>
    <w:uiPriority w:val="0"/>
    <w:pPr>
      <w:snapToGrid w:val="0"/>
      <w:jc w:val="left"/>
    </w:pPr>
    <w:rPr>
      <w:sz w:val="18"/>
    </w:rPr>
  </w:style>
  <w:style w:type="paragraph" w:styleId="11">
    <w:name w:val="toc 2"/>
    <w:basedOn w:val="1"/>
    <w:next w:val="1"/>
    <w:qFormat/>
    <w:uiPriority w:val="0"/>
    <w:pPr>
      <w:ind w:left="420" w:leftChars="200"/>
    </w:pPr>
  </w:style>
  <w:style w:type="paragraph" w:styleId="12">
    <w:name w:val="Normal (Web)"/>
    <w:basedOn w:val="1"/>
    <w:qFormat/>
    <w:uiPriority w:val="99"/>
    <w:pPr>
      <w:spacing w:beforeAutospacing="1" w:afterAutospacing="1"/>
      <w:jc w:val="left"/>
    </w:pPr>
    <w:rPr>
      <w:rFonts w:cs="Times New Roman"/>
      <w:kern w:val="0"/>
      <w:sz w:val="24"/>
    </w:rPr>
  </w:style>
  <w:style w:type="paragraph" w:styleId="13">
    <w:name w:val="Body Text First Indent"/>
    <w:basedOn w:val="7"/>
    <w:qFormat/>
    <w:uiPriority w:val="0"/>
    <w:pPr>
      <w:widowControl w:val="0"/>
      <w:spacing w:before="0" w:beforeAutospacing="0" w:after="120" w:afterAutospacing="0"/>
      <w:ind w:left="0" w:right="0" w:firstLine="420" w:firstLineChars="100"/>
      <w:jc w:val="both"/>
    </w:pPr>
    <w:rPr>
      <w:rFonts w:hint="default" w:ascii="Calibri" w:hAnsi="Calibri" w:eastAsia="宋体" w:cs="Times New Roman"/>
      <w:kern w:val="2"/>
      <w:sz w:val="21"/>
      <w:szCs w:val="24"/>
      <w:lang w:val="en-US" w:eastAsia="zh-CN"/>
    </w:rPr>
  </w:style>
  <w:style w:type="character" w:styleId="16">
    <w:name w:val="Strong"/>
    <w:basedOn w:val="15"/>
    <w:qFormat/>
    <w:uiPriority w:val="0"/>
    <w:rPr>
      <w:b/>
    </w:rPr>
  </w:style>
  <w:style w:type="character" w:styleId="17">
    <w:name w:val="page number"/>
    <w:basedOn w:val="15"/>
    <w:qFormat/>
    <w:uiPriority w:val="0"/>
  </w:style>
  <w:style w:type="paragraph" w:customStyle="1" w:styleId="18">
    <w:name w:val="报告正文"/>
    <w:basedOn w:val="1"/>
    <w:qFormat/>
    <w:uiPriority w:val="0"/>
    <w:pPr>
      <w:ind w:firstLine="200"/>
    </w:pPr>
  </w:style>
  <w:style w:type="paragraph" w:customStyle="1" w:styleId="19">
    <w:name w:val="Heading3"/>
    <w:basedOn w:val="1"/>
    <w:next w:val="1"/>
    <w:qFormat/>
    <w:uiPriority w:val="0"/>
    <w:pPr>
      <w:keepNext/>
      <w:keepLines/>
      <w:spacing w:before="260" w:after="260" w:line="416" w:lineRule="auto"/>
      <w:jc w:val="both"/>
    </w:pPr>
    <w:rPr>
      <w:rFonts w:ascii="仿宋_GB2312" w:eastAsia="仿宋_GB2312" w:cs="Times New Roman"/>
      <w:b/>
      <w:bCs/>
      <w:kern w:val="2"/>
      <w:sz w:val="32"/>
      <w:szCs w:val="32"/>
      <w:lang w:val="en-US" w:eastAsia="zh-CN" w:bidi="ar-SA"/>
    </w:rPr>
  </w:style>
  <w:style w:type="paragraph" w:customStyle="1" w:styleId="20">
    <w:name w:val="UserStyle_0"/>
    <w:qFormat/>
    <w:uiPriority w:val="0"/>
    <w:rPr>
      <w:rFonts w:ascii="宋体" w:hAnsi="Calibri" w:eastAsia="宋体" w:cs="Times New Roman"/>
      <w:color w:val="000000"/>
      <w:sz w:val="24"/>
      <w:szCs w:val="24"/>
      <w:lang w:val="en-US" w:eastAsia="zh-CN" w:bidi="ar-SA"/>
    </w:rPr>
  </w:style>
  <w:style w:type="paragraph" w:customStyle="1" w:styleId="21">
    <w:name w:val="p16"/>
    <w:basedOn w:val="1"/>
    <w:qFormat/>
    <w:uiPriority w:val="0"/>
    <w:pPr>
      <w:widowControl/>
    </w:pPr>
    <w:rPr>
      <w:rFonts w:ascii="仿宋_GB2312" w:hAnsi="宋体" w:eastAsia="仿宋_GB2312" w:cs="宋体"/>
      <w:kern w:val="0"/>
      <w:sz w:val="32"/>
      <w:szCs w:val="32"/>
    </w:rPr>
  </w:style>
  <w:style w:type="character" w:customStyle="1" w:styleId="22">
    <w:name w:val="big1"/>
    <w:qFormat/>
    <w:uiPriority w:val="0"/>
    <w:rPr>
      <w:sz w:val="21"/>
      <w:szCs w:val="21"/>
    </w:rPr>
  </w:style>
  <w:style w:type="character" w:customStyle="1" w:styleId="23">
    <w:name w:val="bumpedfont15"/>
    <w:basedOn w:val="15"/>
    <w:qFormat/>
    <w:uiPriority w:val="0"/>
    <w:rPr>
      <w:rFonts w:cs="Times New Roman"/>
    </w:rPr>
  </w:style>
  <w:style w:type="character" w:customStyle="1" w:styleId="24">
    <w:name w:val="NormalCharacter"/>
    <w:qFormat/>
    <w:uiPriority w:val="0"/>
    <w:rPr>
      <w:rFonts w:ascii="Calibri" w:hAnsi="Calibri" w:eastAsia="宋体" w:cs="宋体"/>
      <w:kern w:val="2"/>
      <w:sz w:val="21"/>
      <w:szCs w:val="24"/>
      <w:lang w:val="en-US" w:eastAsia="zh-CN" w:bidi="ar-SA"/>
    </w:rPr>
  </w:style>
  <w:style w:type="paragraph" w:customStyle="1" w:styleId="25">
    <w:name w:val="可表头"/>
    <w:basedOn w:val="1"/>
    <w:qFormat/>
    <w:uiPriority w:val="0"/>
    <w:pPr>
      <w:autoSpaceDE w:val="0"/>
      <w:autoSpaceDN w:val="0"/>
      <w:adjustRightInd w:val="0"/>
      <w:spacing w:line="360" w:lineRule="auto"/>
      <w:ind w:firstLine="0" w:firstLineChars="0"/>
      <w:jc w:val="center"/>
    </w:pPr>
    <w:rPr>
      <w:rFonts w:ascii="宋体" w:hAnsi="宋体" w:eastAsia="宋体" w:cs="宋体"/>
      <w:b/>
      <w:sz w:val="24"/>
      <w:szCs w:val="24"/>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6501</Words>
  <Characters>6828</Characters>
  <Lines>0</Lines>
  <Paragraphs>77</Paragraphs>
  <TotalTime>3</TotalTime>
  <ScaleCrop>false</ScaleCrop>
  <LinksUpToDate>false</LinksUpToDate>
  <CharactersWithSpaces>6871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2023-01-02T20:56:00Z</dcterms:created>
  <dc:creator>86188</dc:creator>
  <cp:lastModifiedBy>Administrator</cp:lastModifiedBy>
  <cp:lastPrinted>2026-01-12T02:16:00Z</cp:lastPrinted>
  <dcterms:modified xsi:type="dcterms:W3CDTF">2026-02-28T02:47:04Z</dcterms:modified>
  <dc:title>吉阳区届人大</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8232183CE1724F92B73F5F3D962A8C37_13</vt:lpwstr>
  </property>
</Properties>
</file>