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3C18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14:paraId="53889972">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社会团体</w:t>
      </w:r>
      <w:r>
        <w:rPr>
          <w:rFonts w:hint="eastAsia" w:ascii="方正小标宋简体" w:hAnsi="方正小标宋简体" w:eastAsia="方正小标宋简体" w:cs="方正小标宋简体"/>
          <w:color w:val="auto"/>
          <w:sz w:val="44"/>
          <w:szCs w:val="44"/>
        </w:rPr>
        <w:t>年检</w:t>
      </w:r>
      <w:r>
        <w:rPr>
          <w:rFonts w:hint="eastAsia" w:ascii="方正小标宋简体" w:hAnsi="方正小标宋简体" w:eastAsia="方正小标宋简体" w:cs="方正小标宋简体"/>
          <w:color w:val="auto"/>
          <w:sz w:val="44"/>
          <w:szCs w:val="44"/>
          <w:lang w:val="en-US" w:eastAsia="zh-CN"/>
        </w:rPr>
        <w:t>须知</w:t>
      </w:r>
    </w:p>
    <w:p w14:paraId="03CDEB15">
      <w:pPr>
        <w:pStyle w:val="2"/>
        <w:rPr>
          <w:rFonts w:hint="eastAsia"/>
          <w:color w:val="auto"/>
          <w:lang w:val="en-US" w:eastAsia="zh-CN"/>
        </w:rPr>
      </w:pPr>
    </w:p>
    <w:p w14:paraId="77E1AB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年检程序</w:t>
      </w:r>
    </w:p>
    <w:p w14:paraId="191BDA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（一）网上填报材料</w:t>
      </w:r>
    </w:p>
    <w:p w14:paraId="18657C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级社会团体登录民政一体化政务服务平台(https://zwfw.mca.gov.cn/)访问“法人服务”的“社会团体年检年报”，即可在线填写《年度工作报告书》。尚未注册民政一体化政务服务平台账户的社会组织，应当先进行实名注册法人账号后，再进行年检材料填报、上传。</w:t>
      </w:r>
    </w:p>
    <w:p w14:paraId="593345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报送</w:t>
      </w:r>
      <w:r>
        <w:rPr>
          <w:rFonts w:hint="eastAsia" w:ascii="楷体" w:hAnsi="楷体" w:eastAsia="楷体" w:cs="楷体"/>
          <w:color w:val="auto"/>
          <w:sz w:val="32"/>
          <w:szCs w:val="32"/>
          <w:lang w:val="en-US" w:eastAsia="zh-CN"/>
        </w:rPr>
        <w:t>纸质</w:t>
      </w:r>
      <w:r>
        <w:rPr>
          <w:rFonts w:hint="eastAsia" w:ascii="楷体" w:hAnsi="楷体" w:eastAsia="楷体" w:cs="楷体"/>
          <w:color w:val="auto"/>
          <w:sz w:val="32"/>
          <w:szCs w:val="32"/>
        </w:rPr>
        <w:t>材料</w:t>
      </w:r>
    </w:p>
    <w:p w14:paraId="7F1A66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社会团体在网上填报资料并提交，待系统接收通过后，将年度工作报告书及年检所需其他材料打印成纸质版</w:t>
      </w: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val="en-US" w:eastAsia="zh-CN"/>
        </w:rPr>
        <w:t>法定代表人签字、财务负责人签字并加盖单位公</w:t>
      </w:r>
      <w:r>
        <w:rPr>
          <w:rFonts w:hint="eastAsia" w:ascii="仿宋_GB2312" w:hAnsi="仿宋_GB2312" w:eastAsia="仿宋_GB2312" w:cs="仿宋_GB2312"/>
          <w:color w:val="auto"/>
          <w:sz w:val="32"/>
          <w:szCs w:val="32"/>
        </w:rPr>
        <w:t>章后，先报送业务主管单位初审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直接登记和已脱钩的社会团体直接报送至区民政局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业务主管单位审核后，在《年度工作报告书》上明确作出“合格”“基本合格”或“不合格”的初审结论并加盖单位公章（仅盖章无明确意见的，将予以退回）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社会团体将经业务主管单位出具初审意见并加盖印章的年度报告书以及其他需要提交的材料</w:t>
      </w:r>
      <w:r>
        <w:rPr>
          <w:rFonts w:hint="eastAsia" w:ascii="仿宋_GB2312" w:hAnsi="仿宋_GB2312" w:eastAsia="仿宋_GB2312" w:cs="仿宋_GB2312"/>
          <w:color w:val="auto"/>
          <w:sz w:val="32"/>
          <w:szCs w:val="32"/>
        </w:rPr>
        <w:t>报送</w:t>
      </w:r>
      <w:r>
        <w:rPr>
          <w:rFonts w:hint="eastAsia" w:ascii="仿宋_GB2312" w:hAnsi="仿宋_GB2312" w:eastAsia="仿宋_GB2312" w:cs="仿宋_GB2312"/>
          <w:color w:val="auto"/>
          <w:sz w:val="32"/>
          <w:szCs w:val="32"/>
          <w:lang w:val="en-US" w:eastAsia="zh-CN"/>
        </w:rPr>
        <w:t>三亚市吉阳区民政局。</w:t>
      </w:r>
    </w:p>
    <w:p w14:paraId="70E9564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（三）登记机关审查。</w:t>
      </w:r>
      <w:r>
        <w:rPr>
          <w:rFonts w:hint="eastAsia" w:ascii="仿宋_GB2312" w:hAnsi="仿宋_GB2312" w:eastAsia="仿宋_GB2312" w:cs="仿宋_GB2312"/>
          <w:color w:val="auto"/>
          <w:sz w:val="32"/>
          <w:szCs w:val="32"/>
          <w:lang w:val="en-US" w:eastAsia="zh-CN"/>
        </w:rPr>
        <w:t>区民政局将对报送的年检材料进行审查，必要时开展实地检查；对年检中发现问题的市级社会团体，将视情节依法采取相应处理措施。</w:t>
      </w:r>
    </w:p>
    <w:p w14:paraId="7F43B8D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color w:val="auto"/>
          <w:sz w:val="32"/>
          <w:szCs w:val="32"/>
          <w:lang w:val="en-US" w:eastAsia="zh-CN"/>
        </w:rPr>
        <w:t>（四）出具年检结论。</w:t>
      </w:r>
      <w:r>
        <w:rPr>
          <w:rFonts w:hint="eastAsia" w:ascii="仿宋_GB2312" w:hAnsi="仿宋_GB2312" w:eastAsia="仿宋_GB2312" w:cs="仿宋_GB2312"/>
          <w:color w:val="auto"/>
          <w:sz w:val="32"/>
          <w:szCs w:val="32"/>
          <w:lang w:val="en-US" w:eastAsia="zh-CN"/>
        </w:rPr>
        <w:t>区民政局在“民政一体化政务服务平台”完成审批并作出年检结论，系统显示“办结”后，将在社会团体法人登记证书（副本）上加盖年检结论印鉴。</w:t>
      </w:r>
    </w:p>
    <w:p w14:paraId="1569DB41">
      <w:pPr>
        <w:pStyle w:val="2"/>
        <w:keepNext w:val="0"/>
        <w:keepLines w:val="0"/>
        <w:pageBreakBefore w:val="0"/>
        <w:widowControl w:val="0"/>
        <w:kinsoku/>
        <w:wordWrap/>
        <w:overflowPunct/>
        <w:topLinePunct w:val="0"/>
        <w:autoSpaceDE/>
        <w:autoSpaceDN/>
        <w:bidi w:val="0"/>
        <w:adjustRightInd/>
        <w:snapToGrid/>
        <w:ind w:left="420" w:firstLine="643"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【有关注意事项】</w:t>
      </w:r>
    </w:p>
    <w:p w14:paraId="1F1F0C6A">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1、年检流程：登录年报系统——填写完成——提交——通过——打印，打印出来的纸质材料请再次逐字逐句检查是否有误！未通过的可在系统中点击“查看进度”查看原因。</w:t>
      </w:r>
    </w:p>
    <w:p w14:paraId="0B4D26D9">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2、打印要求：双面打印，不要单面打印；有页码有水印；打印整个系统的所有材料（有盖章地方需要盖章，有签字的地方需要签字，每份材料请盖骑缝章）</w:t>
      </w:r>
    </w:p>
    <w:p w14:paraId="633637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二、年检</w:t>
      </w:r>
      <w:r>
        <w:rPr>
          <w:rFonts w:hint="eastAsia" w:ascii="黑体" w:hAnsi="黑体" w:eastAsia="黑体" w:cs="黑体"/>
          <w:color w:val="auto"/>
          <w:sz w:val="32"/>
          <w:szCs w:val="32"/>
        </w:rPr>
        <w:t>材料</w:t>
      </w:r>
    </w:p>
    <w:p w14:paraId="014BD6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1.《社会团体年度工作报告书》（原件一式</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份，须经社会团体盖章、法定代表人签字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财务负责人在财务会计报告处签字</w:t>
      </w:r>
      <w:r>
        <w:rPr>
          <w:rFonts w:hint="eastAsia" w:ascii="仿宋_GB2312" w:hAnsi="仿宋_GB2312" w:eastAsia="仿宋_GB2312" w:cs="仿宋_GB2312"/>
          <w:color w:val="auto"/>
          <w:sz w:val="32"/>
          <w:szCs w:val="32"/>
        </w:rPr>
        <w:t>）</w:t>
      </w:r>
    </w:p>
    <w:p w14:paraId="2A482748">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年度审计报告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本年度</w:t>
      </w:r>
      <w:r>
        <w:rPr>
          <w:rFonts w:hint="eastAsia" w:ascii="仿宋_GB2312" w:hAnsi="仿宋_GB2312" w:eastAsia="仿宋_GB2312" w:cs="仿宋_GB2312"/>
          <w:sz w:val="32"/>
          <w:szCs w:val="32"/>
          <w:lang w:eastAsia="zh-CN"/>
        </w:rPr>
        <w:t>有政府拨款或接受捐赠的社会团体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会计师事务所出具的年度审计报告中需予以体现）；</w:t>
      </w:r>
    </w:p>
    <w:p w14:paraId="1C6A0EE8">
      <w:pPr>
        <w:pStyle w:val="2"/>
        <w:ind w:left="0" w:leftChars="0" w:firstLine="0" w:firstLineChars="0"/>
        <w:rPr>
          <w:rFonts w:hint="eastAsia" w:eastAsia="等线"/>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color w:val="auto"/>
          <w:sz w:val="32"/>
          <w:szCs w:val="32"/>
          <w:lang w:val="en-US" w:eastAsia="zh-CN"/>
        </w:rPr>
        <w:t xml:space="preserve"> 3</w:t>
      </w:r>
      <w:r>
        <w:rPr>
          <w:rFonts w:hint="eastAsia" w:ascii="仿宋_GB2312" w:hAnsi="仿宋_GB2312" w:eastAsia="仿宋_GB2312" w:cs="仿宋_GB2312"/>
          <w:b w:val="0"/>
          <w:bCs/>
          <w:color w:val="auto"/>
          <w:sz w:val="32"/>
          <w:szCs w:val="32"/>
        </w:rPr>
        <w:t>.《社会团体法人登记证书》副本原件；</w:t>
      </w:r>
    </w:p>
    <w:p w14:paraId="417E6241">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color w:val="auto"/>
          <w:kern w:val="2"/>
          <w:sz w:val="32"/>
          <w:szCs w:val="32"/>
          <w:lang w:val="en-US" w:eastAsia="zh-CN" w:bidi="ar-SA"/>
        </w:rPr>
        <w:t>4.其他需要提交的有关材料</w:t>
      </w:r>
    </w:p>
    <w:p w14:paraId="1D8F3B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仿宋_GB2312" w:hAnsi="仿宋_GB2312" w:eastAsia="仿宋_GB2312" w:cs="仿宋_GB2312"/>
          <w:color w:val="auto"/>
          <w:sz w:val="32"/>
          <w:szCs w:val="32"/>
          <w:lang w:val="en-US" w:eastAsia="zh-CN"/>
        </w:rPr>
        <w:t>（1）最新</w:t>
      </w:r>
      <w:r>
        <w:rPr>
          <w:rFonts w:hint="eastAsia" w:ascii="仿宋_GB2312" w:hAnsi="仿宋_GB2312" w:eastAsia="仿宋_GB2312" w:cs="仿宋_GB2312"/>
          <w:color w:val="auto"/>
          <w:sz w:val="32"/>
          <w:szCs w:val="32"/>
        </w:rPr>
        <w:t>会员花名册</w:t>
      </w:r>
      <w:r>
        <w:rPr>
          <w:rFonts w:hint="eastAsia" w:ascii="仿宋_GB2312" w:hAnsi="仿宋_GB2312" w:eastAsia="仿宋_GB2312" w:cs="仿宋_GB2312"/>
          <w:color w:val="auto"/>
          <w:sz w:val="32"/>
          <w:szCs w:val="32"/>
          <w:lang w:val="en-US" w:eastAsia="zh-CN"/>
        </w:rPr>
        <w:t>和会费标准</w:t>
      </w:r>
      <w:r>
        <w:rPr>
          <w:rFonts w:hint="eastAsia" w:ascii="仿宋_GB2312" w:hAnsi="仿宋_GB2312" w:eastAsia="仿宋_GB2312" w:cs="仿宋_GB2312"/>
          <w:color w:val="auto"/>
          <w:sz w:val="32"/>
          <w:szCs w:val="32"/>
          <w:lang w:eastAsia="zh-CN"/>
        </w:rPr>
        <w:t>；</w:t>
      </w:r>
    </w:p>
    <w:p w14:paraId="35F33F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（2）三亚市吉阳区社会组织党建摸排情况表（详见附件）；</w:t>
      </w:r>
    </w:p>
    <w:p w14:paraId="61CE39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（3）最新版社会团体章程；</w:t>
      </w:r>
      <w:bookmarkStart w:id="0" w:name="_GoBack"/>
      <w:bookmarkEnd w:id="0"/>
    </w:p>
    <w:p w14:paraId="5AAEE1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登记管理机关依据具体情况要求提交的其他材料。</w:t>
      </w:r>
    </w:p>
    <w:p w14:paraId="117863F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注意事项：</w:t>
      </w:r>
    </w:p>
    <w:p w14:paraId="572EB6A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以上材料，除《社会团体年度工作报告书》《社会团体法人登记证书》副本原件外，需作为附件材料上传至民政一体化政务服务年检平台。</w:t>
      </w:r>
    </w:p>
    <w:p w14:paraId="4C7AA3B0">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以上材料均报送纸质材料，其中</w:t>
      </w:r>
      <w:r>
        <w:rPr>
          <w:rFonts w:hint="eastAsia" w:ascii="仿宋_GB2312" w:hAnsi="仿宋_GB2312" w:eastAsia="仿宋_GB2312" w:cs="仿宋_GB2312"/>
          <w:b/>
          <w:bCs/>
          <w:color w:val="auto"/>
          <w:sz w:val="32"/>
          <w:szCs w:val="32"/>
        </w:rPr>
        <w:t>复印件、表格、其他材料等需加盖公章</w:t>
      </w:r>
      <w:r>
        <w:rPr>
          <w:rFonts w:hint="eastAsia" w:ascii="仿宋_GB2312" w:hAnsi="仿宋_GB2312" w:eastAsia="仿宋_GB2312" w:cs="仿宋_GB2312"/>
          <w:b/>
          <w:bCs/>
          <w:color w:val="auto"/>
          <w:sz w:val="32"/>
          <w:szCs w:val="32"/>
          <w:lang w:eastAsia="zh-CN"/>
        </w:rPr>
        <w:t>。</w:t>
      </w:r>
    </w:p>
    <w:p w14:paraId="211E19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三、年检主要内容</w:t>
      </w:r>
    </w:p>
    <w:p w14:paraId="49131B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社会团体着重检查遵守法律法规和有关政策情况；是否有规范的章程和健全的规章制度；评比、表彰、收费行为是否规范；登记事项变动及履行登记手续情况，是否按时办理变更登记手续；财务状况、资金来源和使用情况，是否有独立的银行账户并按《民间非营利组织会计制度》进行独立核算；是否有专职工作人员和专用办公场所；是否按章程规定的时限换届；是否有未经批准的党政领导干部兼职或兼任了两个以上社团的法定代表人；党组织建设及开展创先争优活动情况，党建工作是否落实，具备党组织组建条件的是否及时建立了党组织，已经建立的党组织是否有效发挥作用。</w:t>
      </w:r>
    </w:p>
    <w:p w14:paraId="319BD85C">
      <w:pPr>
        <w:pStyle w:val="2"/>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 xml:space="preserve"> 四、年检结论</w:t>
      </w:r>
    </w:p>
    <w:p w14:paraId="27266A1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sz w:val="32"/>
          <w:szCs w:val="32"/>
        </w:rPr>
        <w:t>根据《</w:t>
      </w:r>
      <w:r>
        <w:rPr>
          <w:rFonts w:hint="eastAsia" w:ascii="仿宋_GB2312" w:hAnsi="仿宋_GB2312" w:eastAsia="仿宋_GB2312" w:cs="仿宋_GB2312"/>
          <w:b w:val="0"/>
          <w:bCs/>
          <w:sz w:val="32"/>
          <w:szCs w:val="32"/>
          <w:lang w:eastAsia="zh-CN"/>
        </w:rPr>
        <w:t>社会团体登记管理条例</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等</w:t>
      </w:r>
      <w:r>
        <w:rPr>
          <w:rFonts w:hint="eastAsia" w:ascii="仿宋_GB2312" w:hAnsi="仿宋_GB2312" w:eastAsia="仿宋_GB2312" w:cs="仿宋_GB2312"/>
          <w:b w:val="0"/>
          <w:bCs/>
          <w:sz w:val="32"/>
          <w:szCs w:val="32"/>
        </w:rPr>
        <w:t>法规政策，</w:t>
      </w:r>
      <w:r>
        <w:rPr>
          <w:rFonts w:hint="eastAsia" w:ascii="仿宋_GB2312" w:hAnsi="仿宋_GB2312" w:eastAsia="仿宋_GB2312" w:cs="仿宋_GB2312"/>
          <w:b w:val="0"/>
          <w:bCs/>
          <w:sz w:val="32"/>
          <w:szCs w:val="32"/>
          <w:lang w:eastAsia="zh-CN"/>
        </w:rPr>
        <w:t>社会团体</w:t>
      </w:r>
      <w:r>
        <w:rPr>
          <w:rFonts w:hint="eastAsia" w:ascii="仿宋_GB2312" w:hAnsi="仿宋_GB2312" w:eastAsia="仿宋_GB2312" w:cs="仿宋_GB2312"/>
          <w:b w:val="0"/>
          <w:bCs/>
          <w:sz w:val="32"/>
          <w:szCs w:val="32"/>
        </w:rPr>
        <w:t>年检结论分为“合格”、“基本合格”和“不合格”。</w:t>
      </w:r>
      <w:r>
        <w:rPr>
          <w:rFonts w:hint="eastAsia" w:ascii="仿宋_GB2312" w:hAnsi="仿宋_GB2312" w:eastAsia="仿宋_GB2312" w:cs="仿宋_GB2312"/>
          <w:b w:val="0"/>
          <w:bCs/>
          <w:sz w:val="32"/>
          <w:szCs w:val="32"/>
          <w:lang w:eastAsia="zh-CN"/>
        </w:rPr>
        <w:t>区民政局</w:t>
      </w:r>
      <w:r>
        <w:rPr>
          <w:rFonts w:hint="eastAsia" w:ascii="仿宋_GB2312" w:hAnsi="仿宋_GB2312" w:eastAsia="仿宋_GB2312" w:cs="仿宋_GB2312"/>
          <w:b w:val="0"/>
          <w:bCs/>
          <w:sz w:val="32"/>
          <w:szCs w:val="32"/>
        </w:rPr>
        <w:t>对</w:t>
      </w:r>
      <w:r>
        <w:rPr>
          <w:rFonts w:hint="eastAsia" w:ascii="仿宋_GB2312" w:hAnsi="仿宋_GB2312" w:eastAsia="仿宋_GB2312" w:cs="仿宋_GB2312"/>
          <w:b w:val="0"/>
          <w:bCs/>
          <w:sz w:val="32"/>
          <w:szCs w:val="32"/>
          <w:lang w:eastAsia="zh-CN"/>
        </w:rPr>
        <w:t>社会团体</w:t>
      </w:r>
      <w:r>
        <w:rPr>
          <w:rFonts w:hint="eastAsia" w:ascii="仿宋_GB2312" w:hAnsi="仿宋_GB2312" w:eastAsia="仿宋_GB2312" w:cs="仿宋_GB2312"/>
          <w:b w:val="0"/>
          <w:bCs/>
          <w:sz w:val="32"/>
          <w:szCs w:val="32"/>
        </w:rPr>
        <w:t>提交的年检材料以书面检查为主，并结合抽查审计、其他问题线索核实情况、业务主管单位初审意见等综合确定年检结论。</w:t>
      </w:r>
      <w:r>
        <w:rPr>
          <w:rFonts w:hint="eastAsia" w:ascii="仿宋_GB2312" w:hAnsi="仿宋_GB2312" w:eastAsia="仿宋_GB2312" w:cs="仿宋_GB2312"/>
          <w:b w:val="0"/>
          <w:bCs/>
          <w:sz w:val="32"/>
          <w:szCs w:val="32"/>
          <w:lang w:eastAsia="zh-CN"/>
        </w:rPr>
        <w:t>社会团体</w:t>
      </w:r>
      <w:r>
        <w:rPr>
          <w:rFonts w:hint="eastAsia" w:ascii="仿宋_GB2312" w:hAnsi="仿宋_GB2312" w:eastAsia="仿宋_GB2312" w:cs="仿宋_GB2312"/>
          <w:b w:val="0"/>
          <w:bCs/>
          <w:sz w:val="32"/>
          <w:szCs w:val="32"/>
        </w:rPr>
        <w:t>在提交年检材料前，对存在的违规事项已经自查自纠、主动先行整改或经业务主管单位来函说明存在的问题确有特殊情况的，年检时可视情从轻或免予处理。</w:t>
      </w:r>
    </w:p>
    <w:p w14:paraId="0451BF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社会团体必须遵守宪法、法律、法规和国家政策，不得反对宪法确定的基本原则，不得危害国家的统一、安全和民族的团结，不得损害国家利益、社会公共利益。如发现社会团体存在以上行为，年检结论</w:t>
      </w:r>
      <w:r>
        <w:rPr>
          <w:rFonts w:hint="eastAsia" w:ascii="仿宋_GB2312" w:hAnsi="仿宋_GB2312" w:eastAsia="仿宋_GB2312" w:cs="仿宋_GB2312"/>
          <w:color w:val="auto"/>
          <w:sz w:val="32"/>
          <w:szCs w:val="32"/>
          <w:lang w:eastAsia="zh-CN"/>
        </w:rPr>
        <w:t>“不合格”</w:t>
      </w:r>
      <w:r>
        <w:rPr>
          <w:rFonts w:hint="eastAsia" w:ascii="仿宋_GB2312" w:hAnsi="仿宋_GB2312" w:eastAsia="仿宋_GB2312" w:cs="仿宋_GB2312"/>
          <w:color w:val="auto"/>
          <w:sz w:val="32"/>
          <w:szCs w:val="32"/>
        </w:rPr>
        <w:t>。</w:t>
      </w:r>
    </w:p>
    <w:p w14:paraId="69CAFE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发现社会团体存在下列情形、情节轻微的，年检结论确定为基本合格；情节严重的，年检结论确定为不合格；存在符合《社会团体登记管理条例》罚则情形的，依法</w:t>
      </w:r>
      <w:r>
        <w:rPr>
          <w:rFonts w:hint="eastAsia" w:ascii="仿宋_GB2312" w:hAnsi="仿宋_GB2312" w:eastAsia="仿宋_GB2312" w:cs="仿宋_GB2312"/>
          <w:color w:val="auto"/>
          <w:sz w:val="32"/>
          <w:szCs w:val="32"/>
          <w:lang w:eastAsia="zh-CN"/>
        </w:rPr>
        <w:t>移交执法部门，</w:t>
      </w:r>
      <w:r>
        <w:rPr>
          <w:rFonts w:hint="eastAsia" w:ascii="仿宋_GB2312" w:hAnsi="仿宋_GB2312" w:eastAsia="仿宋_GB2312" w:cs="仿宋_GB2312"/>
          <w:color w:val="auto"/>
          <w:sz w:val="32"/>
          <w:szCs w:val="32"/>
        </w:rPr>
        <w:t>给予行政处罚：</w:t>
      </w:r>
    </w:p>
    <w:p w14:paraId="4E898F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1.未按规定建立党组织或开展党建工作的；</w:t>
      </w:r>
    </w:p>
    <w:p w14:paraId="52465B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2.未将党的建设和社会主义核心价值观写入章程的；</w:t>
      </w:r>
    </w:p>
    <w:p w14:paraId="6D3F66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年度未按照章程规定召开会员（代表）大会、理事会、常务理事会的；</w:t>
      </w:r>
    </w:p>
    <w:p w14:paraId="3F3AD3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4.未按照章程规定进行换届的；</w:t>
      </w:r>
    </w:p>
    <w:p w14:paraId="1CB489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5.主要负责人违反规定超龄、超届任职的；</w:t>
      </w:r>
    </w:p>
    <w:p w14:paraId="43F50B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6.未按照规定办理变更登记、章程核准、负责人备案手续的；</w:t>
      </w:r>
    </w:p>
    <w:p w14:paraId="6BF044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7.超出章程规定的宗旨和业务范围开展活动的；</w:t>
      </w:r>
    </w:p>
    <w:p w14:paraId="2AF4A1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8.未按规定设立或者管理分支机构、代表机构、办事机构、实体机构的；</w:t>
      </w:r>
    </w:p>
    <w:p w14:paraId="7549F9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9.未按规定制定、修改会费标准的；</w:t>
      </w:r>
    </w:p>
    <w:p w14:paraId="79C279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10.违反社会组织管理规定收取费用的；</w:t>
      </w:r>
    </w:p>
    <w:p w14:paraId="4DF849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11.财务管理或资金、资产使用存在违规情形的；</w:t>
      </w:r>
    </w:p>
    <w:p w14:paraId="237FA8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12.违反规定开展评比达标表彰活动的；</w:t>
      </w:r>
    </w:p>
    <w:p w14:paraId="3E829D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13.不具备法律法规规定社会团体法人设立条件的；</w:t>
      </w:r>
    </w:p>
    <w:p w14:paraId="0E7525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14.年度工作报告书与实际不符的；</w:t>
      </w:r>
    </w:p>
    <w:p w14:paraId="300BA0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15.报送年检材料不符合要求且未及时补正的；</w:t>
      </w:r>
    </w:p>
    <w:p w14:paraId="23599E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16.不按规定接受或配合登记管理机关监督检查的；</w:t>
      </w:r>
    </w:p>
    <w:p w14:paraId="6600A7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17.202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年度因违法违规事项被登记管理机关给予行政处罚的；</w:t>
      </w:r>
    </w:p>
    <w:p w14:paraId="6AADAC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18.牵头成立非法社会组织或者与非法社会组织开展活动的；</w:t>
      </w:r>
    </w:p>
    <w:p w14:paraId="1D6F0C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19.未遵守非营利活动准则的；</w:t>
      </w:r>
    </w:p>
    <w:p w14:paraId="63AA88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20.其他违反国家关于社会组织登记管理的法律法规政策规定和社会团体章程行为的。</w:t>
      </w:r>
    </w:p>
    <w:p w14:paraId="124617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未发现社会团体存在上述违规情形或违规情节轻微已及时纠正的，年检结论确定为合格。</w:t>
      </w:r>
    </w:p>
    <w:p w14:paraId="18255E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社会团体对存在的违规事项及时完成整改的，年检时可以视情节从轻或者免予处理。社会团体年检结论公布后，如发现存在影响当年年检结论情形的，年检结论将予以重新确定。</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ˎ̥">
    <w:altName w:val="宋体"/>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F7EE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8D0AB">
                          <w:pPr>
                            <w:pStyle w:val="3"/>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28D0AB">
                    <w:pPr>
                      <w:pStyle w:val="3"/>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F10C45"/>
    <w:multiLevelType w:val="singleLevel"/>
    <w:tmpl w:val="65F10C4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lZjE1ZDhhYTI2NDZhYmJmMWI5ODJhZDE4YmEzNzUifQ=="/>
  </w:docVars>
  <w:rsids>
    <w:rsidRoot w:val="22367993"/>
    <w:rsid w:val="0054392D"/>
    <w:rsid w:val="022C388C"/>
    <w:rsid w:val="025E05D3"/>
    <w:rsid w:val="02C735BD"/>
    <w:rsid w:val="07126147"/>
    <w:rsid w:val="08A915C9"/>
    <w:rsid w:val="0A1149F7"/>
    <w:rsid w:val="0BFC5617"/>
    <w:rsid w:val="0C105208"/>
    <w:rsid w:val="0D2E4FF1"/>
    <w:rsid w:val="0D38442D"/>
    <w:rsid w:val="0E971374"/>
    <w:rsid w:val="0F024CF3"/>
    <w:rsid w:val="0F7D3049"/>
    <w:rsid w:val="0F895414"/>
    <w:rsid w:val="0FC621C4"/>
    <w:rsid w:val="123872CA"/>
    <w:rsid w:val="126869C8"/>
    <w:rsid w:val="12914EEE"/>
    <w:rsid w:val="12C16C73"/>
    <w:rsid w:val="14D6781F"/>
    <w:rsid w:val="180D6B40"/>
    <w:rsid w:val="1A6C1BBA"/>
    <w:rsid w:val="1B1C47EA"/>
    <w:rsid w:val="1F120838"/>
    <w:rsid w:val="20A9681E"/>
    <w:rsid w:val="212E7BC9"/>
    <w:rsid w:val="22367993"/>
    <w:rsid w:val="22D84291"/>
    <w:rsid w:val="23ED68F2"/>
    <w:rsid w:val="25061498"/>
    <w:rsid w:val="28A22B40"/>
    <w:rsid w:val="2A973A83"/>
    <w:rsid w:val="2AD002BF"/>
    <w:rsid w:val="2B3718C1"/>
    <w:rsid w:val="2E311D20"/>
    <w:rsid w:val="2E6B5FB9"/>
    <w:rsid w:val="2F0A3A24"/>
    <w:rsid w:val="306929CC"/>
    <w:rsid w:val="30FE3F17"/>
    <w:rsid w:val="319B4E07"/>
    <w:rsid w:val="31B85D97"/>
    <w:rsid w:val="327664AD"/>
    <w:rsid w:val="32DB1233"/>
    <w:rsid w:val="35A10512"/>
    <w:rsid w:val="38814D77"/>
    <w:rsid w:val="38D90DE6"/>
    <w:rsid w:val="3BC41C62"/>
    <w:rsid w:val="3D606F05"/>
    <w:rsid w:val="3EB52C39"/>
    <w:rsid w:val="40BB2DD0"/>
    <w:rsid w:val="41EB092B"/>
    <w:rsid w:val="463468C6"/>
    <w:rsid w:val="46861578"/>
    <w:rsid w:val="474358CD"/>
    <w:rsid w:val="4A236D66"/>
    <w:rsid w:val="4E9A0BFF"/>
    <w:rsid w:val="4F147B4F"/>
    <w:rsid w:val="4F365D17"/>
    <w:rsid w:val="519A7AF4"/>
    <w:rsid w:val="51C02782"/>
    <w:rsid w:val="54AF2873"/>
    <w:rsid w:val="55A67F71"/>
    <w:rsid w:val="5889335C"/>
    <w:rsid w:val="59D81EA5"/>
    <w:rsid w:val="5AF12168"/>
    <w:rsid w:val="5B4074DE"/>
    <w:rsid w:val="5BA87F9D"/>
    <w:rsid w:val="5DB01C5B"/>
    <w:rsid w:val="5FF101E3"/>
    <w:rsid w:val="600D1722"/>
    <w:rsid w:val="607E751E"/>
    <w:rsid w:val="60D80EB8"/>
    <w:rsid w:val="61E04CD5"/>
    <w:rsid w:val="63BB4555"/>
    <w:rsid w:val="651D2CFF"/>
    <w:rsid w:val="652A17CF"/>
    <w:rsid w:val="66B94E0C"/>
    <w:rsid w:val="67053298"/>
    <w:rsid w:val="6A0B7B41"/>
    <w:rsid w:val="6A260A0B"/>
    <w:rsid w:val="6AB73D58"/>
    <w:rsid w:val="6D461C71"/>
    <w:rsid w:val="6DAF0D17"/>
    <w:rsid w:val="6E4A7F46"/>
    <w:rsid w:val="704D6841"/>
    <w:rsid w:val="71152AE8"/>
    <w:rsid w:val="72C47417"/>
    <w:rsid w:val="730E68A8"/>
    <w:rsid w:val="73B500F0"/>
    <w:rsid w:val="75C8506C"/>
    <w:rsid w:val="75DE06E6"/>
    <w:rsid w:val="75FD499F"/>
    <w:rsid w:val="784B788E"/>
    <w:rsid w:val="7AEF689D"/>
    <w:rsid w:val="7B526EFF"/>
    <w:rsid w:val="7D4E4257"/>
    <w:rsid w:val="7D7B0C16"/>
    <w:rsid w:val="7F5E259D"/>
    <w:rsid w:val="7F8F3B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cs="Times New Roman"/>
      <w:b/>
      <w:sz w:val="30"/>
      <w:szCs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31"/>
    <w:basedOn w:val="6"/>
    <w:qFormat/>
    <w:uiPriority w:val="0"/>
    <w:rPr>
      <w:rFonts w:hint="default" w:ascii="ˎ̥" w:hAnsi="ˎ̥"/>
      <w:b/>
      <w:bCs/>
      <w:color w:val="FF0000"/>
      <w:sz w:val="20"/>
      <w:szCs w:val="20"/>
    </w:rPr>
  </w:style>
  <w:style w:type="character" w:customStyle="1" w:styleId="8">
    <w:name w:val="font1"/>
    <w:basedOn w:val="6"/>
    <w:qFormat/>
    <w:uiPriority w:val="0"/>
    <w:rPr>
      <w:rFonts w:hint="default" w:ascii="ˎ̥" w:hAnsi="ˎ̥"/>
      <w:color w:val="00000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秀英区</Company>
  <Pages>5</Pages>
  <Words>2184</Words>
  <Characters>2252</Characters>
  <Lines>0</Lines>
  <Paragraphs>0</Paragraphs>
  <TotalTime>8</TotalTime>
  <ScaleCrop>false</ScaleCrop>
  <LinksUpToDate>false</LinksUpToDate>
  <CharactersWithSpaces>2261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2022-05-07T03:05:00Z</dcterms:created>
  <dc:creator>lenovo</dc:creator>
  <cp:lastModifiedBy>伟    」</cp:lastModifiedBy>
  <cp:lastPrinted>2023-03-01T08:11:00Z</cp:lastPrinted>
  <dcterms:modified xsi:type="dcterms:W3CDTF">2026-03-10T07:55:22Z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64C1145EDDF245ECA98FCFAE7E69BD8E</vt:lpwstr>
  </property>
  <property fmtid="{D5CDD505-2E9C-101B-9397-08002B2CF9AE}" pid="4" name="KSOTemplateDocerSaveRecord">
    <vt:lpwstr>eyJoZGlkIjoiOTg2NTNkNzlhNjA1MzZlNWIyZjVlNzVjNWI0ZWQ0YmUiLCJ1c2VySWQiOiIyMTUwNjI5NzgifQ==</vt:lpwstr>
  </property>
</Properties>
</file>