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78" w:lineRule="exact"/>
        <w:ind w:left="0" w:leftChars="0" w:firstLine="0" w:firstLineChars="0"/>
        <w:jc w:val="both"/>
        <w:textAlignment w:val="auto"/>
        <w:rPr>
          <w:rFonts w:hint="default" w:ascii="Times New Roman" w:hAnsi="Times New Roman" w:eastAsia="方正小标宋简体" w:cs="Times New Roman"/>
          <w:vanish/>
          <w:color w:val="000000"/>
          <w:sz w:val="2"/>
          <w:szCs w:val="2"/>
          <w:lang w:val="en-US" w:eastAsia="zh-CN"/>
        </w:rPr>
        <w:sectPr>
          <w:headerReference r:id="rId3" w:type="default"/>
          <w:footerReference r:id="rId4" w:type="default"/>
          <w:pgSz w:w="11906" w:h="16838"/>
          <w:pgMar w:top="2098" w:right="1474" w:bottom="1984" w:left="1587" w:header="851" w:footer="992" w:gutter="0"/>
          <w:pgNumType w:fmt="decimal" w:start="2"/>
          <w:cols w:space="720" w:num="1"/>
          <w:docGrid w:type="lines" w:linePitch="312" w:charSpace="0"/>
        </w:sectPr>
      </w:pPr>
    </w:p>
    <w:p>
      <w:pPr>
        <w:pStyle w:val="2"/>
        <w:ind w:left="0" w:leftChars="0" w:firstLine="0" w:firstLineChars="0"/>
        <w:jc w:val="left"/>
        <w:rPr>
          <w:rFonts w:hint="default"/>
          <w:lang w:val="en-US" w:eastAsia="zh-CN"/>
        </w:rPr>
      </w:pPr>
      <w:r>
        <w:rPr>
          <w:rFonts w:hint="eastAsia"/>
          <w:lang w:eastAsia="zh-CN"/>
        </w:rPr>
        <w:t>附件</w:t>
      </w:r>
      <w:r>
        <w:rPr>
          <w:rFonts w:hint="eastAsia"/>
          <w:lang w:val="en-US" w:eastAsia="zh-CN"/>
        </w:rPr>
        <w:t>2</w:t>
      </w:r>
    </w:p>
    <w:p>
      <w:pPr>
        <w:widowControl w:val="0"/>
        <w:wordWrap/>
        <w:adjustRightInd/>
        <w:snapToGrid/>
        <w:spacing w:line="578" w:lineRule="exact"/>
        <w:ind w:left="0" w:leftChars="0" w:firstLine="0" w:firstLineChars="0"/>
        <w:jc w:val="both"/>
        <w:textAlignment w:val="auto"/>
        <w:rPr>
          <w:rFonts w:hint="default" w:ascii="Times New Roman" w:hAnsi="Times New Roman" w:eastAsia="方正小标宋简体" w:cs="Times New Roman"/>
          <w:color w:val="000000"/>
          <w:sz w:val="44"/>
          <w:szCs w:val="44"/>
          <w:lang w:eastAsia="zh-CN"/>
        </w:rPr>
      </w:pPr>
    </w:p>
    <w:p>
      <w:pPr>
        <w:widowControl w:val="0"/>
        <w:wordWrap/>
        <w:adjustRightInd/>
        <w:snapToGrid/>
        <w:spacing w:line="578" w:lineRule="exact"/>
        <w:ind w:left="0" w:leftChars="0" w:firstLine="0" w:firstLineChars="0"/>
        <w:jc w:val="center"/>
        <w:textAlignment w:val="auto"/>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起草说明</w:t>
      </w:r>
    </w:p>
    <w:p>
      <w:pPr>
        <w:widowControl/>
        <w:wordWrap/>
        <w:adjustRightInd/>
        <w:snapToGrid/>
        <w:spacing w:line="578" w:lineRule="exact"/>
        <w:ind w:left="0"/>
        <w:jc w:val="center"/>
        <w:textAlignment w:val="auto"/>
        <w:rPr>
          <w:rFonts w:hint="default" w:ascii="Times New Roman" w:hAnsi="Times New Roman" w:eastAsia="方正小标宋简体" w:cs="Times New Roman"/>
          <w:color w:val="000000"/>
          <w:kern w:val="0"/>
          <w:sz w:val="44"/>
          <w:szCs w:val="44"/>
        </w:rPr>
      </w:pPr>
    </w:p>
    <w:p>
      <w:pPr>
        <w:wordWrap/>
        <w:adjustRightInd/>
        <w:snapToGrid/>
        <w:spacing w:line="578" w:lineRule="exact"/>
        <w:ind w:left="0" w:firstLine="640" w:firstLineChars="200"/>
        <w:jc w:val="left"/>
        <w:textAlignment w:val="auto"/>
        <w:rPr>
          <w:rFonts w:hint="default" w:ascii="Times New Roman" w:hAnsi="Times New Roman" w:cs="Times New Roman"/>
          <w:color w:val="000000"/>
          <w:lang w:eastAsia="zh-CN"/>
        </w:rPr>
      </w:pPr>
      <w:r>
        <w:rPr>
          <w:rFonts w:hint="eastAsia" w:cs="Times New Roman"/>
          <w:b w:val="0"/>
          <w:bCs w:val="0"/>
          <w:color w:val="000000"/>
          <w:sz w:val="32"/>
          <w:szCs w:val="32"/>
          <w:lang w:eastAsia="zh-CN"/>
        </w:rPr>
        <w:t>现就《三亚市吉阳区旅游文化体育大型活动奖励办法》起草情况作说明如下：</w:t>
      </w:r>
    </w:p>
    <w:p>
      <w:pPr>
        <w:widowControl/>
        <w:wordWrap/>
        <w:adjustRightInd/>
        <w:snapToGrid/>
        <w:spacing w:line="578" w:lineRule="exact"/>
        <w:ind w:left="0" w:firstLine="640" w:firstLineChars="200"/>
        <w:jc w:val="both"/>
        <w:textAlignment w:val="auto"/>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lang w:eastAsia="zh-CN"/>
        </w:rPr>
        <w:t>一、起草背景和原因</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为了充分发挥旅游文化体育大型活动对我区经济社会发展的促进作用，扶持和培育可形成产业规模和具有发展潜力的大型活动品牌，拉动吉阳区文旅消费，提高大型活动资金使用效益，结合吉阳区实际，我局编制《三亚市吉阳区旅游文化体育大型活动奖励办法》（以下简称《办法》）。</w:t>
      </w:r>
    </w:p>
    <w:p>
      <w:pPr>
        <w:widowControl/>
        <w:numPr>
          <w:ilvl w:val="0"/>
          <w:numId w:val="0"/>
        </w:numPr>
        <w:wordWrap/>
        <w:adjustRightInd/>
        <w:snapToGrid/>
        <w:spacing w:line="578" w:lineRule="exact"/>
        <w:ind w:left="0" w:lef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黑体" w:cs="Times New Roman"/>
          <w:b w:val="0"/>
          <w:bCs w:val="0"/>
          <w:color w:val="000000"/>
          <w:sz w:val="32"/>
          <w:szCs w:val="32"/>
          <w:lang w:val="en-US" w:eastAsia="zh-CN"/>
        </w:rPr>
        <w:t>二、主要</w:t>
      </w:r>
      <w:r>
        <w:rPr>
          <w:rFonts w:hint="default" w:ascii="Times New Roman" w:hAnsi="Times New Roman" w:eastAsia="黑体" w:cs="Times New Roman"/>
          <w:color w:val="000000"/>
          <w:sz w:val="32"/>
          <w:szCs w:val="32"/>
          <w:lang w:val="en-US" w:eastAsia="zh-CN"/>
        </w:rPr>
        <w:t>内容</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《办法》共有十九条内容，主要从奖励范围和方式、申报条件和申报材料、项目审定和资金拨付、奖励资金监管等方面明确了具体要求和工作流程，保障奖励申报工作高效有序执行。</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（一）资金保障</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大型活动奖励资金来源为区级财政预留大型活动资金，用于引导与支持我区大型活动发展。</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（二）奖励范围</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本办法所称旅游文化体育大型活动（以下简称“大型活动”），是指必须在吉阳区行政区域范围内举办的单场参加人数1000人以上的旅游文化体育活动。具体的适用范围为：</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1.在三亚市吉阳区行政区域内举办的，由社会组织或企业等市场主体发起并全额出资，或市场主体与省、市联合举办并出资过半的，且由区委、区政府以协办、支持、指导等方式参与的大型活动；</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2.国际或国内知名的旅游文化体育等IP或填补吉阳区相关市场空白且具有影响力大和示范带动作用强等高端品牌活动；</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3.举办后经绩效评价确定能够为吉阳区带来较好的社会效益和经济效益、吸引国内外主流媒体关注或大力宣传吉阳形象的大型活动；</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4.其他经区委、区政府同意支持的活动。</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下列情形不适用本办法：</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1.固定场所内按计划周期性举办的规律性活动；</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2.营利性文体演出机构的经常性业务经营活动；</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3.行政机关及法定机构按照年度工作计划举办的产业招商引资、文化体育交流、旅游促销和宣传推广等活动；</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4.研讨、论坛、会议和经贸类展览活动。</w:t>
      </w:r>
    </w:p>
    <w:p>
      <w:pPr>
        <w:widowControl/>
        <w:numPr>
          <w:ilvl w:val="0"/>
          <w:numId w:val="0"/>
        </w:numPr>
        <w:wordWrap/>
        <w:adjustRightInd/>
        <w:snapToGrid/>
        <w:spacing w:line="578" w:lineRule="exact"/>
        <w:ind w:left="640" w:leftChars="200" w:firstLine="0" w:firstLineChars="0"/>
        <w:jc w:val="both"/>
        <w:textAlignment w:val="auto"/>
        <w:rPr>
          <w:rFonts w:hint="eastAsia" w:ascii="楷体_GB2312" w:hAnsi="楷体_GB2312" w:eastAsia="楷体_GB2312" w:cs="楷体_GB2312"/>
          <w:b w:val="0"/>
          <w:bCs w:val="0"/>
          <w:i w:val="0"/>
          <w:caps w:val="0"/>
          <w:color w:val="222222"/>
          <w:spacing w:val="0"/>
          <w:sz w:val="32"/>
          <w:szCs w:val="32"/>
          <w:lang w:val="en-US" w:eastAsia="zh-CN"/>
        </w:rPr>
      </w:pPr>
      <w:r>
        <w:rPr>
          <w:rFonts w:hint="eastAsia" w:cs="Times New Roman"/>
          <w:color w:val="000000"/>
          <w:sz w:val="32"/>
          <w:szCs w:val="32"/>
          <w:lang w:val="en-US" w:eastAsia="zh-CN"/>
        </w:rPr>
        <w:t>如相关活动的界定存在争议，最终以区人民政府审定为准。</w:t>
      </w:r>
      <w:r>
        <w:rPr>
          <w:rFonts w:hint="eastAsia"/>
          <w:lang w:val="en-US" w:eastAsia="zh-CN"/>
        </w:rPr>
        <w:t>（三）</w:t>
      </w:r>
      <w:r>
        <w:rPr>
          <w:rFonts w:hint="eastAsia" w:ascii="楷体_GB2312" w:hAnsi="楷体_GB2312" w:eastAsia="楷体_GB2312" w:cs="楷体_GB2312"/>
          <w:b w:val="0"/>
          <w:bCs w:val="0"/>
          <w:i w:val="0"/>
          <w:caps w:val="0"/>
          <w:color w:val="222222"/>
          <w:spacing w:val="0"/>
          <w:sz w:val="32"/>
          <w:szCs w:val="32"/>
          <w:lang w:val="en-US" w:eastAsia="zh-CN"/>
        </w:rPr>
        <w:t>绩效评估</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区旅游和文化广电体育局应根据行业特点拟定绩效评估考核标准，根据《三亚市吉阳区旅游文化体育大型活动奖励绩效评估表》，实施量化打分，总分为100分。</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1.90分及以上为优秀，可给予大型活动项目实际总支出的50%奖励，最高不超过100万元；</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2.80分至89分为良好，可给予大型活动项目实际总支出的40%奖励，最高不超过60万元；</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3.70分至79分为一般，可给予大型活动项目实际总支出的30%奖励，最高不超过30万元；</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4.70分及以下，不予奖励且以后不再受理该大型活动项目的奖励申报。</w:t>
      </w:r>
    </w:p>
    <w:p>
      <w:pPr>
        <w:widowControl/>
        <w:numPr>
          <w:ilvl w:val="0"/>
          <w:numId w:val="0"/>
        </w:numPr>
        <w:wordWrap/>
        <w:adjustRightInd/>
        <w:snapToGrid/>
        <w:spacing w:line="578" w:lineRule="exact"/>
        <w:ind w:left="0" w:leftChars="0" w:firstLine="640" w:firstLineChars="200"/>
        <w:jc w:val="both"/>
        <w:textAlignment w:val="auto"/>
        <w:rPr>
          <w:rFonts w:hint="eastAsia" w:cs="Times New Roman"/>
          <w:color w:val="000000"/>
          <w:sz w:val="32"/>
          <w:szCs w:val="32"/>
          <w:lang w:val="en-US" w:eastAsia="zh-CN"/>
        </w:rPr>
      </w:pPr>
      <w:r>
        <w:rPr>
          <w:rFonts w:hint="eastAsia" w:cs="Times New Roman"/>
          <w:color w:val="000000"/>
          <w:sz w:val="32"/>
          <w:szCs w:val="32"/>
          <w:lang w:val="en-US" w:eastAsia="zh-CN"/>
        </w:rPr>
        <w:t>对促进全区旅游消费具有重大影响力的大型活动项目，可按“一事一议”方式另报区政府审议同意。</w:t>
      </w:r>
    </w:p>
    <w:p>
      <w:pPr>
        <w:widowControl w:val="0"/>
        <w:numPr>
          <w:ilvl w:val="0"/>
          <w:numId w:val="0"/>
        </w:numPr>
        <w:wordWrap/>
        <w:autoSpaceDE w:val="0"/>
        <w:autoSpaceDN w:val="0"/>
        <w:adjustRightInd/>
        <w:snapToGrid/>
        <w:spacing w:before="0" w:after="0" w:line="578" w:lineRule="exact"/>
        <w:ind w:right="0" w:firstLine="64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lang w:val="en-US" w:eastAsia="zh-CN"/>
        </w:rPr>
        <w:t>（四）资金拨付</w:t>
      </w:r>
    </w:p>
    <w:p>
      <w:pPr>
        <w:pStyle w:val="5"/>
        <w:ind w:firstLine="64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区财政局根据区政府常务会审议结果将资金指标下达至区旅游和文化广电体育局，由区旅游和文化广电体育局依照有关程序将资金分拨至申报单位。</w:t>
      </w:r>
    </w:p>
    <w:p>
      <w:pPr>
        <w:pStyle w:val="5"/>
        <w:ind w:firstLine="640"/>
        <w:rPr>
          <w:rFonts w:hint="default" w:ascii="Times New Roman" w:hAnsi="Times New Roman" w:eastAsia="仿宋_GB2312" w:cs="Times New Roman"/>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三、比选方案</w:t>
      </w:r>
    </w:p>
    <w:p>
      <w:pPr>
        <w:pStyle w:val="5"/>
        <w:ind w:firstLine="64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区旅游和文化广电体育局在拟制《办法》前，广泛参考《三亚市旅游文化体育大型活动资金管理办法》《三亚市旅游产业发展专项资金奖励办法》《三亚市加强文体商展联动进一步促进消费的若干措施》等政策文件，结合吉阳实际，制定可行性举措。</w:t>
      </w:r>
    </w:p>
    <w:p>
      <w:pPr>
        <w:pStyle w:val="5"/>
        <w:numPr>
          <w:ilvl w:val="0"/>
          <w:numId w:val="1"/>
        </w:numPr>
        <w:ind w:firstLine="640"/>
        <w:rPr>
          <w:rFonts w:hint="default" w:ascii="黑体" w:hAnsi="黑体" w:eastAsia="黑体" w:cs="黑体"/>
          <w:color w:val="000000"/>
          <w:kern w:val="2"/>
          <w:sz w:val="32"/>
          <w:szCs w:val="32"/>
          <w:lang w:val="en-US" w:eastAsia="zh-CN" w:bidi="ar-SA"/>
        </w:rPr>
      </w:pPr>
      <w:r>
        <w:rPr>
          <w:rFonts w:hint="default" w:ascii="黑体" w:hAnsi="黑体" w:eastAsia="黑体" w:cs="黑体"/>
          <w:color w:val="000000"/>
          <w:kern w:val="2"/>
          <w:sz w:val="32"/>
          <w:szCs w:val="32"/>
          <w:lang w:val="en-US" w:eastAsia="zh-CN" w:bidi="ar-SA"/>
        </w:rPr>
        <w:t>审议建议</w:t>
      </w:r>
    </w:p>
    <w:p>
      <w:pPr>
        <w:pStyle w:val="5"/>
        <w:ind w:firstLine="640"/>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请旅游组严格按照行政规范性文件管理流程完成征求意见、合法性审核等程序后，报区政府审议。</w:t>
      </w:r>
      <w:bookmarkStart w:id="0" w:name="_GoBack"/>
      <w:bookmarkEnd w:id="0"/>
    </w:p>
    <w:sectPr>
      <w:footerReference r:id="rId5"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cs="宋体"/>
        <w:sz w:val="28"/>
        <w:szCs w:val="28"/>
      </w:rPr>
    </w:pPr>
    <w:r>
      <w:rPr>
        <w:rFonts w:ascii="Times New Roman" w:hAnsi="Times New Roman" w:eastAsia="仿宋_GB2312" w:cs="Times New Roman"/>
        <w:kern w:val="2"/>
        <w:sz w:val="2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仿宋_GB2312"/>
                              <w:sz w:val="18"/>
                              <w:lang w:eastAsia="zh-CN"/>
                            </w:rPr>
                          </w:pP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yNADs6gBAABBAwAADgAA&#10;AAAAAAABACAAAAAfAQAAZHJzL2Uyb0RvYy54bWxQSwUGAAAAAAYABgBZAQAAOQUAAAAA&#10;">
              <v:fill on="f" focussize="0,0"/>
              <v:stroke on="f"/>
              <v:imagedata o:title=""/>
              <o:lock v:ext="edit" aspectratio="f"/>
              <v:textbox inset="0mm,0mm,0mm,0mm" style="mso-fit-shape-to-text:t;">
                <w:txbxContent>
                  <w:p>
                    <w:pPr>
                      <w:snapToGrid w:val="0"/>
                      <w:rPr>
                        <w:rFonts w:hint="eastAsia" w:eastAsia="仿宋_GB2312"/>
                        <w:sz w:val="18"/>
                        <w:lang w:eastAsia="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Times New Roman" w:hAnsi="Times New Roman" w:eastAsia="仿宋_GB2312" w:cs="Times New Roman"/>
        <w:kern w:val="2"/>
        <w:sz w:val="18"/>
        <w:szCs w:val="24"/>
        <w:lang w:val="en-US" w:eastAsia="zh-CN" w:bidi="ar-SA"/>
      </w:rPr>
      <mc:AlternateContent>
        <mc:Choice Requires="wps">
          <w:drawing>
            <wp:anchor distT="0" distB="0" distL="114300" distR="114300" simplePos="0" relativeHeight="251658240" behindDoc="0" locked="0" layoutInCell="1" allowOverlap="1">
              <wp:simplePos x="0" y="0"/>
              <wp:positionH relativeFrom="margin">
                <wp:posOffset>4984750</wp:posOffset>
              </wp:positionH>
              <wp:positionV relativeFrom="paragraph">
                <wp:posOffset>-19050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xbxContent>
                    </wps:txbx>
                    <wps:bodyPr wrap="none" lIns="0" tIns="0" rIns="0" bIns="0" upright="1">
                      <a:spAutoFit/>
                    </wps:bodyPr>
                  </wps:wsp>
                </a:graphicData>
              </a:graphic>
            </wp:anchor>
          </w:drawing>
        </mc:Choice>
        <mc:Fallback>
          <w:pict>
            <v:rect id="文本框 1027" o:spid="_x0000_s1026" o:spt="1" style="position:absolute;left:0pt;margin-left:392.5pt;margin-top:-1.5pt;height:144pt;width:144pt;mso-position-horizontal-relative:margin;mso-wrap-style:none;z-index:251658240;mso-width-relative:page;mso-height-relative:page;" filled="f" stroked="f" coordsize="21600,21600" o:gfxdata="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2tBGT1gAAAAsB&#10;AAAPAAAAAAAAAAEAIAAAACIAAABkcnMvZG93bnJldi54bWxQSwECFAAUAAAACACHTuJA0lQrn6sB&#10;AABEAwAADgAAAAAAAAABACAAAAAlAQAAZHJzL2Uyb0RvYy54bWxQSwUGAAAAAAYABgBZAQAAQgUA&#10;AAAA&#10;">
              <v:fill on="f" focussize="0,0"/>
              <v:stroke on="f"/>
              <v:imagedata o:title=""/>
              <o:lock v:ext="edit" aspectratio="f"/>
              <v:textbox inset="0mm,0mm,0mm,0mm" style="mso-fit-shape-to-text:t;">
                <w:txbxContent>
                  <w:p>
                    <w:pPr>
                      <w:snapToGrid w:val="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B5562"/>
    <w:multiLevelType w:val="singleLevel"/>
    <w:tmpl w:val="294B556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A69F9"/>
    <w:rsid w:val="30AA2DD2"/>
    <w:rsid w:val="448C1989"/>
    <w:rsid w:val="4D534E9D"/>
    <w:rsid w:val="7EC143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8" w:lineRule="exact"/>
      <w:ind w:firstLine="56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78" w:lineRule="exact"/>
      <w:jc w:val="center"/>
      <w:outlineLvl w:val="0"/>
    </w:pPr>
    <w:rPr>
      <w:rFonts w:eastAsia="方正小标宋简体"/>
      <w:spacing w:val="-20"/>
      <w:kern w:val="44"/>
      <w:sz w:val="44"/>
    </w:rPr>
  </w:style>
  <w:style w:type="paragraph" w:styleId="2">
    <w:name w:val="heading 2"/>
    <w:basedOn w:val="1"/>
    <w:next w:val="1"/>
    <w:qFormat/>
    <w:uiPriority w:val="0"/>
    <w:pPr>
      <w:keepNext/>
      <w:keepLines/>
      <w:spacing w:beforeLines="0" w:beforeAutospacing="0" w:afterLines="0" w:afterAutospacing="0" w:line="578" w:lineRule="exact"/>
      <w:outlineLvl w:val="1"/>
    </w:pPr>
    <w:rPr>
      <w:rFonts w:ascii="Arial" w:hAnsi="Arial" w:eastAsia="黑体" w:cs="Times New Roman"/>
      <w:szCs w:val="22"/>
    </w:rPr>
  </w:style>
  <w:style w:type="character" w:default="1" w:styleId="10">
    <w:name w:val="Default Paragraph Font"/>
    <w:semiHidden/>
    <w:qFormat/>
    <w:uiPriority w:val="0"/>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Salutation"/>
    <w:basedOn w:val="1"/>
    <w:next w:val="1"/>
    <w:qFormat/>
    <w:uiPriority w:val="0"/>
    <w:pPr>
      <w:widowControl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rPr>
  </w:style>
  <w:style w:type="paragraph" w:styleId="5">
    <w:name w:val="Plain Text"/>
    <w:basedOn w:val="1"/>
    <w:qFormat/>
    <w:uiPriority w:val="0"/>
    <w:rPr>
      <w:rFonts w:ascii="宋体" w:hAnsi="宋体" w:eastAsia="仿宋"/>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qFormat/>
    <w:uiPriority w:val="0"/>
    <w:pPr>
      <w:widowControl w:val="0"/>
      <w:spacing w:before="240" w:after="60"/>
      <w:jc w:val="center"/>
      <w:outlineLvl w:val="0"/>
    </w:pPr>
    <w:rPr>
      <w:rFonts w:ascii="Arial" w:hAnsi="Arial" w:eastAsia="方正仿宋_GBK" w:cs="Times New Roman"/>
      <w:b/>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吉阳区</Company>
  <Pages>5</Pages>
  <Words>1654</Words>
  <Characters>1709</Characters>
  <Lines>0</Lines>
  <Paragraphs>0</Paragraphs>
  <TotalTime>45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2020-10-16T02:54:00Z</dcterms:created>
  <dc:creator>Administrator</dc:creator>
  <cp:lastModifiedBy>Administrator</cp:lastModifiedBy>
  <cp:lastPrinted>2024-12-30T02:52:00Z</cp:lastPrinted>
  <dcterms:modified xsi:type="dcterms:W3CDTF">2025-11-18T02:45:57Z</dcterms:modified>
  <dc:title>区长办公会议文件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39B937DAE2444CC6A722D56E60813788</vt:lpwstr>
  </property>
</Properties>
</file>