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kinsoku/>
        <w:wordWrap/>
        <w:overflowPunct/>
        <w:topLinePunct w:val="0"/>
        <w:autoSpaceDE/>
        <w:autoSpaceDN/>
        <w:bidi w:val="0"/>
        <w:adjustRightInd w:val="0"/>
        <w:snapToGrid w:val="0"/>
        <w:spacing w:before="100" w:beforeAutospacing="0" w:after="100" w:afterAutospacing="0" w:line="578" w:lineRule="exact"/>
        <w:ind w:left="0" w:right="0" w:firstLine="880" w:firstLineChars="200"/>
        <w:jc w:val="center"/>
        <w:textAlignment w:val="auto"/>
        <w:rPr>
          <w:rFonts w:hint="eastAsia" w:ascii="宋体" w:hAnsi="宋体" w:eastAsia="宋体" w:cs="宋体"/>
          <w:i w:val="0"/>
          <w:caps w:val="0"/>
          <w:color w:val="000000"/>
          <w:spacing w:val="0"/>
          <w:sz w:val="27"/>
          <w:szCs w:val="27"/>
        </w:rPr>
      </w:pPr>
      <w:r>
        <w:rPr>
          <w:rFonts w:ascii="方正小标宋简体" w:hAnsi="方正小标宋简体" w:eastAsia="方正小标宋简体" w:cs="方正小标宋简体"/>
          <w:b w:val="0"/>
          <w:i w:val="0"/>
          <w:caps w:val="0"/>
          <w:color w:val="000000"/>
          <w:spacing w:val="0"/>
          <w:sz w:val="44"/>
          <w:szCs w:val="44"/>
        </w:rPr>
        <w:t>协税护税工作经费</w:t>
      </w:r>
      <w:r>
        <w:rPr>
          <w:rFonts w:hint="eastAsia" w:ascii="方正小标宋简体" w:hAnsi="方正小标宋简体" w:eastAsia="方正小标宋简体" w:cs="方正小标宋简体"/>
          <w:b w:val="0"/>
          <w:i w:val="0"/>
          <w:caps w:val="0"/>
          <w:color w:val="000000"/>
          <w:spacing w:val="0"/>
          <w:sz w:val="44"/>
          <w:szCs w:val="44"/>
        </w:rPr>
        <w:t>项目</w:t>
      </w:r>
      <w:r>
        <w:rPr>
          <w:rFonts w:hint="eastAsia" w:ascii="Times New Roman" w:hAnsi="Times New Roman" w:eastAsia="方正小标宋简体" w:cs="方正小标宋简体"/>
          <w:b w:val="0"/>
          <w:i w:val="0"/>
          <w:caps w:val="0"/>
          <w:color w:val="000000"/>
          <w:spacing w:val="0"/>
          <w:sz w:val="44"/>
          <w:szCs w:val="44"/>
        </w:rPr>
        <w:t>2025</w:t>
      </w:r>
      <w:r>
        <w:rPr>
          <w:rFonts w:hint="eastAsia" w:ascii="方正小标宋简体" w:hAnsi="方正小标宋简体" w:eastAsia="方正小标宋简体" w:cs="方正小标宋简体"/>
          <w:b w:val="0"/>
          <w:i w:val="0"/>
          <w:caps w:val="0"/>
          <w:color w:val="000000"/>
          <w:spacing w:val="0"/>
          <w:sz w:val="44"/>
          <w:szCs w:val="44"/>
        </w:rPr>
        <w:t>年度支出</w:t>
      </w:r>
    </w:p>
    <w:p>
      <w:pPr>
        <w:pStyle w:val="4"/>
        <w:keepNext w:val="0"/>
        <w:keepLines w:val="0"/>
        <w:pageBreakBefore w:val="0"/>
        <w:widowControl/>
        <w:suppressLineNumbers w:val="0"/>
        <w:kinsoku/>
        <w:wordWrap/>
        <w:overflowPunct/>
        <w:topLinePunct w:val="0"/>
        <w:autoSpaceDE/>
        <w:autoSpaceDN/>
        <w:bidi w:val="0"/>
        <w:adjustRightInd w:val="0"/>
        <w:snapToGrid w:val="0"/>
        <w:spacing w:before="100" w:beforeAutospacing="0" w:after="100" w:afterAutospacing="0" w:line="578" w:lineRule="exact"/>
        <w:ind w:left="0" w:right="0" w:firstLine="880" w:firstLineChars="200"/>
        <w:jc w:val="center"/>
        <w:textAlignment w:val="auto"/>
        <w:rPr>
          <w:rFonts w:hint="eastAsia" w:ascii="宋体" w:hAnsi="宋体" w:eastAsia="宋体" w:cs="宋体"/>
          <w:i w:val="0"/>
          <w:caps w:val="0"/>
          <w:color w:val="000000"/>
          <w:spacing w:val="0"/>
          <w:sz w:val="27"/>
          <w:szCs w:val="27"/>
        </w:rPr>
      </w:pPr>
      <w:r>
        <w:rPr>
          <w:rFonts w:hint="eastAsia" w:ascii="方正小标宋简体" w:hAnsi="方正小标宋简体" w:eastAsia="方正小标宋简体" w:cs="方正小标宋简体"/>
          <w:b w:val="0"/>
          <w:i w:val="0"/>
          <w:caps w:val="0"/>
          <w:color w:val="000000"/>
          <w:spacing w:val="0"/>
          <w:sz w:val="44"/>
          <w:szCs w:val="44"/>
        </w:rPr>
        <w:t>绩效自评报告</w:t>
      </w:r>
    </w:p>
    <w:p>
      <w:pPr>
        <w:pStyle w:val="4"/>
        <w:keepNext w:val="0"/>
        <w:keepLines w:val="0"/>
        <w:pageBreakBefore w:val="0"/>
        <w:widowControl/>
        <w:suppressLineNumbers w:val="0"/>
        <w:kinsoku/>
        <w:wordWrap/>
        <w:overflowPunct/>
        <w:topLinePunct w:val="0"/>
        <w:autoSpaceDE/>
        <w:autoSpaceDN/>
        <w:bidi w:val="0"/>
        <w:adjustRightInd w:val="0"/>
        <w:snapToGrid w:val="0"/>
        <w:spacing w:before="100" w:beforeAutospacing="0" w:after="100" w:afterAutospacing="0" w:line="578" w:lineRule="exact"/>
        <w:ind w:left="0" w:right="0" w:firstLine="640" w:firstLineChars="200"/>
        <w:jc w:val="center"/>
        <w:textAlignment w:val="auto"/>
        <w:rPr>
          <w:rFonts w:hint="eastAsia" w:ascii="宋体" w:hAnsi="宋体" w:eastAsia="宋体" w:cs="宋体"/>
          <w:i w:val="0"/>
          <w:caps w:val="0"/>
          <w:color w:val="000000"/>
          <w:spacing w:val="0"/>
          <w:sz w:val="27"/>
          <w:szCs w:val="27"/>
        </w:rPr>
      </w:pPr>
      <w:r>
        <w:rPr>
          <w:rFonts w:ascii="仿宋_GB2312" w:hAnsi="宋体" w:eastAsia="仿宋_GB2312" w:cs="仿宋_GB2312"/>
          <w:b w:val="0"/>
          <w:i w:val="0"/>
          <w:caps w:val="0"/>
          <w:color w:val="000000"/>
          <w:spacing w:val="0"/>
          <w:sz w:val="32"/>
          <w:szCs w:val="32"/>
        </w:rPr>
        <w:t>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ascii="黑体" w:hAnsi="宋体" w:eastAsia="黑体" w:cs="黑体"/>
          <w:i w:val="0"/>
          <w:caps w:val="0"/>
          <w:color w:val="000000"/>
          <w:spacing w:val="0"/>
          <w:kern w:val="0"/>
          <w:sz w:val="32"/>
          <w:szCs w:val="32"/>
          <w:lang w:val="en-US" w:eastAsia="zh-CN" w:bidi="ar"/>
        </w:rPr>
        <w:t>一、项目概况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ascii="楷体_GB2312" w:hAnsi="宋体" w:eastAsia="楷体_GB2312" w:cs="楷体_GB2312"/>
          <w:i w:val="0"/>
          <w:caps w:val="0"/>
          <w:color w:val="000000"/>
          <w:spacing w:val="0"/>
          <w:kern w:val="0"/>
          <w:sz w:val="32"/>
          <w:szCs w:val="32"/>
          <w:lang w:val="en-US" w:eastAsia="zh-CN" w:bidi="ar"/>
        </w:rPr>
        <w:t>（一）项目基本情况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预算单位三亚市吉阳区财政局的协税护税工作经费项目属于部门项目，主管部门为三亚市吉阳区财政局，项目经办人为：吴海妹，联系电话：</w:t>
      </w:r>
      <w:r>
        <w:rPr>
          <w:rFonts w:hint="eastAsia" w:ascii="Times New Roman" w:hAnsi="Times New Roman" w:eastAsia="仿宋_GB2312" w:cs="仿宋_GB2312"/>
          <w:i w:val="0"/>
          <w:caps w:val="0"/>
          <w:color w:val="000000"/>
          <w:spacing w:val="0"/>
          <w:kern w:val="0"/>
          <w:sz w:val="32"/>
          <w:szCs w:val="32"/>
          <w:lang w:val="en-US" w:eastAsia="zh-CN" w:bidi="ar"/>
        </w:rPr>
        <w:t>0898</w:t>
      </w: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88382428</w:t>
      </w:r>
      <w:r>
        <w:rPr>
          <w:rFonts w:hint="eastAsia" w:ascii="仿宋_GB2312" w:hAnsi="宋体" w:eastAsia="仿宋_GB2312" w:cs="仿宋_GB2312"/>
          <w:i w:val="0"/>
          <w:caps w:val="0"/>
          <w:color w:val="000000"/>
          <w:spacing w:val="0"/>
          <w:kern w:val="0"/>
          <w:sz w:val="32"/>
          <w:szCs w:val="32"/>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项目概述：为全面贯彻落实国家税收征管相关法律法规及三亚市吉阳区税收工作部署，进一步健全协税护税工作体系，强化税源精细化管理，三亚市吉阳区财政局设立协税护税工作经费项目。该项目通过保障协税护税人员薪酬福利、工作保障等相关支出，稳定协税护税工作队伍，提升队伍专业素养与履职能力，搭建税务部门与纳税人之间的沟通桥梁，推动部门协同共治，实现税源管理全覆盖、税收服务全方位，助力营造规范有序、公平公正的税收环境，为吉阳区财政收入稳定增长提供坚实支撑。项目实施范围覆盖吉阳区辖区内各类税源主体，核心任务涵盖税源排查、税收宣传、纳税辅导、协助征管等关键环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楷体_GB2312" w:hAnsi="宋体" w:eastAsia="楷体_GB2312" w:cs="楷体_GB2312"/>
          <w:i w:val="0"/>
          <w:caps w:val="0"/>
          <w:color w:val="000000"/>
          <w:spacing w:val="0"/>
          <w:kern w:val="0"/>
          <w:sz w:val="32"/>
          <w:szCs w:val="32"/>
          <w:lang w:val="en-US" w:eastAsia="zh-CN" w:bidi="ar"/>
        </w:rPr>
        <w:t>（二）项目年度预算绩效目标和绩效指标设定情况</w:t>
      </w:r>
      <w:r>
        <w:rPr>
          <w:rFonts w:hint="eastAsia" w:ascii="仿宋_GB2312" w:hAnsi="宋体" w:eastAsia="仿宋_GB2312" w:cs="仿宋_GB2312"/>
          <w:i w:val="0"/>
          <w:caps w:val="0"/>
          <w:color w:val="000000"/>
          <w:spacing w:val="0"/>
          <w:kern w:val="0"/>
          <w:sz w:val="32"/>
          <w:szCs w:val="32"/>
          <w:lang w:val="en-US" w:eastAsia="zh-CN" w:bidi="ar"/>
        </w:rPr>
        <w:t>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总体目标：加强协税护税管理工作，强化协税人员队伍凝聚力与责任意识，推动其依法依规履行本职工作；聚焦优质服务供给，精准培植税源，促进辖区税源存量提质、增量扩容；规范税源管理流程，加大税务政策宣传力度，营造“依法纳税光荣、偷税漏税可耻”的良好社会氛围；深化部门协同联动，构建“财政牵头、税务主导、多部门配合”的工作格局，形成协税护税工作合力；全面提升协税护税工作效能，确保各项税收应收尽收，为区域经济社会高质量发展提供坚实财政保障。</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年年度目标与总体目标保持一致，重点围绕队伍建设、服务优化、税源规范、部门协作、征管提升五大维度推进工作，确保年度协税护税各项任务落地见效。</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.当年年度目标完成情况：</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年度，协税护税工作经费主要用于保障</w:t>
      </w:r>
      <w:r>
        <w:rPr>
          <w:rFonts w:hint="eastAsia" w:ascii="Times New Roman" w:hAnsi="Times New Roman" w:eastAsia="仿宋_GB2312" w:cs="仿宋_GB2312"/>
          <w:i w:val="0"/>
          <w:caps w:val="0"/>
          <w:color w:val="000000"/>
          <w:spacing w:val="0"/>
          <w:kern w:val="0"/>
          <w:sz w:val="32"/>
          <w:szCs w:val="32"/>
          <w:lang w:val="en-US" w:eastAsia="zh-CN" w:bidi="ar"/>
        </w:rPr>
        <w:t>92</w:t>
      </w:r>
      <w:r>
        <w:rPr>
          <w:rFonts w:hint="eastAsia" w:ascii="仿宋_GB2312" w:hAnsi="宋体" w:eastAsia="仿宋_GB2312" w:cs="仿宋_GB2312"/>
          <w:i w:val="0"/>
          <w:caps w:val="0"/>
          <w:color w:val="000000"/>
          <w:spacing w:val="0"/>
          <w:kern w:val="0"/>
          <w:sz w:val="32"/>
          <w:szCs w:val="32"/>
          <w:lang w:val="en-US" w:eastAsia="zh-CN" w:bidi="ar"/>
        </w:rPr>
        <w:t>名协税护税人员的薪酬福利及工作保障支出，具体包括</w:t>
      </w:r>
      <w:r>
        <w:rPr>
          <w:rFonts w:hint="eastAsia" w:ascii="Times New Roman" w:hAnsi="Times New Roman" w:eastAsia="仿宋_GB2312" w:cs="仿宋_GB2312"/>
          <w:i w:val="0"/>
          <w:caps w:val="0"/>
          <w:color w:val="000000"/>
          <w:spacing w:val="0"/>
          <w:kern w:val="0"/>
          <w:sz w:val="32"/>
          <w:szCs w:val="32"/>
          <w:lang w:val="en-US" w:eastAsia="zh-CN" w:bidi="ar"/>
        </w:rPr>
        <w:t>2024</w:t>
      </w:r>
      <w:r>
        <w:rPr>
          <w:rFonts w:hint="eastAsia" w:ascii="仿宋_GB2312" w:hAnsi="宋体" w:eastAsia="仿宋_GB2312" w:cs="仿宋_GB2312"/>
          <w:i w:val="0"/>
          <w:caps w:val="0"/>
          <w:color w:val="000000"/>
          <w:spacing w:val="0"/>
          <w:kern w:val="0"/>
          <w:sz w:val="32"/>
          <w:szCs w:val="32"/>
          <w:lang w:val="en-US" w:eastAsia="zh-CN" w:bidi="ar"/>
        </w:rPr>
        <w:t>年</w:t>
      </w:r>
      <w:r>
        <w:rPr>
          <w:rFonts w:hint="eastAsia" w:ascii="Times New Roman" w:hAnsi="Times New Roman" w:eastAsia="仿宋_GB2312" w:cs="仿宋_GB2312"/>
          <w:i w:val="0"/>
          <w:caps w:val="0"/>
          <w:color w:val="000000"/>
          <w:spacing w:val="0"/>
          <w:kern w:val="0"/>
          <w:sz w:val="32"/>
          <w:szCs w:val="32"/>
          <w:lang w:val="en-US" w:eastAsia="zh-CN" w:bidi="ar"/>
        </w:rPr>
        <w:t>12</w:t>
      </w:r>
      <w:r>
        <w:rPr>
          <w:rFonts w:hint="eastAsia" w:ascii="仿宋_GB2312" w:hAnsi="宋体" w:eastAsia="仿宋_GB2312" w:cs="仿宋_GB2312"/>
          <w:i w:val="0"/>
          <w:caps w:val="0"/>
          <w:color w:val="000000"/>
          <w:spacing w:val="0"/>
          <w:kern w:val="0"/>
          <w:sz w:val="32"/>
          <w:szCs w:val="32"/>
          <w:lang w:val="en-US" w:eastAsia="zh-CN" w:bidi="ar"/>
        </w:rPr>
        <w:t>月至</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w:t>
      </w:r>
      <w:r>
        <w:rPr>
          <w:rFonts w:hint="eastAsia" w:ascii="Times New Roman" w:hAnsi="Times New Roman" w:eastAsia="仿宋_GB2312" w:cs="仿宋_GB2312"/>
          <w:i w:val="0"/>
          <w:caps w:val="0"/>
          <w:color w:val="000000"/>
          <w:spacing w:val="0"/>
          <w:kern w:val="0"/>
          <w:sz w:val="32"/>
          <w:szCs w:val="32"/>
          <w:lang w:val="en-US" w:eastAsia="zh-CN" w:bidi="ar"/>
        </w:rPr>
        <w:t>11</w:t>
      </w:r>
      <w:r>
        <w:rPr>
          <w:rFonts w:hint="eastAsia" w:ascii="仿宋_GB2312" w:hAnsi="宋体" w:eastAsia="仿宋_GB2312" w:cs="仿宋_GB2312"/>
          <w:i w:val="0"/>
          <w:caps w:val="0"/>
          <w:color w:val="000000"/>
          <w:spacing w:val="0"/>
          <w:kern w:val="0"/>
          <w:sz w:val="32"/>
          <w:szCs w:val="32"/>
          <w:lang w:val="en-US" w:eastAsia="zh-CN" w:bidi="ar"/>
        </w:rPr>
        <w:t>月期间的人员工资、社会保险（含养老、医疗、失业、工伤、生育保险）、工作午餐补贴、年度体检费等。截至</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w:t>
      </w:r>
      <w:r>
        <w:rPr>
          <w:rFonts w:hint="eastAsia" w:ascii="Times New Roman" w:hAnsi="Times New Roman" w:eastAsia="仿宋_GB2312" w:cs="仿宋_GB2312"/>
          <w:i w:val="0"/>
          <w:caps w:val="0"/>
          <w:color w:val="000000"/>
          <w:spacing w:val="0"/>
          <w:kern w:val="0"/>
          <w:sz w:val="32"/>
          <w:szCs w:val="32"/>
          <w:lang w:val="en-US" w:eastAsia="zh-CN" w:bidi="ar"/>
        </w:rPr>
        <w:t>12</w:t>
      </w:r>
      <w:r>
        <w:rPr>
          <w:rFonts w:hint="eastAsia" w:ascii="仿宋_GB2312" w:hAnsi="宋体" w:eastAsia="仿宋_GB2312" w:cs="仿宋_GB2312"/>
          <w:i w:val="0"/>
          <w:caps w:val="0"/>
          <w:color w:val="000000"/>
          <w:spacing w:val="0"/>
          <w:kern w:val="0"/>
          <w:sz w:val="32"/>
          <w:szCs w:val="32"/>
          <w:lang w:val="en-US" w:eastAsia="zh-CN" w:bidi="ar"/>
        </w:rPr>
        <w:t>月</w:t>
      </w:r>
      <w:r>
        <w:rPr>
          <w:rFonts w:hint="eastAsia" w:ascii="Times New Roman" w:hAnsi="Times New Roman" w:eastAsia="仿宋_GB2312" w:cs="仿宋_GB2312"/>
          <w:i w:val="0"/>
          <w:caps w:val="0"/>
          <w:color w:val="000000"/>
          <w:spacing w:val="0"/>
          <w:kern w:val="0"/>
          <w:sz w:val="32"/>
          <w:szCs w:val="32"/>
          <w:lang w:val="en-US" w:eastAsia="zh-CN" w:bidi="ar"/>
        </w:rPr>
        <w:t>31</w:t>
      </w:r>
      <w:r>
        <w:rPr>
          <w:rFonts w:hint="eastAsia" w:ascii="仿宋_GB2312" w:hAnsi="宋体" w:eastAsia="仿宋_GB2312" w:cs="仿宋_GB2312"/>
          <w:i w:val="0"/>
          <w:caps w:val="0"/>
          <w:color w:val="000000"/>
          <w:spacing w:val="0"/>
          <w:kern w:val="0"/>
          <w:sz w:val="32"/>
          <w:szCs w:val="32"/>
          <w:lang w:val="en-US" w:eastAsia="zh-CN" w:bidi="ar"/>
        </w:rPr>
        <w:t>日，已按规定完成上述各项支出的核算与支付，保障了协税护税队伍的稳定运行和各项工作的顺利开展。</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3</w:t>
      </w:r>
      <w:r>
        <w:rPr>
          <w:rFonts w:hint="eastAsia" w:ascii="仿宋_GB2312" w:hAnsi="宋体" w:eastAsia="仿宋_GB2312" w:cs="仿宋_GB2312"/>
          <w:i w:val="0"/>
          <w:caps w:val="0"/>
          <w:color w:val="000000"/>
          <w:spacing w:val="0"/>
          <w:kern w:val="0"/>
          <w:sz w:val="32"/>
          <w:szCs w:val="32"/>
          <w:lang w:val="en-US" w:eastAsia="zh-CN" w:bidi="ar"/>
        </w:rPr>
        <w:t>.指标设置完成情况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）产出指标：产出指标聚焦服务供给的覆盖面与时效性，设置纳税服务覆盖率和纳税服务及时办结率两项核心指标。其中，纳税服务覆盖率设定目标为≥</w:t>
      </w:r>
      <w:r>
        <w:rPr>
          <w:rFonts w:hint="eastAsia" w:ascii="Times New Roman" w:hAnsi="Times New Roman" w:eastAsia="仿宋_GB2312" w:cs="仿宋_GB2312"/>
          <w:i w:val="0"/>
          <w:caps w:val="0"/>
          <w:color w:val="000000"/>
          <w:spacing w:val="0"/>
          <w:kern w:val="0"/>
          <w:sz w:val="32"/>
          <w:szCs w:val="32"/>
          <w:lang w:val="en-US" w:eastAsia="zh-CN" w:bidi="ar"/>
        </w:rPr>
        <w:t>90</w:t>
      </w:r>
      <w:r>
        <w:rPr>
          <w:rFonts w:hint="default" w:ascii="Times New Roman" w:hAnsi="Times New Roman" w:eastAsia="仿宋_GB2312" w:cs="Times New Roman"/>
          <w:i w:val="0"/>
          <w:caps w:val="0"/>
          <w:color w:val="000000"/>
          <w:spacing w:val="0"/>
          <w:kern w:val="0"/>
          <w:sz w:val="32"/>
          <w:szCs w:val="32"/>
          <w:lang w:val="en-US" w:eastAsia="zh-CN" w:bidi="ar"/>
        </w:rPr>
        <w:t>%</w:t>
      </w:r>
      <w:r>
        <w:rPr>
          <w:rFonts w:hint="eastAsia" w:ascii="仿宋_GB2312" w:hAnsi="宋体" w:eastAsia="仿宋_GB2312" w:cs="仿宋_GB2312"/>
          <w:i w:val="0"/>
          <w:caps w:val="0"/>
          <w:color w:val="000000"/>
          <w:spacing w:val="0"/>
          <w:kern w:val="0"/>
          <w:sz w:val="32"/>
          <w:szCs w:val="32"/>
          <w:lang w:val="en-US" w:eastAsia="zh-CN" w:bidi="ar"/>
        </w:rPr>
        <w:t>，纳税服务及时办结率设定目标为≥</w:t>
      </w:r>
      <w:r>
        <w:rPr>
          <w:rFonts w:hint="eastAsia" w:ascii="Times New Roman" w:hAnsi="Times New Roman" w:eastAsia="仿宋_GB2312" w:cs="仿宋_GB2312"/>
          <w:i w:val="0"/>
          <w:caps w:val="0"/>
          <w:color w:val="000000"/>
          <w:spacing w:val="0"/>
          <w:kern w:val="0"/>
          <w:sz w:val="32"/>
          <w:szCs w:val="32"/>
          <w:lang w:val="en-US" w:eastAsia="zh-CN" w:bidi="ar"/>
        </w:rPr>
        <w:t>90</w:t>
      </w:r>
      <w:r>
        <w:rPr>
          <w:rFonts w:hint="default" w:ascii="Times New Roman" w:hAnsi="Times New Roman" w:eastAsia="仿宋_GB2312" w:cs="Times New Roman"/>
          <w:i w:val="0"/>
          <w:caps w:val="0"/>
          <w:color w:val="000000"/>
          <w:spacing w:val="0"/>
          <w:kern w:val="0"/>
          <w:sz w:val="32"/>
          <w:szCs w:val="32"/>
          <w:lang w:val="en-US" w:eastAsia="zh-CN" w:bidi="ar"/>
        </w:rPr>
        <w:t>%</w:t>
      </w: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年度税务机关对人员每月已完成考核，两项指标均完成设定目标。</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）效益指标：效益指标围绕工作成效与长远影响，设置税收服务优化提升程度和协税护税持续性两项指标，两项指标均完成设定要求。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3</w:t>
      </w:r>
      <w:r>
        <w:rPr>
          <w:rFonts w:hint="eastAsia" w:ascii="仿宋_GB2312" w:hAnsi="宋体" w:eastAsia="仿宋_GB2312" w:cs="仿宋_GB2312"/>
          <w:i w:val="0"/>
          <w:caps w:val="0"/>
          <w:color w:val="000000"/>
          <w:spacing w:val="0"/>
          <w:kern w:val="0"/>
          <w:sz w:val="32"/>
          <w:szCs w:val="32"/>
          <w:lang w:val="en-US" w:eastAsia="zh-CN" w:bidi="ar"/>
        </w:rPr>
        <w:t>）满意度指标：满意度指标设定为纳税人对征税服务满意度，目标值为≥</w:t>
      </w:r>
      <w:r>
        <w:rPr>
          <w:rFonts w:hint="eastAsia" w:ascii="Times New Roman" w:hAnsi="Times New Roman" w:eastAsia="仿宋_GB2312" w:cs="仿宋_GB2312"/>
          <w:i w:val="0"/>
          <w:caps w:val="0"/>
          <w:color w:val="000000"/>
          <w:spacing w:val="0"/>
          <w:kern w:val="0"/>
          <w:sz w:val="32"/>
          <w:szCs w:val="32"/>
          <w:lang w:val="en-US" w:eastAsia="zh-CN" w:bidi="ar"/>
        </w:rPr>
        <w:t>90%</w:t>
      </w: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年度未收到任何针对协税护税服务的有效投诉，满意度指标完成。</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4</w:t>
      </w:r>
      <w:r>
        <w:rPr>
          <w:rFonts w:hint="eastAsia" w:ascii="仿宋_GB2312" w:hAnsi="宋体" w:eastAsia="仿宋_GB2312" w:cs="仿宋_GB2312"/>
          <w:i w:val="0"/>
          <w:caps w:val="0"/>
          <w:color w:val="000000"/>
          <w:spacing w:val="0"/>
          <w:kern w:val="0"/>
          <w:sz w:val="32"/>
          <w:szCs w:val="32"/>
          <w:lang w:val="en-US" w:eastAsia="zh-CN" w:bidi="ar"/>
        </w:rPr>
        <w:t>）成本指标：成本指标聚焦协税人员成本控制，设定年度执行成本为≤</w:t>
      </w:r>
      <w:r>
        <w:rPr>
          <w:rFonts w:hint="eastAsia" w:ascii="Times New Roman" w:hAnsi="Times New Roman" w:eastAsia="仿宋_GB2312" w:cs="仿宋_GB2312"/>
          <w:i w:val="0"/>
          <w:caps w:val="0"/>
          <w:color w:val="000000"/>
          <w:spacing w:val="0"/>
          <w:kern w:val="0"/>
          <w:sz w:val="32"/>
          <w:szCs w:val="32"/>
          <w:lang w:val="en-US" w:eastAsia="zh-CN" w:bidi="ar"/>
        </w:rPr>
        <w:t>6740000</w:t>
      </w:r>
      <w:r>
        <w:rPr>
          <w:rFonts w:hint="eastAsia" w:ascii="仿宋_GB2312" w:hAnsi="宋体" w:eastAsia="仿宋_GB2312" w:cs="仿宋_GB2312"/>
          <w:i w:val="0"/>
          <w:caps w:val="0"/>
          <w:color w:val="000000"/>
          <w:spacing w:val="0"/>
          <w:kern w:val="0"/>
          <w:sz w:val="32"/>
          <w:szCs w:val="32"/>
          <w:lang w:val="en-US" w:eastAsia="zh-CN" w:bidi="ar"/>
        </w:rPr>
        <w:t>元。</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年度项目预算资金</w:t>
      </w:r>
      <w:r>
        <w:rPr>
          <w:rFonts w:hint="eastAsia" w:ascii="Times New Roman" w:hAnsi="Times New Roman" w:eastAsia="仿宋_GB2312" w:cs="仿宋_GB2312"/>
          <w:i w:val="0"/>
          <w:caps w:val="0"/>
          <w:color w:val="000000"/>
          <w:spacing w:val="0"/>
          <w:kern w:val="0"/>
          <w:sz w:val="32"/>
          <w:szCs w:val="32"/>
          <w:lang w:val="en-US" w:eastAsia="zh-CN" w:bidi="ar"/>
        </w:rPr>
        <w:t>6740000</w:t>
      </w:r>
      <w:r>
        <w:rPr>
          <w:rFonts w:hint="eastAsia" w:ascii="仿宋_GB2312" w:hAnsi="宋体" w:eastAsia="仿宋_GB2312" w:cs="仿宋_GB2312"/>
          <w:i w:val="0"/>
          <w:caps w:val="0"/>
          <w:color w:val="000000"/>
          <w:spacing w:val="0"/>
          <w:kern w:val="0"/>
          <w:sz w:val="32"/>
          <w:szCs w:val="32"/>
          <w:lang w:val="en-US" w:eastAsia="zh-CN" w:bidi="ar"/>
        </w:rPr>
        <w:t>元，实际执行资金</w:t>
      </w:r>
      <w:r>
        <w:rPr>
          <w:rFonts w:hint="eastAsia" w:ascii="Times New Roman" w:hAnsi="Times New Roman" w:eastAsia="仿宋_GB2312" w:cs="仿宋_GB2312"/>
          <w:i w:val="0"/>
          <w:caps w:val="0"/>
          <w:color w:val="000000"/>
          <w:spacing w:val="0"/>
          <w:kern w:val="0"/>
          <w:sz w:val="32"/>
          <w:szCs w:val="32"/>
          <w:lang w:val="en-US" w:eastAsia="zh-CN" w:bidi="ar"/>
        </w:rPr>
        <w:t>6650352</w:t>
      </w:r>
      <w:r>
        <w:rPr>
          <w:rFonts w:hint="eastAsia" w:ascii="仿宋_GB2312" w:hAnsi="宋体" w:eastAsia="仿宋_GB2312" w:cs="仿宋_GB2312"/>
          <w:i w:val="0"/>
          <w:caps w:val="0"/>
          <w:color w:val="000000"/>
          <w:spacing w:val="0"/>
          <w:kern w:val="0"/>
          <w:sz w:val="32"/>
          <w:szCs w:val="32"/>
          <w:lang w:val="en-US" w:eastAsia="zh-CN" w:bidi="ar"/>
        </w:rPr>
        <w:t>元，执行率达</w:t>
      </w:r>
      <w:r>
        <w:rPr>
          <w:rFonts w:hint="eastAsia" w:ascii="Times New Roman" w:hAnsi="Times New Roman" w:eastAsia="仿宋_GB2312" w:cs="仿宋_GB2312"/>
          <w:i w:val="0"/>
          <w:caps w:val="0"/>
          <w:color w:val="000000"/>
          <w:spacing w:val="0"/>
          <w:kern w:val="0"/>
          <w:sz w:val="32"/>
          <w:szCs w:val="32"/>
          <w:lang w:val="en-US" w:eastAsia="zh-CN" w:bidi="ar"/>
        </w:rPr>
        <w:t>98</w:t>
      </w: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67%</w:t>
      </w:r>
      <w:r>
        <w:rPr>
          <w:rFonts w:hint="eastAsia" w:ascii="仿宋_GB2312" w:hAnsi="宋体" w:eastAsia="仿宋_GB2312" w:cs="仿宋_GB2312"/>
          <w:i w:val="0"/>
          <w:caps w:val="0"/>
          <w:color w:val="000000"/>
          <w:spacing w:val="0"/>
          <w:kern w:val="0"/>
          <w:sz w:val="32"/>
          <w:szCs w:val="32"/>
          <w:lang w:val="en-US" w:eastAsia="zh-CN" w:bidi="ar"/>
        </w:rPr>
        <w:t>，基本完成资金支出计划，成本控制合理，未出现超预算、资金闲置等情况。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黑体" w:hAnsi="宋体" w:eastAsia="黑体" w:cs="黑体"/>
          <w:i w:val="0"/>
          <w:caps w:val="0"/>
          <w:color w:val="000000"/>
          <w:spacing w:val="0"/>
          <w:kern w:val="0"/>
          <w:sz w:val="32"/>
          <w:szCs w:val="32"/>
          <w:lang w:val="en-US" w:eastAsia="zh-CN" w:bidi="ar"/>
        </w:rPr>
        <w:t>二、项目决策及资金使用管理情况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楷体_GB2312" w:hAnsi="宋体" w:eastAsia="楷体_GB2312" w:cs="楷体_GB2312"/>
          <w:i w:val="0"/>
          <w:caps w:val="0"/>
          <w:color w:val="000000"/>
          <w:spacing w:val="0"/>
          <w:kern w:val="0"/>
          <w:sz w:val="32"/>
          <w:szCs w:val="32"/>
          <w:lang w:val="en-US" w:eastAsia="zh-CN" w:bidi="ar"/>
        </w:rPr>
        <w:t>（一）项目决策情况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决策过程：协税护税工作经费项目的决策遵循“必要性、可行性、科学性”原则，结合吉阳区税源管理实际需求启动立项流程。由国家税务总局三亚市吉阳区税务局向三亚市吉阳区人民政府请示，因吉阳区管辖范围内税收工作量的激增，不能满足工作需要，特申请保障协税人员；为支持吉阳区税务工作，由区财政局保障</w:t>
      </w:r>
      <w:r>
        <w:rPr>
          <w:rFonts w:hint="eastAsia" w:ascii="Times New Roman" w:hAnsi="Times New Roman" w:eastAsia="仿宋_GB2312" w:cs="仿宋_GB2312"/>
          <w:i w:val="0"/>
          <w:caps w:val="0"/>
          <w:color w:val="000000"/>
          <w:spacing w:val="0"/>
          <w:kern w:val="0"/>
          <w:sz w:val="32"/>
          <w:szCs w:val="32"/>
          <w:lang w:val="en-US" w:eastAsia="zh-CN" w:bidi="ar"/>
        </w:rPr>
        <w:t>92</w:t>
      </w:r>
      <w:r>
        <w:rPr>
          <w:rFonts w:hint="eastAsia" w:ascii="仿宋_GB2312" w:hAnsi="宋体" w:eastAsia="仿宋_GB2312" w:cs="仿宋_GB2312"/>
          <w:i w:val="0"/>
          <w:caps w:val="0"/>
          <w:color w:val="000000"/>
          <w:spacing w:val="0"/>
          <w:kern w:val="0"/>
          <w:sz w:val="32"/>
          <w:szCs w:val="32"/>
          <w:lang w:val="en-US" w:eastAsia="zh-CN" w:bidi="ar"/>
        </w:rPr>
        <w:t>名协税人员经费。</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.决策结果：经决策，确定</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年度协税护税工作经费项目预算</w:t>
      </w:r>
      <w:r>
        <w:rPr>
          <w:rFonts w:hint="eastAsia" w:ascii="Times New Roman" w:hAnsi="Times New Roman" w:eastAsia="仿宋_GB2312" w:cs="仿宋_GB2312"/>
          <w:i w:val="0"/>
          <w:caps w:val="0"/>
          <w:color w:val="000000"/>
          <w:spacing w:val="0"/>
          <w:kern w:val="0"/>
          <w:sz w:val="32"/>
          <w:szCs w:val="32"/>
          <w:lang w:val="en-US" w:eastAsia="zh-CN" w:bidi="ar"/>
        </w:rPr>
        <w:t>6,740,000</w:t>
      </w:r>
      <w:r>
        <w:rPr>
          <w:rFonts w:hint="eastAsia" w:ascii="仿宋_GB2312" w:hAnsi="宋体" w:eastAsia="仿宋_GB2312" w:cs="仿宋_GB2312"/>
          <w:i w:val="0"/>
          <w:caps w:val="0"/>
          <w:color w:val="000000"/>
          <w:spacing w:val="0"/>
          <w:kern w:val="0"/>
          <w:sz w:val="32"/>
          <w:szCs w:val="32"/>
          <w:lang w:val="en-US" w:eastAsia="zh-CN" w:bidi="ar"/>
        </w:rPr>
        <w:t>元，用于保障</w:t>
      </w:r>
      <w:r>
        <w:rPr>
          <w:rFonts w:hint="eastAsia" w:ascii="Times New Roman" w:hAnsi="Times New Roman" w:eastAsia="仿宋_GB2312" w:cs="仿宋_GB2312"/>
          <w:i w:val="0"/>
          <w:caps w:val="0"/>
          <w:color w:val="000000"/>
          <w:spacing w:val="0"/>
          <w:kern w:val="0"/>
          <w:sz w:val="32"/>
          <w:szCs w:val="32"/>
          <w:lang w:val="en-US" w:eastAsia="zh-CN" w:bidi="ar"/>
        </w:rPr>
        <w:t>92</w:t>
      </w:r>
      <w:r>
        <w:rPr>
          <w:rFonts w:hint="eastAsia" w:ascii="仿宋_GB2312" w:hAnsi="宋体" w:eastAsia="仿宋_GB2312" w:cs="仿宋_GB2312"/>
          <w:i w:val="0"/>
          <w:caps w:val="0"/>
          <w:color w:val="000000"/>
          <w:spacing w:val="0"/>
          <w:kern w:val="0"/>
          <w:sz w:val="32"/>
          <w:szCs w:val="32"/>
          <w:lang w:val="en-US" w:eastAsia="zh-CN" w:bidi="ar"/>
        </w:rPr>
        <w:t>名协税护税人员的工资、社保、工作午餐、体检费等支出，明确项目实施主体为三亚市吉阳区财政局，核心目标为稳定队伍、提升服务、规范税源、增收保收，决策结果与吉阳区税收征管工作实际需求高度契合，为项目实施奠定了坚实基础。</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楷体_GB2312" w:hAnsi="楷体_GB2312" w:eastAsia="楷体_GB2312" w:cs="楷体_GB2312"/>
          <w:i w:val="0"/>
          <w:caps w:val="0"/>
          <w:color w:val="000000"/>
          <w:spacing w:val="0"/>
          <w:sz w:val="32"/>
          <w:szCs w:val="32"/>
        </w:rPr>
      </w:pPr>
      <w:r>
        <w:rPr>
          <w:rFonts w:hint="eastAsia" w:ascii="楷体_GB2312" w:hAnsi="楷体_GB2312" w:eastAsia="楷体_GB2312" w:cs="楷体_GB2312"/>
          <w:i w:val="0"/>
          <w:caps w:val="0"/>
          <w:color w:val="000000"/>
          <w:spacing w:val="0"/>
          <w:kern w:val="0"/>
          <w:sz w:val="32"/>
          <w:szCs w:val="32"/>
          <w:lang w:val="en-US" w:eastAsia="zh-CN" w:bidi="ar"/>
        </w:rPr>
        <w:t>（二）项目资金安排落实、总投入等情况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.预算安排情况：</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年度协税护税工作经费项目资金总额年初预算数与全年预算数一致，均为</w:t>
      </w:r>
      <w:r>
        <w:rPr>
          <w:rFonts w:hint="eastAsia" w:ascii="Times New Roman" w:hAnsi="Times New Roman" w:eastAsia="仿宋_GB2312" w:cs="仿宋_GB2312"/>
          <w:i w:val="0"/>
          <w:caps w:val="0"/>
          <w:color w:val="000000"/>
          <w:spacing w:val="0"/>
          <w:kern w:val="0"/>
          <w:sz w:val="32"/>
          <w:szCs w:val="32"/>
          <w:lang w:val="en-US" w:eastAsia="zh-CN" w:bidi="ar"/>
        </w:rPr>
        <w:t>6,740,000</w:t>
      </w:r>
      <w:r>
        <w:rPr>
          <w:rFonts w:hint="eastAsia" w:ascii="仿宋_GB2312" w:hAnsi="宋体" w:eastAsia="仿宋_GB2312" w:cs="仿宋_GB2312"/>
          <w:i w:val="0"/>
          <w:caps w:val="0"/>
          <w:color w:val="000000"/>
          <w:spacing w:val="0"/>
          <w:kern w:val="0"/>
          <w:sz w:val="32"/>
          <w:szCs w:val="32"/>
          <w:lang w:val="en-US" w:eastAsia="zh-CN" w:bidi="ar"/>
        </w:rPr>
        <w:t>元，资金来源全部为财政资金，无专户资金及单位自筹资金。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仿宋_GB2312" w:hAnsi="宋体" w:eastAsia="仿宋_GB2312" w:cs="仿宋_GB2312"/>
          <w:i w:val="0"/>
          <w:caps w:val="0"/>
          <w:color w:val="000000"/>
          <w:spacing w:val="0"/>
          <w:kern w:val="0"/>
          <w:sz w:val="32"/>
          <w:szCs w:val="32"/>
          <w:lang w:val="en-US" w:eastAsia="zh-CN" w:bidi="ar"/>
        </w:rPr>
      </w:pP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.资金落实情况：截至</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w:t>
      </w: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月，财政预算资金</w:t>
      </w:r>
      <w:r>
        <w:rPr>
          <w:rFonts w:hint="eastAsia" w:ascii="Times New Roman" w:hAnsi="Times New Roman" w:eastAsia="仿宋_GB2312" w:cs="仿宋_GB2312"/>
          <w:i w:val="0"/>
          <w:caps w:val="0"/>
          <w:color w:val="000000"/>
          <w:spacing w:val="0"/>
          <w:kern w:val="0"/>
          <w:sz w:val="32"/>
          <w:szCs w:val="32"/>
          <w:lang w:val="en-US" w:eastAsia="zh-CN" w:bidi="ar"/>
        </w:rPr>
        <w:t>6,740,000</w:t>
      </w:r>
      <w:r>
        <w:rPr>
          <w:rFonts w:hint="eastAsia" w:ascii="仿宋_GB2312" w:hAnsi="宋体" w:eastAsia="仿宋_GB2312" w:cs="仿宋_GB2312"/>
          <w:i w:val="0"/>
          <w:caps w:val="0"/>
          <w:color w:val="000000"/>
          <w:spacing w:val="0"/>
          <w:kern w:val="0"/>
          <w:sz w:val="32"/>
          <w:szCs w:val="32"/>
          <w:lang w:val="en-US" w:eastAsia="zh-CN" w:bidi="ar"/>
        </w:rPr>
        <w:t>元指标已全额下达至三亚市吉阳区财政局，资金落实及时到位，无延迟拨付、资金缺口等情况，为项目顺利实施提供了充足的资金保障。</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楷体_GB2312" w:hAnsi="楷体_GB2312" w:eastAsia="楷体_GB2312" w:cs="楷体_GB2312"/>
          <w:i w:val="0"/>
          <w:caps w:val="0"/>
          <w:color w:val="000000"/>
          <w:spacing w:val="0"/>
          <w:kern w:val="0"/>
          <w:sz w:val="32"/>
          <w:szCs w:val="32"/>
          <w:lang w:val="en-US" w:eastAsia="zh-CN" w:bidi="ar"/>
        </w:rPr>
        <w:t>（三）项目资金实际使用情况</w:t>
      </w:r>
      <w:r>
        <w:rPr>
          <w:rFonts w:hint="eastAsia" w:ascii="仿宋_GB2312" w:hAnsi="宋体" w:eastAsia="仿宋_GB2312" w:cs="仿宋_GB2312"/>
          <w:i w:val="0"/>
          <w:caps w:val="0"/>
          <w:color w:val="000000"/>
          <w:spacing w:val="0"/>
          <w:kern w:val="0"/>
          <w:sz w:val="32"/>
          <w:szCs w:val="32"/>
          <w:lang w:val="en-US" w:eastAsia="zh-CN" w:bidi="ar"/>
        </w:rPr>
        <w:t>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年度项目资金实际执行情况如下：资金总额全年执行数</w:t>
      </w:r>
      <w:r>
        <w:rPr>
          <w:rFonts w:hint="eastAsia" w:ascii="Times New Roman" w:hAnsi="Times New Roman" w:eastAsia="仿宋_GB2312" w:cs="仿宋_GB2312"/>
          <w:i w:val="0"/>
          <w:caps w:val="0"/>
          <w:color w:val="000000"/>
          <w:spacing w:val="0"/>
          <w:kern w:val="0"/>
          <w:sz w:val="32"/>
          <w:szCs w:val="32"/>
          <w:lang w:val="en-US" w:eastAsia="zh-CN" w:bidi="ar"/>
        </w:rPr>
        <w:t>6,650,352</w:t>
      </w:r>
      <w:r>
        <w:rPr>
          <w:rFonts w:hint="eastAsia" w:ascii="仿宋_GB2312" w:hAnsi="宋体" w:eastAsia="仿宋_GB2312" w:cs="仿宋_GB2312"/>
          <w:i w:val="0"/>
          <w:caps w:val="0"/>
          <w:color w:val="000000"/>
          <w:spacing w:val="0"/>
          <w:kern w:val="0"/>
          <w:sz w:val="32"/>
          <w:szCs w:val="32"/>
          <w:lang w:val="en-US" w:eastAsia="zh-CN" w:bidi="ar"/>
        </w:rPr>
        <w:t>元，执行率</w:t>
      </w:r>
      <w:r>
        <w:rPr>
          <w:rFonts w:hint="eastAsia" w:ascii="Times New Roman" w:hAnsi="Times New Roman" w:eastAsia="仿宋_GB2312" w:cs="仿宋_GB2312"/>
          <w:i w:val="0"/>
          <w:caps w:val="0"/>
          <w:color w:val="000000"/>
          <w:spacing w:val="0"/>
          <w:kern w:val="0"/>
          <w:sz w:val="32"/>
          <w:szCs w:val="32"/>
          <w:lang w:val="en-US" w:eastAsia="zh-CN" w:bidi="ar"/>
        </w:rPr>
        <w:t>98</w:t>
      </w: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67%</w:t>
      </w:r>
      <w:r>
        <w:rPr>
          <w:rFonts w:hint="eastAsia" w:ascii="仿宋_GB2312" w:hAnsi="宋体" w:eastAsia="仿宋_GB2312" w:cs="仿宋_GB2312"/>
          <w:i w:val="0"/>
          <w:caps w:val="0"/>
          <w:color w:val="000000"/>
          <w:spacing w:val="0"/>
          <w:kern w:val="0"/>
          <w:sz w:val="32"/>
          <w:szCs w:val="32"/>
          <w:lang w:val="en-US" w:eastAsia="zh-CN" w:bidi="ar"/>
        </w:rPr>
        <w:t>。其中，财政资金全年执行数</w:t>
      </w:r>
      <w:r>
        <w:rPr>
          <w:rFonts w:hint="eastAsia" w:ascii="Times New Roman" w:hAnsi="Times New Roman" w:eastAsia="仿宋_GB2312" w:cs="仿宋_GB2312"/>
          <w:i w:val="0"/>
          <w:caps w:val="0"/>
          <w:color w:val="000000"/>
          <w:spacing w:val="0"/>
          <w:kern w:val="0"/>
          <w:sz w:val="32"/>
          <w:szCs w:val="32"/>
          <w:lang w:val="en-US" w:eastAsia="zh-CN" w:bidi="ar"/>
        </w:rPr>
        <w:t>6,650,352</w:t>
      </w:r>
      <w:r>
        <w:rPr>
          <w:rFonts w:hint="eastAsia" w:ascii="仿宋_GB2312" w:hAnsi="宋体" w:eastAsia="仿宋_GB2312" w:cs="仿宋_GB2312"/>
          <w:i w:val="0"/>
          <w:caps w:val="0"/>
          <w:color w:val="000000"/>
          <w:spacing w:val="0"/>
          <w:kern w:val="0"/>
          <w:sz w:val="32"/>
          <w:szCs w:val="32"/>
          <w:lang w:val="en-US" w:eastAsia="zh-CN" w:bidi="ar"/>
        </w:rPr>
        <w:t>元，执行率</w:t>
      </w:r>
      <w:r>
        <w:rPr>
          <w:rFonts w:hint="eastAsia" w:ascii="Times New Roman" w:hAnsi="Times New Roman" w:eastAsia="仿宋_GB2312" w:cs="仿宋_GB2312"/>
          <w:i w:val="0"/>
          <w:caps w:val="0"/>
          <w:color w:val="000000"/>
          <w:spacing w:val="0"/>
          <w:kern w:val="0"/>
          <w:sz w:val="32"/>
          <w:szCs w:val="32"/>
          <w:lang w:val="en-US" w:eastAsia="zh-CN" w:bidi="ar"/>
        </w:rPr>
        <w:t>98</w:t>
      </w: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67%</w:t>
      </w:r>
      <w:r>
        <w:rPr>
          <w:rFonts w:hint="eastAsia" w:ascii="仿宋_GB2312" w:hAnsi="宋体" w:eastAsia="仿宋_GB2312" w:cs="仿宋_GB2312"/>
          <w:i w:val="0"/>
          <w:caps w:val="0"/>
          <w:color w:val="000000"/>
          <w:spacing w:val="0"/>
          <w:kern w:val="0"/>
          <w:sz w:val="32"/>
          <w:szCs w:val="32"/>
          <w:lang w:val="en-US" w:eastAsia="zh-CN" w:bidi="ar"/>
        </w:rPr>
        <w:t>，无专户资金及单位自筹资金支出。</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楷体_GB2312" w:hAnsi="楷体_GB2312" w:eastAsia="楷体_GB2312" w:cs="楷体_GB2312"/>
          <w:i w:val="0"/>
          <w:caps w:val="0"/>
          <w:color w:val="000000"/>
          <w:spacing w:val="0"/>
          <w:sz w:val="27"/>
          <w:szCs w:val="27"/>
        </w:rPr>
      </w:pPr>
      <w:r>
        <w:rPr>
          <w:rFonts w:hint="eastAsia" w:ascii="楷体_GB2312" w:hAnsi="楷体_GB2312" w:eastAsia="楷体_GB2312" w:cs="楷体_GB2312"/>
          <w:i w:val="0"/>
          <w:caps w:val="0"/>
          <w:color w:val="000000"/>
          <w:spacing w:val="0"/>
          <w:kern w:val="0"/>
          <w:sz w:val="32"/>
          <w:szCs w:val="32"/>
          <w:lang w:val="en-US" w:eastAsia="zh-CN" w:bidi="ar"/>
        </w:rPr>
        <w:t>（四）项目资金管理情况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.管理制度建设：为规范项目资金使用管理，三亚市吉阳区财政局严格遵循《中华人民共和国预算法》等相关法律法规，明确资金使用范围、审批流程、支付标准等要求，确保资金管理有章可循、有据可依。</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制度执行情况：在资金使用过程中，严格执行“专款专用、先批后支、据实报销”原则。各项支出均需履行审批流程，报销时需提供完整的原始凭证（如工资表、发票、人员合同等），确保支出真实合规。财务部门对资金使用情况进行账务核对，及时掌握资金执行情况，未发现截留、挤占、挪用、虚列支出等违规违纪问题，资金管理规范有序。</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黑体" w:hAnsi="黑体" w:eastAsia="黑体" w:cs="黑体"/>
          <w:i w:val="0"/>
          <w:caps w:val="0"/>
          <w:color w:val="000000"/>
          <w:spacing w:val="0"/>
          <w:sz w:val="32"/>
          <w:szCs w:val="32"/>
        </w:rPr>
      </w:pPr>
      <w:r>
        <w:rPr>
          <w:rFonts w:hint="eastAsia" w:ascii="黑体" w:hAnsi="黑体" w:eastAsia="黑体" w:cs="黑体"/>
          <w:i w:val="0"/>
          <w:caps w:val="0"/>
          <w:color w:val="000000"/>
          <w:spacing w:val="0"/>
          <w:kern w:val="0"/>
          <w:sz w:val="32"/>
          <w:szCs w:val="32"/>
          <w:lang w:val="en-US" w:eastAsia="zh-CN" w:bidi="ar"/>
        </w:rPr>
        <w:t>三、项目组织实施情况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楷体_GB2312" w:hAnsi="楷体_GB2312" w:eastAsia="楷体_GB2312" w:cs="楷体_GB2312"/>
          <w:i w:val="0"/>
          <w:caps w:val="0"/>
          <w:color w:val="000000"/>
          <w:spacing w:val="0"/>
          <w:sz w:val="27"/>
          <w:szCs w:val="27"/>
        </w:rPr>
      </w:pPr>
      <w:r>
        <w:rPr>
          <w:rFonts w:hint="eastAsia" w:ascii="楷体_GB2312" w:hAnsi="楷体_GB2312" w:eastAsia="楷体_GB2312" w:cs="楷体_GB2312"/>
          <w:i w:val="0"/>
          <w:caps w:val="0"/>
          <w:color w:val="000000"/>
          <w:spacing w:val="0"/>
          <w:kern w:val="0"/>
          <w:sz w:val="32"/>
          <w:szCs w:val="32"/>
          <w:lang w:val="en-US" w:eastAsia="zh-CN" w:bidi="ar"/>
        </w:rPr>
        <w:t>（一）项目组织情况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组织架构：为保障项目顺利实施，每月吉阳区城投开具发票、提供工资表、出勤表以及收集的绩效考核表，交由区财政局经办人，经办人制单审核交由分管领导及单位负责人审核，审核后再交由局报账员审核并进行报销，拨付严格按照区支付中心报销流程。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.项目调整及验收情况：</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年度项目实施过程中，未发生重大调整事项，人员数量、支出范围、工作任务等均按原计划推进。</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楷体_GB2312" w:hAnsi="楷体_GB2312" w:eastAsia="楷体_GB2312" w:cs="楷体_GB2312"/>
          <w:i w:val="0"/>
          <w:caps w:val="0"/>
          <w:color w:val="000000"/>
          <w:spacing w:val="0"/>
          <w:sz w:val="27"/>
          <w:szCs w:val="27"/>
        </w:rPr>
      </w:pPr>
      <w:r>
        <w:rPr>
          <w:rFonts w:hint="eastAsia" w:ascii="楷体_GB2312" w:hAnsi="楷体_GB2312" w:eastAsia="楷体_GB2312" w:cs="楷体_GB2312"/>
          <w:i w:val="0"/>
          <w:caps w:val="0"/>
          <w:color w:val="000000"/>
          <w:spacing w:val="0"/>
          <w:kern w:val="0"/>
          <w:sz w:val="32"/>
          <w:szCs w:val="32"/>
          <w:lang w:val="en-US" w:eastAsia="zh-CN" w:bidi="ar"/>
        </w:rPr>
        <w:t>（二）项目管理情况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该项目有指定人员进行对接，保障每月能够及时报销，及时发放协税护税人员的工资福利等。其中，人员的考核由用人单位进行考核，每月用人单位应按时提供人员考核表及人员出勤记录，考核表必须有用人单位指定人员签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黑体" w:hAnsi="黑体" w:eastAsia="黑体" w:cs="黑体"/>
          <w:i w:val="0"/>
          <w:caps w:val="0"/>
          <w:color w:val="000000"/>
          <w:spacing w:val="0"/>
          <w:kern w:val="0"/>
          <w:sz w:val="32"/>
          <w:szCs w:val="32"/>
          <w:lang w:val="en-US" w:eastAsia="zh-CN" w:bidi="ar"/>
        </w:rPr>
        <w:t>四、项目绩效情况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楷体_GB2312" w:hAnsi="楷体_GB2312" w:eastAsia="楷体_GB2312" w:cs="楷体_GB2312"/>
          <w:i w:val="0"/>
          <w:caps w:val="0"/>
          <w:color w:val="000000"/>
          <w:spacing w:val="0"/>
          <w:kern w:val="0"/>
          <w:sz w:val="32"/>
          <w:szCs w:val="32"/>
          <w:lang w:val="en-US" w:eastAsia="zh-CN" w:bidi="ar"/>
        </w:rPr>
        <w:t>（一）项目绩效目标完成情况</w:t>
      </w:r>
      <w:r>
        <w:rPr>
          <w:rFonts w:hint="eastAsia" w:ascii="仿宋_GB2312" w:hAnsi="宋体" w:eastAsia="仿宋_GB2312" w:cs="仿宋_GB2312"/>
          <w:i w:val="0"/>
          <w:caps w:val="0"/>
          <w:color w:val="000000"/>
          <w:spacing w:val="0"/>
          <w:kern w:val="0"/>
          <w:sz w:val="32"/>
          <w:szCs w:val="32"/>
          <w:lang w:val="en-US" w:eastAsia="zh-CN" w:bidi="ar"/>
        </w:rPr>
        <w:t>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.经济性分析</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项目经济性主要体现在成本控制与资金节约方面。</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年度项目预算</w:t>
      </w:r>
      <w:r>
        <w:rPr>
          <w:rFonts w:hint="eastAsia" w:ascii="Times New Roman" w:hAnsi="Times New Roman" w:eastAsia="仿宋_GB2312" w:cs="仿宋_GB2312"/>
          <w:i w:val="0"/>
          <w:caps w:val="0"/>
          <w:color w:val="000000"/>
          <w:spacing w:val="0"/>
          <w:kern w:val="0"/>
          <w:sz w:val="32"/>
          <w:szCs w:val="32"/>
          <w:lang w:val="en-US" w:eastAsia="zh-CN" w:bidi="ar"/>
        </w:rPr>
        <w:t>6,740,000</w:t>
      </w:r>
      <w:r>
        <w:rPr>
          <w:rFonts w:hint="eastAsia" w:ascii="仿宋_GB2312" w:hAnsi="宋体" w:eastAsia="仿宋_GB2312" w:cs="仿宋_GB2312"/>
          <w:i w:val="0"/>
          <w:caps w:val="0"/>
          <w:color w:val="000000"/>
          <w:spacing w:val="0"/>
          <w:kern w:val="0"/>
          <w:sz w:val="32"/>
          <w:szCs w:val="32"/>
          <w:lang w:val="en-US" w:eastAsia="zh-CN" w:bidi="ar"/>
        </w:rPr>
        <w:t>元，实际支出</w:t>
      </w:r>
      <w:r>
        <w:rPr>
          <w:rFonts w:hint="eastAsia" w:ascii="Times New Roman" w:hAnsi="Times New Roman" w:eastAsia="仿宋_GB2312" w:cs="仿宋_GB2312"/>
          <w:i w:val="0"/>
          <w:caps w:val="0"/>
          <w:color w:val="000000"/>
          <w:spacing w:val="0"/>
          <w:kern w:val="0"/>
          <w:sz w:val="32"/>
          <w:szCs w:val="32"/>
          <w:lang w:val="en-US" w:eastAsia="zh-CN" w:bidi="ar"/>
        </w:rPr>
        <w:t>6,650,352</w:t>
      </w:r>
      <w:r>
        <w:rPr>
          <w:rFonts w:hint="eastAsia" w:ascii="仿宋_GB2312" w:hAnsi="宋体" w:eastAsia="仿宋_GB2312" w:cs="仿宋_GB2312"/>
          <w:i w:val="0"/>
          <w:caps w:val="0"/>
          <w:color w:val="000000"/>
          <w:spacing w:val="0"/>
          <w:kern w:val="0"/>
          <w:sz w:val="32"/>
          <w:szCs w:val="32"/>
          <w:lang w:val="en-US" w:eastAsia="zh-CN" w:bidi="ar"/>
        </w:rPr>
        <w:t>元，节约资金</w:t>
      </w:r>
      <w:r>
        <w:rPr>
          <w:rFonts w:hint="eastAsia" w:ascii="Times New Roman" w:hAnsi="Times New Roman" w:eastAsia="仿宋_GB2312" w:cs="仿宋_GB2312"/>
          <w:i w:val="0"/>
          <w:caps w:val="0"/>
          <w:color w:val="000000"/>
          <w:spacing w:val="0"/>
          <w:kern w:val="0"/>
          <w:sz w:val="32"/>
          <w:szCs w:val="32"/>
          <w:lang w:val="en-US" w:eastAsia="zh-CN" w:bidi="ar"/>
        </w:rPr>
        <w:t>89,648</w:t>
      </w:r>
      <w:r>
        <w:rPr>
          <w:rFonts w:hint="eastAsia" w:ascii="仿宋_GB2312" w:hAnsi="宋体" w:eastAsia="仿宋_GB2312" w:cs="仿宋_GB2312"/>
          <w:i w:val="0"/>
          <w:caps w:val="0"/>
          <w:color w:val="000000"/>
          <w:spacing w:val="0"/>
          <w:kern w:val="0"/>
          <w:sz w:val="32"/>
          <w:szCs w:val="32"/>
          <w:lang w:val="en-US" w:eastAsia="zh-CN" w:bidi="ar"/>
        </w:rPr>
        <w:t>元，资金执行率达</w:t>
      </w:r>
      <w:r>
        <w:rPr>
          <w:rFonts w:hint="eastAsia" w:ascii="Times New Roman" w:hAnsi="Times New Roman" w:eastAsia="仿宋_GB2312" w:cs="仿宋_GB2312"/>
          <w:i w:val="0"/>
          <w:caps w:val="0"/>
          <w:color w:val="000000"/>
          <w:spacing w:val="0"/>
          <w:kern w:val="0"/>
          <w:sz w:val="32"/>
          <w:szCs w:val="32"/>
          <w:lang w:val="en-US" w:eastAsia="zh-CN" w:bidi="ar"/>
        </w:rPr>
        <w:t>98</w:t>
      </w: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67%</w:t>
      </w:r>
      <w:r>
        <w:rPr>
          <w:rFonts w:hint="eastAsia" w:ascii="仿宋_GB2312" w:hAnsi="宋体" w:eastAsia="仿宋_GB2312" w:cs="仿宋_GB2312"/>
          <w:i w:val="0"/>
          <w:caps w:val="0"/>
          <w:color w:val="000000"/>
          <w:spacing w:val="0"/>
          <w:kern w:val="0"/>
          <w:sz w:val="32"/>
          <w:szCs w:val="32"/>
          <w:lang w:val="en-US" w:eastAsia="zh-CN" w:bidi="ar"/>
        </w:rPr>
        <w:t>，超额完成</w:t>
      </w:r>
      <w:r>
        <w:rPr>
          <w:rFonts w:hint="eastAsia" w:ascii="Times New Roman" w:hAnsi="Times New Roman" w:eastAsia="仿宋_GB2312" w:cs="仿宋_GB2312"/>
          <w:i w:val="0"/>
          <w:caps w:val="0"/>
          <w:color w:val="000000"/>
          <w:spacing w:val="0"/>
          <w:kern w:val="0"/>
          <w:sz w:val="32"/>
          <w:szCs w:val="32"/>
          <w:lang w:val="en-US" w:eastAsia="zh-CN" w:bidi="ar"/>
        </w:rPr>
        <w:t>95%</w:t>
      </w:r>
      <w:r>
        <w:rPr>
          <w:rFonts w:hint="eastAsia" w:ascii="仿宋_GB2312" w:hAnsi="宋体" w:eastAsia="仿宋_GB2312" w:cs="仿宋_GB2312"/>
          <w:i w:val="0"/>
          <w:caps w:val="0"/>
          <w:color w:val="000000"/>
          <w:spacing w:val="0"/>
          <w:kern w:val="0"/>
          <w:sz w:val="32"/>
          <w:szCs w:val="32"/>
          <w:lang w:val="en-US" w:eastAsia="zh-CN" w:bidi="ar"/>
        </w:rPr>
        <w:t>的执行率目标。成本控制方面，人员工资、社保等支出严格按照三亚市相关薪酬标准及社保缴费基数核算，未出现超标准支出情况；工作午餐、体检等服务通过政府采购方式确定供应商，有效降低了服务成本。同时，通过优化人员配置、提高工作效率，实现了“花小钱办大事”的目标，项目成本效益较高。</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.效率性分析</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项目效率性主要体现在实施进度与工作质量两方面。在实施进度上，项目按计划完成了</w:t>
      </w:r>
      <w:r>
        <w:rPr>
          <w:rFonts w:hint="eastAsia" w:ascii="Times New Roman" w:hAnsi="Times New Roman" w:eastAsia="仿宋_GB2312" w:cs="仿宋_GB2312"/>
          <w:i w:val="0"/>
          <w:caps w:val="0"/>
          <w:color w:val="000000"/>
          <w:spacing w:val="0"/>
          <w:kern w:val="0"/>
          <w:sz w:val="32"/>
          <w:szCs w:val="32"/>
          <w:lang w:val="en-US" w:eastAsia="zh-CN" w:bidi="ar"/>
        </w:rPr>
        <w:t>92</w:t>
      </w:r>
      <w:r>
        <w:rPr>
          <w:rFonts w:hint="eastAsia" w:ascii="仿宋_GB2312" w:hAnsi="宋体" w:eastAsia="仿宋_GB2312" w:cs="仿宋_GB2312"/>
          <w:i w:val="0"/>
          <w:caps w:val="0"/>
          <w:color w:val="000000"/>
          <w:spacing w:val="0"/>
          <w:kern w:val="0"/>
          <w:sz w:val="32"/>
          <w:szCs w:val="32"/>
          <w:lang w:val="en-US" w:eastAsia="zh-CN" w:bidi="ar"/>
        </w:rPr>
        <w:t>名协税护税人员</w:t>
      </w:r>
      <w:r>
        <w:rPr>
          <w:rFonts w:hint="eastAsia" w:ascii="Times New Roman" w:hAnsi="Times New Roman" w:eastAsia="仿宋_GB2312" w:cs="仿宋_GB2312"/>
          <w:i w:val="0"/>
          <w:caps w:val="0"/>
          <w:color w:val="000000"/>
          <w:spacing w:val="0"/>
          <w:kern w:val="0"/>
          <w:sz w:val="32"/>
          <w:szCs w:val="32"/>
          <w:lang w:val="en-US" w:eastAsia="zh-CN" w:bidi="ar"/>
        </w:rPr>
        <w:t>2024</w:t>
      </w:r>
      <w:r>
        <w:rPr>
          <w:rFonts w:hint="eastAsia" w:ascii="仿宋_GB2312" w:hAnsi="宋体" w:eastAsia="仿宋_GB2312" w:cs="仿宋_GB2312"/>
          <w:i w:val="0"/>
          <w:caps w:val="0"/>
          <w:color w:val="000000"/>
          <w:spacing w:val="0"/>
          <w:kern w:val="0"/>
          <w:sz w:val="32"/>
          <w:szCs w:val="32"/>
          <w:lang w:val="en-US" w:eastAsia="zh-CN" w:bidi="ar"/>
        </w:rPr>
        <w:t>年</w:t>
      </w:r>
      <w:r>
        <w:rPr>
          <w:rFonts w:hint="eastAsia" w:ascii="Times New Roman" w:hAnsi="Times New Roman" w:eastAsia="仿宋_GB2312" w:cs="仿宋_GB2312"/>
          <w:i w:val="0"/>
          <w:caps w:val="0"/>
          <w:color w:val="000000"/>
          <w:spacing w:val="0"/>
          <w:kern w:val="0"/>
          <w:sz w:val="32"/>
          <w:szCs w:val="32"/>
          <w:lang w:val="en-US" w:eastAsia="zh-CN" w:bidi="ar"/>
        </w:rPr>
        <w:t>12</w:t>
      </w:r>
      <w:r>
        <w:rPr>
          <w:rFonts w:hint="eastAsia" w:ascii="仿宋_GB2312" w:hAnsi="宋体" w:eastAsia="仿宋_GB2312" w:cs="仿宋_GB2312"/>
          <w:i w:val="0"/>
          <w:caps w:val="0"/>
          <w:color w:val="000000"/>
          <w:spacing w:val="0"/>
          <w:kern w:val="0"/>
          <w:sz w:val="32"/>
          <w:szCs w:val="32"/>
          <w:lang w:val="en-US" w:eastAsia="zh-CN" w:bidi="ar"/>
        </w:rPr>
        <w:t>月至</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w:t>
      </w:r>
      <w:r>
        <w:rPr>
          <w:rFonts w:hint="eastAsia" w:ascii="Times New Roman" w:hAnsi="Times New Roman" w:eastAsia="仿宋_GB2312" w:cs="仿宋_GB2312"/>
          <w:i w:val="0"/>
          <w:caps w:val="0"/>
          <w:color w:val="000000"/>
          <w:spacing w:val="0"/>
          <w:kern w:val="0"/>
          <w:sz w:val="32"/>
          <w:szCs w:val="32"/>
          <w:lang w:val="en-US" w:eastAsia="zh-CN" w:bidi="ar"/>
        </w:rPr>
        <w:t>11</w:t>
      </w:r>
      <w:r>
        <w:rPr>
          <w:rFonts w:hint="eastAsia" w:ascii="仿宋_GB2312" w:hAnsi="宋体" w:eastAsia="仿宋_GB2312" w:cs="仿宋_GB2312"/>
          <w:i w:val="0"/>
          <w:caps w:val="0"/>
          <w:color w:val="000000"/>
          <w:spacing w:val="0"/>
          <w:kern w:val="0"/>
          <w:sz w:val="32"/>
          <w:szCs w:val="32"/>
          <w:lang w:val="en-US" w:eastAsia="zh-CN" w:bidi="ar"/>
        </w:rPr>
        <w:t>月的薪酬福利及工作保障支出，各项资金支付及时，未出现延迟支付情况；协税护税各项工作任务（如税源排查、政策宣传、纳税辅导等）均在年度内完成，未出现逾期未完成事项。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3</w:t>
      </w:r>
      <w:r>
        <w:rPr>
          <w:rFonts w:hint="eastAsia" w:ascii="仿宋_GB2312" w:hAnsi="宋体" w:eastAsia="仿宋_GB2312" w:cs="仿宋_GB2312"/>
          <w:i w:val="0"/>
          <w:caps w:val="0"/>
          <w:color w:val="000000"/>
          <w:spacing w:val="0"/>
          <w:kern w:val="0"/>
          <w:sz w:val="32"/>
          <w:szCs w:val="32"/>
          <w:lang w:val="en-US" w:eastAsia="zh-CN" w:bidi="ar"/>
        </w:rPr>
        <w:t>.有效性分析</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项目有效性主要体现在资金使用效果与目标实现程度方面。</w:t>
      </w:r>
      <w:r>
        <w:rPr>
          <w:rFonts w:hint="eastAsia" w:ascii="仿宋_GB2312" w:hAnsi="宋体" w:eastAsia="仿宋_GB2312" w:cs="仿宋_GB2312"/>
          <w:b/>
          <w:bCs/>
          <w:i w:val="0"/>
          <w:caps w:val="0"/>
          <w:color w:val="000000"/>
          <w:spacing w:val="0"/>
          <w:kern w:val="0"/>
          <w:sz w:val="32"/>
          <w:szCs w:val="32"/>
          <w:lang w:val="en-US" w:eastAsia="zh-CN" w:bidi="ar"/>
        </w:rPr>
        <w:t>一是</w:t>
      </w:r>
      <w:r>
        <w:rPr>
          <w:rFonts w:hint="eastAsia" w:ascii="仿宋_GB2312" w:hAnsi="宋体" w:eastAsia="仿宋_GB2312" w:cs="仿宋_GB2312"/>
          <w:i w:val="0"/>
          <w:caps w:val="0"/>
          <w:color w:val="000000"/>
          <w:spacing w:val="0"/>
          <w:kern w:val="0"/>
          <w:sz w:val="32"/>
          <w:szCs w:val="32"/>
          <w:lang w:val="en-US" w:eastAsia="zh-CN" w:bidi="ar"/>
        </w:rPr>
        <w:t>队伍建设成效显著，全年协税护税人员离职率较低，人员队伍稳定。</w:t>
      </w:r>
      <w:r>
        <w:rPr>
          <w:rFonts w:hint="eastAsia" w:ascii="仿宋_GB2312" w:hAnsi="宋体" w:eastAsia="仿宋_GB2312" w:cs="仿宋_GB2312"/>
          <w:b/>
          <w:bCs/>
          <w:i w:val="0"/>
          <w:caps w:val="0"/>
          <w:color w:val="000000"/>
          <w:spacing w:val="0"/>
          <w:kern w:val="0"/>
          <w:sz w:val="32"/>
          <w:szCs w:val="32"/>
          <w:lang w:val="en-US" w:eastAsia="zh-CN" w:bidi="ar"/>
        </w:rPr>
        <w:t>二是</w:t>
      </w:r>
      <w:r>
        <w:rPr>
          <w:rFonts w:hint="eastAsia" w:ascii="仿宋_GB2312" w:hAnsi="宋体" w:eastAsia="仿宋_GB2312" w:cs="仿宋_GB2312"/>
          <w:i w:val="0"/>
          <w:caps w:val="0"/>
          <w:color w:val="000000"/>
          <w:spacing w:val="0"/>
          <w:kern w:val="0"/>
          <w:sz w:val="32"/>
          <w:szCs w:val="32"/>
          <w:lang w:val="en-US" w:eastAsia="zh-CN" w:bidi="ar"/>
        </w:rPr>
        <w:t>纳税服务持续优化，全年区财政局未接到任何服务投诉，纳税服务体验持续改善。</w:t>
      </w:r>
      <w:r>
        <w:rPr>
          <w:rFonts w:hint="eastAsia" w:ascii="仿宋_GB2312" w:hAnsi="宋体" w:eastAsia="仿宋_GB2312" w:cs="仿宋_GB2312"/>
          <w:b/>
          <w:bCs/>
          <w:i w:val="0"/>
          <w:caps w:val="0"/>
          <w:color w:val="000000"/>
          <w:spacing w:val="0"/>
          <w:kern w:val="0"/>
          <w:sz w:val="32"/>
          <w:szCs w:val="32"/>
          <w:lang w:val="en-US" w:eastAsia="zh-CN" w:bidi="ar"/>
        </w:rPr>
        <w:t>三是</w:t>
      </w:r>
      <w:r>
        <w:rPr>
          <w:rFonts w:hint="eastAsia" w:ascii="仿宋_GB2312" w:hAnsi="宋体" w:eastAsia="仿宋_GB2312" w:cs="仿宋_GB2312"/>
          <w:i w:val="0"/>
          <w:caps w:val="0"/>
          <w:color w:val="000000"/>
          <w:spacing w:val="0"/>
          <w:kern w:val="0"/>
          <w:sz w:val="32"/>
          <w:szCs w:val="32"/>
          <w:lang w:val="en-US" w:eastAsia="zh-CN" w:bidi="ar"/>
        </w:rPr>
        <w:t>部门协作更加紧密，与税务等部门建立了常态化沟通协作，形成了协税护税工作合力，工作成效显著。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4</w:t>
      </w:r>
      <w:r>
        <w:rPr>
          <w:rFonts w:hint="eastAsia" w:ascii="仿宋_GB2312" w:hAnsi="宋体" w:eastAsia="仿宋_GB2312" w:cs="仿宋_GB2312"/>
          <w:i w:val="0"/>
          <w:caps w:val="0"/>
          <w:color w:val="000000"/>
          <w:spacing w:val="0"/>
          <w:kern w:val="0"/>
          <w:sz w:val="32"/>
          <w:szCs w:val="32"/>
          <w:lang w:val="en-US" w:eastAsia="zh-CN" w:bidi="ar"/>
        </w:rPr>
        <w:t>.可持续性分析</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项目可持续性主要体现在政策支持、队伍建设、机制保障等方面。</w:t>
      </w:r>
      <w:r>
        <w:rPr>
          <w:rFonts w:hint="eastAsia" w:ascii="仿宋_GB2312" w:hAnsi="宋体" w:eastAsia="仿宋_GB2312" w:cs="仿宋_GB2312"/>
          <w:b/>
          <w:bCs/>
          <w:i w:val="0"/>
          <w:caps w:val="0"/>
          <w:color w:val="000000"/>
          <w:spacing w:val="0"/>
          <w:kern w:val="0"/>
          <w:sz w:val="32"/>
          <w:szCs w:val="32"/>
          <w:lang w:val="en-US" w:eastAsia="zh-CN" w:bidi="ar"/>
        </w:rPr>
        <w:t>政策层面</w:t>
      </w:r>
      <w:r>
        <w:rPr>
          <w:rFonts w:hint="eastAsia" w:ascii="仿宋_GB2312" w:hAnsi="宋体" w:eastAsia="仿宋_GB2312" w:cs="仿宋_GB2312"/>
          <w:i w:val="0"/>
          <w:caps w:val="0"/>
          <w:color w:val="000000"/>
          <w:spacing w:val="0"/>
          <w:kern w:val="0"/>
          <w:sz w:val="32"/>
          <w:szCs w:val="32"/>
          <w:lang w:val="en-US" w:eastAsia="zh-CN" w:bidi="ar"/>
        </w:rPr>
        <w:t>，协税护税工作是落实国家税收征管改革、推进税源精细化管理的重要举措，符合上级政策导向，具有明确的政策支持。</w:t>
      </w:r>
      <w:r>
        <w:rPr>
          <w:rFonts w:hint="eastAsia" w:ascii="仿宋_GB2312" w:hAnsi="宋体" w:eastAsia="仿宋_GB2312" w:cs="仿宋_GB2312"/>
          <w:b/>
          <w:bCs/>
          <w:i w:val="0"/>
          <w:caps w:val="0"/>
          <w:color w:val="000000"/>
          <w:spacing w:val="0"/>
          <w:kern w:val="0"/>
          <w:sz w:val="32"/>
          <w:szCs w:val="32"/>
          <w:lang w:val="en-US" w:eastAsia="zh-CN" w:bidi="ar"/>
        </w:rPr>
        <w:t>队伍层面</w:t>
      </w:r>
      <w:r>
        <w:rPr>
          <w:rFonts w:hint="eastAsia" w:ascii="仿宋_GB2312" w:hAnsi="宋体" w:eastAsia="仿宋_GB2312" w:cs="仿宋_GB2312"/>
          <w:i w:val="0"/>
          <w:caps w:val="0"/>
          <w:color w:val="000000"/>
          <w:spacing w:val="0"/>
          <w:kern w:val="0"/>
          <w:sz w:val="32"/>
          <w:szCs w:val="32"/>
          <w:lang w:val="en-US" w:eastAsia="zh-CN" w:bidi="ar"/>
        </w:rPr>
        <w:t>，通过完善薪酬福利保障、加强业务培训、建立考核激励机制，稳定了协税护税队伍，提升了队伍专业素养，为后续工作开展提供了人才保障。</w:t>
      </w:r>
      <w:r>
        <w:rPr>
          <w:rFonts w:hint="eastAsia" w:ascii="仿宋_GB2312" w:hAnsi="宋体" w:eastAsia="仿宋_GB2312" w:cs="仿宋_GB2312"/>
          <w:b/>
          <w:bCs/>
          <w:i w:val="0"/>
          <w:caps w:val="0"/>
          <w:color w:val="000000"/>
          <w:spacing w:val="0"/>
          <w:kern w:val="0"/>
          <w:sz w:val="32"/>
          <w:szCs w:val="32"/>
          <w:lang w:val="en-US" w:eastAsia="zh-CN" w:bidi="ar"/>
        </w:rPr>
        <w:t>机制层面</w:t>
      </w:r>
      <w:r>
        <w:rPr>
          <w:rFonts w:hint="eastAsia" w:ascii="仿宋_GB2312" w:hAnsi="宋体" w:eastAsia="仿宋_GB2312" w:cs="仿宋_GB2312"/>
          <w:i w:val="0"/>
          <w:caps w:val="0"/>
          <w:color w:val="000000"/>
          <w:spacing w:val="0"/>
          <w:kern w:val="0"/>
          <w:sz w:val="32"/>
          <w:szCs w:val="32"/>
          <w:lang w:val="en-US" w:eastAsia="zh-CN" w:bidi="ar"/>
        </w:rPr>
        <w:t>，形成了“财政牵头、税务主导、多部门配合”的工作格局。同时，随着吉阳区经济社会的持续发展，税源规模不断扩大，协税护税工作的重要性日益凸显，项目具有较强的可持续性。</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kern w:val="0"/>
          <w:sz w:val="32"/>
          <w:szCs w:val="32"/>
          <w:lang w:val="en-US" w:eastAsia="zh-CN" w:bidi="ar"/>
        </w:rPr>
        <w:t>（二）项目绩效目标未完成情况及原因分析</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年度，项目总体绩效目标均已完成，未出现重大未完成事项。</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黑体" w:hAnsi="黑体" w:eastAsia="黑体" w:cs="黑体"/>
          <w:i w:val="0"/>
          <w:caps w:val="0"/>
          <w:color w:val="000000"/>
          <w:spacing w:val="0"/>
          <w:sz w:val="27"/>
          <w:szCs w:val="27"/>
        </w:rPr>
      </w:pPr>
      <w:r>
        <w:rPr>
          <w:rFonts w:hint="eastAsia" w:ascii="黑体" w:hAnsi="黑体" w:eastAsia="黑体" w:cs="黑体"/>
          <w:i w:val="0"/>
          <w:caps w:val="0"/>
          <w:color w:val="000000"/>
          <w:spacing w:val="0"/>
          <w:kern w:val="0"/>
          <w:sz w:val="32"/>
          <w:szCs w:val="32"/>
          <w:lang w:val="en-US" w:eastAsia="zh-CN" w:bidi="ar"/>
        </w:rPr>
        <w:t>五、其他需要说明的问题</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楷体_GB2312" w:hAnsi="楷体_GB2312" w:eastAsia="楷体_GB2312" w:cs="楷体_GB2312"/>
          <w:i w:val="0"/>
          <w:caps w:val="0"/>
          <w:color w:val="000000"/>
          <w:spacing w:val="0"/>
          <w:sz w:val="27"/>
          <w:szCs w:val="27"/>
        </w:rPr>
      </w:pPr>
      <w:r>
        <w:rPr>
          <w:rFonts w:hint="eastAsia" w:ascii="楷体_GB2312" w:hAnsi="楷体_GB2312" w:eastAsia="楷体_GB2312" w:cs="楷体_GB2312"/>
          <w:i w:val="0"/>
          <w:caps w:val="0"/>
          <w:color w:val="000000"/>
          <w:spacing w:val="0"/>
          <w:kern w:val="0"/>
          <w:sz w:val="32"/>
          <w:szCs w:val="32"/>
          <w:lang w:val="en-US" w:eastAsia="zh-CN" w:bidi="ar"/>
        </w:rPr>
        <w:t>（一）后续工作计划</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.优化资金配置：结合</w:t>
      </w:r>
      <w:r>
        <w:rPr>
          <w:rFonts w:hint="eastAsia" w:ascii="Times New Roman" w:hAnsi="Times New Roman" w:eastAsia="仿宋_GB2312" w:cs="仿宋_GB2312"/>
          <w:i w:val="0"/>
          <w:caps w:val="0"/>
          <w:color w:val="000000"/>
          <w:spacing w:val="0"/>
          <w:kern w:val="0"/>
          <w:sz w:val="32"/>
          <w:szCs w:val="32"/>
          <w:lang w:val="en-US" w:eastAsia="zh-CN" w:bidi="ar"/>
        </w:rPr>
        <w:t>2025</w:t>
      </w:r>
      <w:r>
        <w:rPr>
          <w:rFonts w:hint="eastAsia" w:ascii="仿宋_GB2312" w:hAnsi="宋体" w:eastAsia="仿宋_GB2312" w:cs="仿宋_GB2312"/>
          <w:i w:val="0"/>
          <w:caps w:val="0"/>
          <w:color w:val="000000"/>
          <w:spacing w:val="0"/>
          <w:kern w:val="0"/>
          <w:sz w:val="32"/>
          <w:szCs w:val="32"/>
          <w:lang w:val="en-US" w:eastAsia="zh-CN" w:bidi="ar"/>
        </w:rPr>
        <w:t>年度项目实施情况，科学编制</w:t>
      </w:r>
      <w:r>
        <w:rPr>
          <w:rFonts w:hint="eastAsia" w:ascii="Times New Roman" w:hAnsi="Times New Roman" w:eastAsia="仿宋_GB2312" w:cs="仿宋_GB2312"/>
          <w:i w:val="0"/>
          <w:caps w:val="0"/>
          <w:color w:val="000000"/>
          <w:spacing w:val="0"/>
          <w:kern w:val="0"/>
          <w:sz w:val="32"/>
          <w:szCs w:val="32"/>
          <w:lang w:val="en-US" w:eastAsia="zh-CN" w:bidi="ar"/>
        </w:rPr>
        <w:t>2026</w:t>
      </w:r>
      <w:r>
        <w:rPr>
          <w:rFonts w:hint="eastAsia" w:ascii="仿宋_GB2312" w:hAnsi="宋体" w:eastAsia="仿宋_GB2312" w:cs="仿宋_GB2312"/>
          <w:i w:val="0"/>
          <w:caps w:val="0"/>
          <w:color w:val="000000"/>
          <w:spacing w:val="0"/>
          <w:kern w:val="0"/>
          <w:sz w:val="32"/>
          <w:szCs w:val="32"/>
          <w:lang w:val="en-US" w:eastAsia="zh-CN" w:bidi="ar"/>
        </w:rPr>
        <w:t>年度预算，避免资金闲置；同时，预留一定额度的应急资金，用于应对协税护税工作中的突发情况。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.深化部门协作：进一步加强与税务等部门的协作配合，</w:t>
      </w:r>
      <w:r>
        <w:rPr>
          <w:rFonts w:hint="eastAsia" w:ascii="Times New Roman" w:hAnsi="Times New Roman" w:eastAsia="仿宋_GB2312" w:cs="仿宋_GB2312"/>
          <w:i w:val="0"/>
          <w:caps w:val="0"/>
          <w:color w:val="000000"/>
          <w:spacing w:val="0"/>
          <w:kern w:val="0"/>
          <w:sz w:val="32"/>
          <w:szCs w:val="32"/>
          <w:lang w:val="en-US" w:eastAsia="zh-CN" w:bidi="ar"/>
        </w:rPr>
        <w:t>2026</w:t>
      </w:r>
      <w:r>
        <w:rPr>
          <w:rFonts w:hint="eastAsia" w:ascii="仿宋_GB2312" w:hAnsi="宋体" w:eastAsia="仿宋_GB2312" w:cs="仿宋_GB2312"/>
          <w:i w:val="0"/>
          <w:caps w:val="0"/>
          <w:color w:val="000000"/>
          <w:spacing w:val="0"/>
          <w:kern w:val="0"/>
          <w:sz w:val="32"/>
          <w:szCs w:val="32"/>
          <w:lang w:val="en-US" w:eastAsia="zh-CN" w:bidi="ar"/>
        </w:rPr>
        <w:t>年计划在协税经费中加入税务部门工作经费，以支持税务部门税收工作。</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3</w:t>
      </w:r>
      <w:r>
        <w:rPr>
          <w:rFonts w:hint="eastAsia" w:ascii="仿宋_GB2312" w:hAnsi="宋体" w:eastAsia="仿宋_GB2312" w:cs="仿宋_GB2312"/>
          <w:i w:val="0"/>
          <w:caps w:val="0"/>
          <w:color w:val="000000"/>
          <w:spacing w:val="0"/>
          <w:kern w:val="0"/>
          <w:sz w:val="32"/>
          <w:szCs w:val="32"/>
          <w:lang w:val="en-US" w:eastAsia="zh-CN" w:bidi="ar"/>
        </w:rPr>
        <w:t>.强化监督管理：加大项目资金使用监督力度，开展常态化资金检查，确保资金专款专用、合规使用；加强协税护税工作日常监督，及时发现并整改工作中存在的问题，不断提升工作质量。</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楷体_GB2312" w:hAnsi="楷体_GB2312" w:eastAsia="楷体_GB2312" w:cs="楷体_GB2312"/>
          <w:i w:val="0"/>
          <w:caps w:val="0"/>
          <w:color w:val="000000"/>
          <w:spacing w:val="0"/>
          <w:kern w:val="0"/>
          <w:sz w:val="32"/>
          <w:szCs w:val="32"/>
          <w:lang w:val="en-US" w:eastAsia="zh-CN" w:bidi="ar"/>
        </w:rPr>
        <w:t>（二）主要经验及做法、存在问题和建议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.主要经验及做法</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健全制度体系，规范管理流程：制定了完善的资金管理等制度，明确了各项工作的标准和流程，确保项目实施有章可循、规范有序。通过制度约束，有效防范了资金使用风险和工作管理风险，提升了项目管理水平。</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）强化资金保障，优化支出结构：严格按照预算编制要求，科学合理安排资金，确保人员薪酬福利及工作保障支出及时足额到位。同时，通过政府采购等方式，优化支出结构，降低服务成本，提高资金使用效益。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3</w:t>
      </w:r>
      <w:r>
        <w:rPr>
          <w:rFonts w:hint="eastAsia" w:ascii="仿宋_GB2312" w:hAnsi="宋体" w:eastAsia="仿宋_GB2312" w:cs="仿宋_GB2312"/>
          <w:i w:val="0"/>
          <w:caps w:val="0"/>
          <w:color w:val="000000"/>
          <w:spacing w:val="0"/>
          <w:kern w:val="0"/>
          <w:sz w:val="32"/>
          <w:szCs w:val="32"/>
          <w:lang w:val="en-US" w:eastAsia="zh-CN" w:bidi="ar"/>
        </w:rPr>
        <w:t>）注重队伍建设，提升履职能力：将队伍建设作为项目实施的核心任务，通过完善薪酬福利保障、建立考核激励机制，稳定了队伍，提升了人员专业素养和履职能力，为项目目标实现提供了坚实的人才保障。</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4</w:t>
      </w:r>
      <w:r>
        <w:rPr>
          <w:rFonts w:hint="eastAsia" w:ascii="仿宋_GB2312" w:hAnsi="宋体" w:eastAsia="仿宋_GB2312" w:cs="仿宋_GB2312"/>
          <w:i w:val="0"/>
          <w:caps w:val="0"/>
          <w:color w:val="000000"/>
          <w:spacing w:val="0"/>
          <w:kern w:val="0"/>
          <w:sz w:val="32"/>
          <w:szCs w:val="32"/>
          <w:lang w:val="en-US" w:eastAsia="zh-CN" w:bidi="ar"/>
        </w:rPr>
        <w:t>）聚焦服务需求，提升服务质效：以纳税人需求为导向，开展全方位、多层次的纳税服务，提升了纳税人满意度，营造了良好的税收环境。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.存在问题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绩效考核指标不够细化：现有绩效考核指标以量化指标为主，对工作态度等质性指标考核不足，考核体系不够全面，难以全面反映协税护税人员的工作表现。</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Times New Roman" w:hAnsi="Times New Roman" w:eastAsia="仿宋_GB2312" w:cs="仿宋_GB2312"/>
          <w:i w:val="0"/>
          <w:caps w:val="0"/>
          <w:color w:val="000000"/>
          <w:spacing w:val="0"/>
          <w:kern w:val="0"/>
          <w:sz w:val="32"/>
          <w:szCs w:val="32"/>
          <w:lang w:val="en-US" w:eastAsia="zh-CN" w:bidi="ar"/>
        </w:rPr>
        <w:t>3</w:t>
      </w:r>
      <w:r>
        <w:rPr>
          <w:rFonts w:hint="eastAsia" w:ascii="仿宋_GB2312" w:hAnsi="宋体" w:eastAsia="仿宋_GB2312" w:cs="仿宋_GB2312"/>
          <w:i w:val="0"/>
          <w:caps w:val="0"/>
          <w:color w:val="000000"/>
          <w:spacing w:val="0"/>
          <w:kern w:val="0"/>
          <w:sz w:val="32"/>
          <w:szCs w:val="32"/>
          <w:lang w:val="en-US" w:eastAsia="zh-CN" w:bidi="ar"/>
        </w:rPr>
        <w:t>.</w:t>
      </w:r>
      <w:bookmarkStart w:id="0" w:name="_GoBack"/>
      <w:bookmarkEnd w:id="0"/>
      <w:r>
        <w:rPr>
          <w:rFonts w:hint="eastAsia" w:ascii="仿宋_GB2312" w:hAnsi="宋体" w:eastAsia="仿宋_GB2312" w:cs="仿宋_GB2312"/>
          <w:i w:val="0"/>
          <w:caps w:val="0"/>
          <w:color w:val="000000"/>
          <w:spacing w:val="0"/>
          <w:kern w:val="0"/>
          <w:sz w:val="32"/>
          <w:szCs w:val="32"/>
          <w:lang w:val="en-US" w:eastAsia="zh-CN" w:bidi="ar"/>
        </w:rPr>
        <w:t>改进措施和建议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1</w:t>
      </w:r>
      <w:r>
        <w:rPr>
          <w:rFonts w:hint="eastAsia" w:ascii="仿宋_GB2312" w:hAnsi="宋体" w:eastAsia="仿宋_GB2312" w:cs="仿宋_GB2312"/>
          <w:i w:val="0"/>
          <w:caps w:val="0"/>
          <w:color w:val="000000"/>
          <w:spacing w:val="0"/>
          <w:kern w:val="0"/>
          <w:sz w:val="32"/>
          <w:szCs w:val="32"/>
          <w:lang w:val="en-US" w:eastAsia="zh-CN" w:bidi="ar"/>
        </w:rPr>
        <w:t>）健全绩效考核体系：完善绩效考核指标设置，增加工作态度、创新能力、协作配合等质性指标，形成“量化指标+质性指标”相结合的考核体系；加强考核结果运用，将考核结果与薪酬调整、评优评先、岗位调整等挂钩，充分发挥考核激励作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78" w:lineRule="exact"/>
        <w:ind w:left="0" w:right="0" w:firstLine="640" w:firstLineChars="200"/>
        <w:jc w:val="left"/>
        <w:textAlignment w:val="auto"/>
        <w:rPr>
          <w:rFonts w:hint="eastAsia" w:ascii="宋体" w:hAnsi="宋体" w:eastAsia="宋体" w:cs="宋体"/>
          <w:i w:val="0"/>
          <w:caps w:val="0"/>
          <w:color w:val="000000"/>
          <w:spacing w:val="0"/>
          <w:sz w:val="27"/>
          <w:szCs w:val="27"/>
        </w:rPr>
      </w:pPr>
      <w:r>
        <w:rPr>
          <w:rFonts w:hint="eastAsia" w:ascii="仿宋_GB2312" w:hAnsi="宋体" w:eastAsia="仿宋_GB2312" w:cs="仿宋_GB2312"/>
          <w:i w:val="0"/>
          <w:caps w:val="0"/>
          <w:color w:val="000000"/>
          <w:spacing w:val="0"/>
          <w:kern w:val="0"/>
          <w:sz w:val="32"/>
          <w:szCs w:val="32"/>
          <w:lang w:val="en-US" w:eastAsia="zh-CN" w:bidi="ar"/>
        </w:rPr>
        <w:t>（</w:t>
      </w:r>
      <w:r>
        <w:rPr>
          <w:rFonts w:hint="eastAsia" w:ascii="Times New Roman" w:hAnsi="Times New Roman" w:eastAsia="仿宋_GB2312" w:cs="仿宋_GB2312"/>
          <w:i w:val="0"/>
          <w:caps w:val="0"/>
          <w:color w:val="000000"/>
          <w:spacing w:val="0"/>
          <w:kern w:val="0"/>
          <w:sz w:val="32"/>
          <w:szCs w:val="32"/>
          <w:lang w:val="en-US" w:eastAsia="zh-CN" w:bidi="ar"/>
        </w:rPr>
        <w:t>2</w:t>
      </w:r>
      <w:r>
        <w:rPr>
          <w:rFonts w:hint="eastAsia" w:ascii="仿宋_GB2312" w:hAnsi="宋体" w:eastAsia="仿宋_GB2312" w:cs="仿宋_GB2312"/>
          <w:i w:val="0"/>
          <w:caps w:val="0"/>
          <w:color w:val="000000"/>
          <w:spacing w:val="0"/>
          <w:kern w:val="0"/>
          <w:sz w:val="32"/>
          <w:szCs w:val="32"/>
          <w:lang w:val="en-US" w:eastAsia="zh-CN" w:bidi="ar"/>
        </w:rPr>
        <w:t>）加大政策支持力度：建议上级财政部门进一步加大对协税护税工作的资金支持力度，根据物价上涨、人员薪酬调整等因素，合理调整项目预算标准；同时，建议用人单位加强对协税护税工作的业务指导，组织开展经验交流活动，推广先进做法，提升全市协税护税工作整体水平。</w:t>
      </w:r>
    </w:p>
    <w:p>
      <w:pPr>
        <w:pStyle w:val="4"/>
        <w:keepNext w:val="0"/>
        <w:keepLines w:val="0"/>
        <w:widowControl/>
        <w:suppressLineNumbers w:val="0"/>
        <w:spacing w:before="100" w:beforeAutospacing="0" w:after="100" w:afterAutospacing="0"/>
        <w:ind w:left="0" w:right="0" w:firstLine="0"/>
        <w:jc w:val="left"/>
        <w:rPr>
          <w:rFonts w:hint="eastAsia" w:ascii="宋体" w:hAnsi="宋体" w:eastAsia="宋体" w:cs="宋体"/>
          <w:i w:val="0"/>
          <w:caps w:val="0"/>
          <w:color w:val="000000"/>
          <w:spacing w:val="0"/>
          <w:sz w:val="27"/>
          <w:szCs w:val="27"/>
        </w:rPr>
      </w:pPr>
      <w:r>
        <w:rPr>
          <w:rFonts w:hint="eastAsia" w:ascii="宋体" w:hAnsi="宋体" w:eastAsia="宋体" w:cs="宋体"/>
          <w:i w:val="0"/>
          <w:caps w:val="0"/>
          <w:color w:val="000000"/>
          <w:spacing w:val="0"/>
          <w:sz w:val="24"/>
          <w:szCs w:val="24"/>
        </w:rPr>
        <w:t> </w:t>
      </w:r>
    </w:p>
    <w:p>
      <w:pPr>
        <w:spacing w:line="220" w:lineRule="atLeast"/>
      </w:pPr>
    </w:p>
    <w:sectPr>
      <w:footerReference r:id="rId3" w:type="default"/>
      <w:pgSz w:w="11906" w:h="16838"/>
      <w:pgMar w:top="2098" w:right="1474" w:bottom="1984" w:left="1587" w:header="708" w:footer="708" w:gutter="0"/>
      <w:pgNumType w:fmt="decimal"/>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323B43"/>
    <w:rsid w:val="003D37D8"/>
    <w:rsid w:val="00426133"/>
    <w:rsid w:val="004358AB"/>
    <w:rsid w:val="008B7726"/>
    <w:rsid w:val="00D31D50"/>
    <w:rsid w:val="01335325"/>
    <w:rsid w:val="14942BC4"/>
    <w:rsid w:val="7A621318"/>
    <w:rsid w:val="7ABC521D"/>
    <w:rsid w:val="7E7B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54</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罗小叶</cp:lastModifiedBy>
  <cp:lastPrinted>2026-01-19T09:29:39Z</cp:lastPrinted>
  <dcterms:modified xsi:type="dcterms:W3CDTF">2026-01-19T09:46:50Z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