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黑体" w:hAnsi="黑体" w:eastAsia="黑体" w:cs="黑体"/>
          <w:color w:val="000000"/>
          <w:sz w:val="28"/>
          <w:szCs w:val="28"/>
          <w:lang w:eastAsia="zh-CN"/>
        </w:rPr>
      </w:pP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9</w:t>
      </w:r>
    </w:p>
    <w:p>
      <w:pPr>
        <w:spacing w:line="578" w:lineRule="exact"/>
        <w:jc w:val="center"/>
        <w:rPr>
          <w:rFonts w:hint="default" w:ascii="Times New Roman" w:hAnsi="Times New Roman" w:eastAsia="方正小标宋简体" w:cs="Times New Roman"/>
          <w:sz w:val="44"/>
          <w:szCs w:val="44"/>
        </w:rPr>
      </w:pPr>
      <w:r>
        <w:rPr>
          <w:rFonts w:hint="eastAsia" w:eastAsia="方正小标宋简体" w:cs="Times New Roman"/>
          <w:sz w:val="44"/>
          <w:szCs w:val="44"/>
          <w:lang w:eastAsia="zh-CN"/>
        </w:rPr>
        <w:t>一、</w:t>
      </w:r>
      <w:r>
        <w:rPr>
          <w:rFonts w:hint="default" w:ascii="Times New Roman" w:hAnsi="Times New Roman" w:eastAsia="方正小标宋简体" w:cs="Times New Roman"/>
          <w:sz w:val="44"/>
          <w:szCs w:val="44"/>
        </w:rPr>
        <w:t>部门职责登记表</w:t>
      </w:r>
    </w:p>
    <w:p>
      <w:pPr>
        <w:spacing w:line="578" w:lineRule="exact"/>
        <w:jc w:val="center"/>
        <w:rPr>
          <w:rFonts w:hint="default" w:ascii="Times New Roman" w:hAnsi="Times New Roman" w:eastAsia="方正小标宋简体" w:cs="Times New Roman"/>
          <w:sz w:val="36"/>
          <w:szCs w:val="36"/>
        </w:rPr>
      </w:pPr>
    </w:p>
    <w:p>
      <w:pPr>
        <w:spacing w:line="578" w:lineRule="exact"/>
        <w:rPr>
          <w:rFonts w:hint="default" w:ascii="Times New Roman" w:hAnsi="Times New Roman" w:eastAsia="楷体_GB2312" w:cs="Times New Roman"/>
          <w:b/>
          <w:szCs w:val="32"/>
        </w:rPr>
      </w:pPr>
      <w:r>
        <w:rPr>
          <w:rFonts w:hint="default" w:ascii="Times New Roman" w:hAnsi="Times New Roman" w:eastAsia="楷体_GB2312" w:cs="Times New Roman"/>
          <w:b/>
          <w:szCs w:val="32"/>
        </w:rPr>
        <w:t>部门名称（盖章）</w:t>
      </w:r>
    </w:p>
    <w:tbl>
      <w:tblPr>
        <w:tblStyle w:val="7"/>
        <w:tblW w:w="9086" w:type="dxa"/>
        <w:jc w:val="center"/>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790"/>
        <w:gridCol w:w="4594"/>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序号</w:t>
            </w:r>
          </w:p>
        </w:tc>
        <w:tc>
          <w:tcPr>
            <w:tcW w:w="2790"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主要职责</w:t>
            </w:r>
          </w:p>
        </w:tc>
        <w:tc>
          <w:tcPr>
            <w:tcW w:w="4594"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具体工作事项</w:t>
            </w:r>
          </w:p>
        </w:tc>
        <w:tc>
          <w:tcPr>
            <w:tcW w:w="836"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866" w:type="dxa"/>
            <w:vMerge w:val="restart"/>
            <w:vAlign w:val="center"/>
          </w:tcPr>
          <w:p>
            <w:pPr>
              <w:spacing w:line="578" w:lineRule="exact"/>
              <w:jc w:val="cente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w:t>
            </w:r>
          </w:p>
        </w:tc>
        <w:tc>
          <w:tcPr>
            <w:tcW w:w="2790" w:type="dxa"/>
            <w:vMerge w:val="restart"/>
          </w:tcPr>
          <w:p>
            <w:pPr>
              <w:spacing w:line="578"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负责吉阳区党政综合信息网络的规划建设、运行维护管理；</w:t>
            </w:r>
          </w:p>
        </w:tc>
        <w:tc>
          <w:tcPr>
            <w:tcW w:w="4594" w:type="dxa"/>
          </w:tcPr>
          <w:p>
            <w:pPr>
              <w:spacing w:line="578"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cs="仿宋_GB2312"/>
                <w:sz w:val="28"/>
                <w:szCs w:val="28"/>
                <w:lang w:val="en-US" w:eastAsia="zh-CN"/>
              </w:rPr>
              <w:t>负责</w:t>
            </w:r>
            <w:r>
              <w:rPr>
                <w:rFonts w:hint="eastAsia" w:ascii="仿宋_GB2312" w:hAnsi="仿宋_GB2312" w:eastAsia="仿宋_GB2312" w:cs="仿宋_GB2312"/>
                <w:sz w:val="28"/>
                <w:szCs w:val="28"/>
                <w:lang w:val="en-US" w:eastAsia="zh-CN"/>
              </w:rPr>
              <w:t>全区网络巡查与维护，确保全区网络与各大信息系统安全稳定运行。</w:t>
            </w:r>
          </w:p>
        </w:tc>
        <w:tc>
          <w:tcPr>
            <w:tcW w:w="836" w:type="dxa"/>
          </w:tcPr>
          <w:p>
            <w:pPr>
              <w:spacing w:line="578" w:lineRule="exact"/>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866" w:type="dxa"/>
            <w:vMerge w:val="continue"/>
            <w:vAlign w:val="center"/>
          </w:tcPr>
          <w:p>
            <w:pPr>
              <w:spacing w:line="578" w:lineRule="exact"/>
              <w:jc w:val="center"/>
              <w:rPr>
                <w:rFonts w:hint="default" w:ascii="仿宋_GB2312" w:hAnsi="仿宋_GB2312" w:eastAsia="仿宋_GB2312" w:cs="仿宋_GB2312"/>
                <w:sz w:val="28"/>
                <w:szCs w:val="28"/>
                <w:lang w:val="en-US" w:eastAsia="zh-CN"/>
              </w:rPr>
            </w:pPr>
          </w:p>
        </w:tc>
        <w:tc>
          <w:tcPr>
            <w:tcW w:w="2790" w:type="dxa"/>
            <w:vMerge w:val="continue"/>
          </w:tcPr>
          <w:p>
            <w:pPr>
              <w:spacing w:line="578" w:lineRule="exact"/>
              <w:rPr>
                <w:rFonts w:hint="default" w:ascii="仿宋_GB2312" w:hAnsi="仿宋_GB2312" w:eastAsia="仿宋_GB2312" w:cs="仿宋_GB2312"/>
                <w:sz w:val="28"/>
                <w:szCs w:val="28"/>
                <w:lang w:val="en-US" w:eastAsia="zh-CN"/>
              </w:rPr>
            </w:pPr>
          </w:p>
        </w:tc>
        <w:tc>
          <w:tcPr>
            <w:tcW w:w="4594" w:type="dxa"/>
          </w:tcPr>
          <w:p>
            <w:pPr>
              <w:spacing w:line="578"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cs="仿宋_GB2312"/>
                <w:sz w:val="28"/>
                <w:szCs w:val="28"/>
                <w:lang w:val="en-US" w:eastAsia="zh-CN"/>
              </w:rPr>
              <w:t>负责规划</w:t>
            </w:r>
            <w:r>
              <w:rPr>
                <w:rFonts w:hint="eastAsia" w:ascii="仿宋_GB2312" w:hAnsi="仿宋_GB2312" w:eastAsia="仿宋_GB2312" w:cs="仿宋_GB2312"/>
                <w:sz w:val="28"/>
                <w:szCs w:val="28"/>
                <w:lang w:val="en-US" w:eastAsia="zh-CN"/>
              </w:rPr>
              <w:t>建设吉阳区中心机房，并做好机房的管理与运维工作。</w:t>
            </w:r>
          </w:p>
        </w:tc>
        <w:tc>
          <w:tcPr>
            <w:tcW w:w="836" w:type="dxa"/>
            <w:vMerge w:val="restart"/>
          </w:tcPr>
          <w:p>
            <w:pPr>
              <w:spacing w:line="578" w:lineRule="exact"/>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866" w:type="dxa"/>
            <w:vMerge w:val="continue"/>
            <w:vAlign w:val="center"/>
          </w:tcPr>
          <w:p>
            <w:pPr>
              <w:spacing w:line="578" w:lineRule="exact"/>
              <w:jc w:val="center"/>
              <w:rPr>
                <w:rFonts w:hint="eastAsia" w:ascii="仿宋_GB2312" w:hAnsi="仿宋_GB2312" w:eastAsia="仿宋_GB2312" w:cs="仿宋_GB2312"/>
                <w:sz w:val="28"/>
                <w:szCs w:val="28"/>
                <w:lang w:val="en-US" w:eastAsia="zh-CN"/>
              </w:rPr>
            </w:pPr>
          </w:p>
        </w:tc>
        <w:tc>
          <w:tcPr>
            <w:tcW w:w="2790" w:type="dxa"/>
            <w:vMerge w:val="continue"/>
          </w:tcPr>
          <w:p>
            <w:pPr>
              <w:spacing w:line="578" w:lineRule="exact"/>
              <w:rPr>
                <w:rFonts w:hint="eastAsia" w:ascii="仿宋_GB2312" w:hAnsi="仿宋_GB2312" w:eastAsia="仿宋_GB2312" w:cs="仿宋_GB2312"/>
                <w:sz w:val="28"/>
                <w:szCs w:val="28"/>
                <w:lang w:val="en-US" w:eastAsia="zh-CN"/>
              </w:rPr>
            </w:pPr>
          </w:p>
        </w:tc>
        <w:tc>
          <w:tcPr>
            <w:tcW w:w="4594" w:type="dxa"/>
          </w:tcPr>
          <w:p>
            <w:pPr>
              <w:spacing w:line="578"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cs="仿宋_GB2312"/>
                <w:sz w:val="28"/>
                <w:szCs w:val="28"/>
                <w:lang w:val="en-US" w:eastAsia="zh-CN"/>
              </w:rPr>
              <w:t>做好</w:t>
            </w:r>
            <w:r>
              <w:rPr>
                <w:rFonts w:hint="eastAsia" w:ascii="仿宋_GB2312" w:hAnsi="仿宋_GB2312" w:eastAsia="仿宋_GB2312" w:cs="仿宋_GB2312"/>
                <w:sz w:val="28"/>
                <w:szCs w:val="28"/>
                <w:lang w:val="en-US" w:eastAsia="zh-CN"/>
              </w:rPr>
              <w:t>全区政务外网及政务外网互联网的</w:t>
            </w:r>
            <w:r>
              <w:rPr>
                <w:rFonts w:hint="eastAsia" w:ascii="仿宋_GB2312" w:hAnsi="仿宋_GB2312" w:cs="仿宋_GB2312"/>
                <w:sz w:val="28"/>
                <w:szCs w:val="28"/>
                <w:lang w:val="en-US" w:eastAsia="zh-CN"/>
              </w:rPr>
              <w:t>接入</w:t>
            </w:r>
            <w:r>
              <w:rPr>
                <w:rFonts w:hint="eastAsia" w:ascii="仿宋_GB2312" w:hAnsi="仿宋_GB2312" w:eastAsia="仿宋_GB2312" w:cs="仿宋_GB2312"/>
                <w:sz w:val="28"/>
                <w:szCs w:val="28"/>
                <w:lang w:val="en-US" w:eastAsia="zh-CN"/>
              </w:rPr>
              <w:t>建设与运维工作。</w:t>
            </w:r>
          </w:p>
        </w:tc>
        <w:tc>
          <w:tcPr>
            <w:tcW w:w="836" w:type="dxa"/>
            <w:vMerge w:val="continue"/>
          </w:tcPr>
          <w:p>
            <w:pPr>
              <w:spacing w:line="578" w:lineRule="exact"/>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2" w:hRule="atLeast"/>
          <w:jc w:val="center"/>
        </w:trPr>
        <w:tc>
          <w:tcPr>
            <w:tcW w:w="866" w:type="dxa"/>
            <w:vAlign w:val="center"/>
          </w:tcPr>
          <w:p>
            <w:pPr>
              <w:spacing w:line="578" w:lineRule="exact"/>
              <w:jc w:val="cente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w:t>
            </w:r>
          </w:p>
        </w:tc>
        <w:tc>
          <w:tcPr>
            <w:tcW w:w="2790" w:type="dxa"/>
          </w:tcPr>
          <w:p>
            <w:pPr>
              <w:spacing w:line="578"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组织协调机关办公自动化的规划建设并提供技术指导和信息咨询服务；</w:t>
            </w:r>
          </w:p>
        </w:tc>
        <w:tc>
          <w:tcPr>
            <w:tcW w:w="4594" w:type="dxa"/>
          </w:tcPr>
          <w:p>
            <w:pPr>
              <w:spacing w:line="578"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为吉阳区办公OA提供技术指导和信息咨询服务。</w:t>
            </w:r>
          </w:p>
        </w:tc>
        <w:tc>
          <w:tcPr>
            <w:tcW w:w="836" w:type="dxa"/>
          </w:tcPr>
          <w:p>
            <w:pPr>
              <w:spacing w:line="578" w:lineRule="exact"/>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866" w:type="dxa"/>
            <w:vMerge w:val="restart"/>
            <w:vAlign w:val="center"/>
          </w:tcPr>
          <w:p>
            <w:pPr>
              <w:spacing w:line="578"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2790" w:type="dxa"/>
            <w:vMerge w:val="restart"/>
          </w:tcPr>
          <w:p>
            <w:pPr>
              <w:spacing w:line="578"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负责吉阳区党务、政务系统的数据交换及党政网络信息发布；</w:t>
            </w:r>
          </w:p>
        </w:tc>
        <w:tc>
          <w:tcPr>
            <w:tcW w:w="4594" w:type="dxa"/>
          </w:tcPr>
          <w:p>
            <w:pPr>
              <w:spacing w:line="578"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1.为全区政务信息公开工作提供技术指导和信息咨询服务。</w:t>
            </w:r>
          </w:p>
        </w:tc>
        <w:tc>
          <w:tcPr>
            <w:tcW w:w="836" w:type="dxa"/>
            <w:vMerge w:val="restart"/>
          </w:tcPr>
          <w:p>
            <w:pPr>
              <w:spacing w:line="578" w:lineRule="exact"/>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866" w:type="dxa"/>
            <w:vMerge w:val="continue"/>
            <w:vAlign w:val="center"/>
          </w:tcPr>
          <w:p>
            <w:pPr>
              <w:spacing w:line="578" w:lineRule="exact"/>
              <w:jc w:val="center"/>
              <w:rPr>
                <w:rFonts w:hint="eastAsia" w:ascii="仿宋_GB2312" w:hAnsi="仿宋_GB2312" w:eastAsia="仿宋_GB2312" w:cs="仿宋_GB2312"/>
                <w:sz w:val="28"/>
                <w:szCs w:val="28"/>
                <w:lang w:val="en-US" w:eastAsia="zh-CN"/>
              </w:rPr>
            </w:pPr>
          </w:p>
        </w:tc>
        <w:tc>
          <w:tcPr>
            <w:tcW w:w="2790" w:type="dxa"/>
            <w:vMerge w:val="continue"/>
          </w:tcPr>
          <w:p>
            <w:pPr>
              <w:spacing w:line="578" w:lineRule="exact"/>
              <w:rPr>
                <w:rFonts w:hint="eastAsia" w:ascii="仿宋_GB2312" w:hAnsi="仿宋_GB2312" w:eastAsia="仿宋_GB2312" w:cs="仿宋_GB2312"/>
                <w:sz w:val="28"/>
                <w:szCs w:val="28"/>
                <w:lang w:val="en-US" w:eastAsia="zh-CN"/>
              </w:rPr>
            </w:pPr>
          </w:p>
        </w:tc>
        <w:tc>
          <w:tcPr>
            <w:tcW w:w="4594" w:type="dxa"/>
          </w:tcPr>
          <w:p>
            <w:pPr>
              <w:spacing w:line="578"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cs="仿宋_GB2312"/>
                <w:sz w:val="28"/>
                <w:szCs w:val="28"/>
                <w:lang w:val="en-US" w:eastAsia="zh-CN"/>
              </w:rPr>
              <w:t>全力</w:t>
            </w:r>
            <w:r>
              <w:rPr>
                <w:rFonts w:hint="eastAsia" w:ascii="仿宋_GB2312" w:hAnsi="仿宋_GB2312" w:eastAsia="仿宋_GB2312" w:cs="仿宋_GB2312"/>
                <w:sz w:val="28"/>
                <w:szCs w:val="28"/>
                <w:lang w:val="en-US" w:eastAsia="zh-CN"/>
              </w:rPr>
              <w:t>做好本中心政务信息公开工作。</w:t>
            </w:r>
          </w:p>
          <w:p>
            <w:pPr>
              <w:spacing w:line="578" w:lineRule="exact"/>
              <w:rPr>
                <w:rFonts w:hint="eastAsia" w:ascii="仿宋_GB2312" w:hAnsi="仿宋_GB2312" w:eastAsia="仿宋_GB2312" w:cs="仿宋_GB2312"/>
                <w:sz w:val="28"/>
                <w:szCs w:val="28"/>
                <w:lang w:val="en-US" w:eastAsia="zh-CN"/>
              </w:rPr>
            </w:pPr>
          </w:p>
        </w:tc>
        <w:tc>
          <w:tcPr>
            <w:tcW w:w="836" w:type="dxa"/>
            <w:vMerge w:val="continue"/>
          </w:tcPr>
          <w:p>
            <w:pPr>
              <w:spacing w:line="578" w:lineRule="exact"/>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6" w:type="dxa"/>
            <w:vAlign w:val="center"/>
          </w:tcPr>
          <w:p>
            <w:pPr>
              <w:spacing w:line="578"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2790" w:type="dxa"/>
          </w:tcPr>
          <w:p>
            <w:pPr>
              <w:spacing w:line="578"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负责吉阳区各部门数据信息集中处理的技术服务工作；</w:t>
            </w:r>
          </w:p>
        </w:tc>
        <w:tc>
          <w:tcPr>
            <w:tcW w:w="4594" w:type="dxa"/>
          </w:tcPr>
          <w:p>
            <w:pPr>
              <w:spacing w:line="578"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为全区各部门数据信息集中处理提供技术支持。</w:t>
            </w:r>
          </w:p>
        </w:tc>
        <w:tc>
          <w:tcPr>
            <w:tcW w:w="836" w:type="dxa"/>
          </w:tcPr>
          <w:p>
            <w:pPr>
              <w:spacing w:line="578" w:lineRule="exact"/>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866" w:type="dxa"/>
            <w:vMerge w:val="restart"/>
            <w:vAlign w:val="center"/>
          </w:tcPr>
          <w:p>
            <w:pPr>
              <w:spacing w:line="578"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2790" w:type="dxa"/>
            <w:vMerge w:val="restart"/>
          </w:tcPr>
          <w:p>
            <w:pPr>
              <w:spacing w:line="578"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协助全区通信与信息安全；</w:t>
            </w:r>
          </w:p>
        </w:tc>
        <w:tc>
          <w:tcPr>
            <w:tcW w:w="4594" w:type="dxa"/>
          </w:tcPr>
          <w:p>
            <w:pPr>
              <w:spacing w:line="578"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1.确保全区政务外网及政务外网互联网安全运行。</w:t>
            </w:r>
          </w:p>
        </w:tc>
        <w:tc>
          <w:tcPr>
            <w:tcW w:w="836" w:type="dxa"/>
            <w:vMerge w:val="restart"/>
          </w:tcPr>
          <w:p>
            <w:pPr>
              <w:spacing w:line="578" w:lineRule="exact"/>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66" w:type="dxa"/>
            <w:vMerge w:val="continue"/>
            <w:vAlign w:val="center"/>
          </w:tcPr>
          <w:p>
            <w:pPr>
              <w:spacing w:line="578" w:lineRule="exact"/>
              <w:jc w:val="center"/>
              <w:rPr>
                <w:rFonts w:hint="eastAsia" w:ascii="仿宋_GB2312" w:hAnsi="仿宋_GB2312" w:eastAsia="仿宋_GB2312" w:cs="仿宋_GB2312"/>
                <w:sz w:val="28"/>
                <w:szCs w:val="28"/>
                <w:lang w:val="en-US" w:eastAsia="zh-CN"/>
              </w:rPr>
            </w:pPr>
          </w:p>
        </w:tc>
        <w:tc>
          <w:tcPr>
            <w:tcW w:w="2790" w:type="dxa"/>
            <w:vMerge w:val="continue"/>
          </w:tcPr>
          <w:p>
            <w:pPr>
              <w:spacing w:line="578" w:lineRule="exact"/>
              <w:rPr>
                <w:rFonts w:hint="eastAsia" w:ascii="仿宋_GB2312" w:hAnsi="仿宋_GB2312" w:eastAsia="仿宋_GB2312" w:cs="仿宋_GB2312"/>
                <w:sz w:val="28"/>
                <w:szCs w:val="28"/>
                <w:lang w:val="en-US" w:eastAsia="zh-CN"/>
              </w:rPr>
            </w:pPr>
          </w:p>
        </w:tc>
        <w:tc>
          <w:tcPr>
            <w:tcW w:w="4594" w:type="dxa"/>
          </w:tcPr>
          <w:p>
            <w:pPr>
              <w:spacing w:line="578"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2.做好全区网络与信息安全培训工作。</w:t>
            </w:r>
          </w:p>
        </w:tc>
        <w:tc>
          <w:tcPr>
            <w:tcW w:w="836" w:type="dxa"/>
            <w:vMerge w:val="continue"/>
          </w:tcPr>
          <w:p>
            <w:pPr>
              <w:spacing w:line="578" w:lineRule="exact"/>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66" w:type="dxa"/>
            <w:vMerge w:val="continue"/>
            <w:vAlign w:val="center"/>
          </w:tcPr>
          <w:p>
            <w:pPr>
              <w:spacing w:line="578" w:lineRule="exact"/>
              <w:jc w:val="center"/>
            </w:pPr>
          </w:p>
        </w:tc>
        <w:tc>
          <w:tcPr>
            <w:tcW w:w="2790" w:type="dxa"/>
            <w:vMerge w:val="continue"/>
          </w:tcPr>
          <w:p>
            <w:pPr>
              <w:spacing w:line="578" w:lineRule="exact"/>
            </w:pPr>
          </w:p>
        </w:tc>
        <w:tc>
          <w:tcPr>
            <w:tcW w:w="4594" w:type="dxa"/>
          </w:tcPr>
          <w:p>
            <w:pPr>
              <w:spacing w:line="578"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3.做好区各综合办公点及部分村（社区）上网行为管理服务工作。</w:t>
            </w:r>
          </w:p>
        </w:tc>
        <w:tc>
          <w:tcPr>
            <w:tcW w:w="836" w:type="dxa"/>
            <w:vMerge w:val="continue"/>
          </w:tcPr>
          <w:p>
            <w:pPr>
              <w:spacing w:line="578" w:lineRule="exact"/>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66" w:type="dxa"/>
            <w:vMerge w:val="continue"/>
            <w:vAlign w:val="center"/>
          </w:tcPr>
          <w:p>
            <w:pPr>
              <w:spacing w:line="578" w:lineRule="exact"/>
              <w:jc w:val="center"/>
            </w:pPr>
          </w:p>
        </w:tc>
        <w:tc>
          <w:tcPr>
            <w:tcW w:w="2790" w:type="dxa"/>
            <w:vMerge w:val="continue"/>
          </w:tcPr>
          <w:p>
            <w:pPr>
              <w:spacing w:line="578" w:lineRule="exact"/>
            </w:pPr>
          </w:p>
        </w:tc>
        <w:tc>
          <w:tcPr>
            <w:tcW w:w="4594" w:type="dxa"/>
          </w:tcPr>
          <w:p>
            <w:pPr>
              <w:spacing w:line="578"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4.加强办公用网终端安全防护工作。</w:t>
            </w:r>
          </w:p>
        </w:tc>
        <w:tc>
          <w:tcPr>
            <w:tcW w:w="836" w:type="dxa"/>
            <w:vMerge w:val="continue"/>
          </w:tcPr>
          <w:p>
            <w:pPr>
              <w:spacing w:line="578" w:lineRule="exact"/>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866" w:type="dxa"/>
            <w:vMerge w:val="restart"/>
            <w:vAlign w:val="center"/>
          </w:tcPr>
          <w:p>
            <w:pPr>
              <w:spacing w:line="578"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2790" w:type="dxa"/>
            <w:vMerge w:val="restart"/>
          </w:tcPr>
          <w:p>
            <w:pPr>
              <w:spacing w:line="578"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承办区政府及上级部门交办的工作。</w:t>
            </w:r>
          </w:p>
        </w:tc>
        <w:tc>
          <w:tcPr>
            <w:tcW w:w="4594" w:type="dxa"/>
          </w:tcPr>
          <w:p>
            <w:pPr>
              <w:spacing w:line="578"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1.做好</w:t>
            </w:r>
            <w:r>
              <w:rPr>
                <w:rFonts w:hint="eastAsia" w:ascii="仿宋_GB2312" w:hAnsi="仿宋_GB2312" w:cs="仿宋_GB2312"/>
                <w:sz w:val="28"/>
                <w:szCs w:val="28"/>
                <w:lang w:val="en-US" w:eastAsia="zh-CN"/>
              </w:rPr>
              <w:t>本中心包片</w:t>
            </w:r>
            <w:r>
              <w:rPr>
                <w:rFonts w:hint="eastAsia" w:ascii="仿宋_GB2312" w:hAnsi="仿宋_GB2312" w:eastAsia="仿宋_GB2312" w:cs="仿宋_GB2312"/>
                <w:sz w:val="28"/>
                <w:szCs w:val="28"/>
                <w:lang w:val="en-US" w:eastAsia="zh-CN"/>
              </w:rPr>
              <w:t>的棚改工作。</w:t>
            </w:r>
          </w:p>
        </w:tc>
        <w:tc>
          <w:tcPr>
            <w:tcW w:w="836" w:type="dxa"/>
            <w:vMerge w:val="restart"/>
          </w:tcPr>
          <w:p>
            <w:pPr>
              <w:spacing w:line="578" w:lineRule="exact"/>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66" w:type="dxa"/>
            <w:vMerge w:val="continue"/>
            <w:vAlign w:val="center"/>
          </w:tcPr>
          <w:p>
            <w:pPr>
              <w:pStyle w:val="2"/>
            </w:pPr>
          </w:p>
        </w:tc>
        <w:tc>
          <w:tcPr>
            <w:tcW w:w="2790" w:type="dxa"/>
            <w:vMerge w:val="continue"/>
          </w:tcPr>
          <w:p>
            <w:pPr>
              <w:pStyle w:val="2"/>
              <w:rPr>
                <w:rFonts w:hint="eastAsia" w:ascii="仿宋_GB2312" w:hAnsi="仿宋_GB2312" w:eastAsia="仿宋_GB2312" w:cs="仿宋_GB2312"/>
                <w:kern w:val="2"/>
                <w:sz w:val="28"/>
                <w:szCs w:val="28"/>
                <w:lang w:val="en-US" w:eastAsia="zh-CN" w:bidi="ar-SA"/>
              </w:rPr>
            </w:pPr>
          </w:p>
        </w:tc>
        <w:tc>
          <w:tcPr>
            <w:tcW w:w="4594" w:type="dxa"/>
          </w:tcPr>
          <w:p>
            <w:pPr>
              <w:pStyle w:val="2"/>
              <w:numPr>
                <w:ilvl w:val="0"/>
                <w:numId w:val="0"/>
              </w:numP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2.做好</w:t>
            </w:r>
            <w:r>
              <w:rPr>
                <w:rFonts w:hint="eastAsia" w:ascii="仿宋_GB2312" w:hAnsi="仿宋_GB2312" w:cs="仿宋_GB2312"/>
                <w:kern w:val="2"/>
                <w:sz w:val="28"/>
                <w:szCs w:val="28"/>
                <w:lang w:val="en-US" w:eastAsia="zh-CN" w:bidi="ar-SA"/>
              </w:rPr>
              <w:t>包点社区</w:t>
            </w:r>
            <w:r>
              <w:rPr>
                <w:rFonts w:hint="eastAsia" w:ascii="仿宋_GB2312" w:hAnsi="仿宋_GB2312" w:eastAsia="仿宋_GB2312" w:cs="仿宋_GB2312"/>
                <w:kern w:val="2"/>
                <w:sz w:val="28"/>
                <w:szCs w:val="28"/>
                <w:lang w:val="en-US" w:eastAsia="zh-CN" w:bidi="ar-SA"/>
              </w:rPr>
              <w:t>“创文巩卫”工作。</w:t>
            </w:r>
          </w:p>
        </w:tc>
        <w:tc>
          <w:tcPr>
            <w:tcW w:w="836" w:type="dxa"/>
            <w:vMerge w:val="continue"/>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66" w:type="dxa"/>
            <w:vMerge w:val="continue"/>
            <w:vAlign w:val="center"/>
          </w:tcPr>
          <w:p>
            <w:pPr>
              <w:pStyle w:val="2"/>
            </w:pPr>
          </w:p>
        </w:tc>
        <w:tc>
          <w:tcPr>
            <w:tcW w:w="2790" w:type="dxa"/>
            <w:vMerge w:val="continue"/>
          </w:tcPr>
          <w:p>
            <w:pPr>
              <w:pStyle w:val="2"/>
            </w:pPr>
          </w:p>
        </w:tc>
        <w:tc>
          <w:tcPr>
            <w:tcW w:w="4594" w:type="dxa"/>
          </w:tcPr>
          <w:p>
            <w:pPr>
              <w:pStyle w:val="2"/>
              <w:numPr>
                <w:ilvl w:val="0"/>
                <w:numId w:val="0"/>
              </w:num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3.做好</w:t>
            </w:r>
            <w:r>
              <w:rPr>
                <w:rFonts w:hint="eastAsia" w:ascii="仿宋_GB2312" w:hAnsi="仿宋_GB2312" w:cs="仿宋_GB2312"/>
                <w:kern w:val="2"/>
                <w:sz w:val="28"/>
                <w:szCs w:val="28"/>
                <w:lang w:val="en-US" w:eastAsia="zh-CN" w:bidi="ar-SA"/>
              </w:rPr>
              <w:t>包点户的</w:t>
            </w:r>
            <w:r>
              <w:rPr>
                <w:rFonts w:hint="eastAsia" w:ascii="仿宋_GB2312" w:hAnsi="仿宋_GB2312" w:eastAsia="仿宋_GB2312" w:cs="仿宋_GB2312"/>
                <w:kern w:val="2"/>
                <w:sz w:val="28"/>
                <w:szCs w:val="28"/>
                <w:lang w:val="en-US" w:eastAsia="zh-CN" w:bidi="ar-SA"/>
              </w:rPr>
              <w:t>脱贫攻坚工作。</w:t>
            </w:r>
          </w:p>
        </w:tc>
        <w:tc>
          <w:tcPr>
            <w:tcW w:w="836" w:type="dxa"/>
            <w:vMerge w:val="continue"/>
          </w:tcPr>
          <w:p>
            <w:pPr>
              <w:pStyle w:val="2"/>
              <w:rPr>
                <w:rFonts w:hint="eastAsia"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66" w:type="dxa"/>
            <w:vMerge w:val="continue"/>
            <w:vAlign w:val="center"/>
          </w:tcPr>
          <w:p>
            <w:pPr>
              <w:pStyle w:val="2"/>
            </w:pPr>
          </w:p>
        </w:tc>
        <w:tc>
          <w:tcPr>
            <w:tcW w:w="2790" w:type="dxa"/>
            <w:vMerge w:val="continue"/>
          </w:tcPr>
          <w:p>
            <w:pPr>
              <w:pStyle w:val="2"/>
            </w:pPr>
          </w:p>
        </w:tc>
        <w:tc>
          <w:tcPr>
            <w:tcW w:w="4594" w:type="dxa"/>
          </w:tcPr>
          <w:p>
            <w:pPr>
              <w:pStyle w:val="2"/>
              <w:numPr>
                <w:ilvl w:val="0"/>
                <w:numId w:val="0"/>
              </w:num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4.做好驻村包点工作。</w:t>
            </w:r>
          </w:p>
        </w:tc>
        <w:tc>
          <w:tcPr>
            <w:tcW w:w="836" w:type="dxa"/>
            <w:vMerge w:val="continue"/>
          </w:tcPr>
          <w:p>
            <w:pPr>
              <w:pStyle w:val="2"/>
              <w:rPr>
                <w:rFonts w:hint="eastAsia" w:ascii="仿宋_GB2312" w:hAnsi="仿宋_GB2312" w:eastAsia="仿宋_GB2312" w:cs="仿宋_GB2312"/>
                <w:kern w:val="2"/>
                <w:sz w:val="28"/>
                <w:szCs w:val="28"/>
                <w:lang w:val="en-US" w:eastAsia="zh-CN" w:bidi="ar-SA"/>
              </w:rPr>
            </w:pPr>
          </w:p>
        </w:tc>
      </w:tr>
    </w:tbl>
    <w:p>
      <w:pPr>
        <w:spacing w:line="578"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注：根据形势任务发展，需要突出强化和增加的职责，请单列，并在备注栏中说明依据。</w:t>
      </w:r>
    </w:p>
    <w:p>
      <w:pPr>
        <w:spacing w:line="578" w:lineRule="exact"/>
        <w:ind w:firstLine="420"/>
        <w:rPr>
          <w:rFonts w:hint="default" w:ascii="Times New Roman" w:hAnsi="Times New Roman" w:eastAsia="黑体" w:cs="Times New Roman"/>
          <w:color w:val="000000"/>
          <w:szCs w:val="32"/>
        </w:rPr>
      </w:pPr>
      <w:r>
        <w:rPr>
          <w:rFonts w:hint="default" w:ascii="Times New Roman" w:hAnsi="Times New Roman" w:cs="Times New Roman"/>
          <w:sz w:val="28"/>
          <w:szCs w:val="28"/>
        </w:rPr>
        <w:t>填报人：</w:t>
      </w:r>
      <w:r>
        <w:rPr>
          <w:rFonts w:hint="eastAsia" w:cs="Times New Roman"/>
          <w:sz w:val="28"/>
          <w:szCs w:val="28"/>
          <w:lang w:eastAsia="zh-CN"/>
        </w:rPr>
        <w:t>卫红梅</w:t>
      </w:r>
      <w:r>
        <w:rPr>
          <w:rFonts w:hint="default" w:ascii="Times New Roman" w:hAnsi="Times New Roman" w:cs="Times New Roman"/>
          <w:sz w:val="28"/>
          <w:szCs w:val="28"/>
        </w:rPr>
        <w:t>　　填报时间：</w:t>
      </w:r>
      <w:r>
        <w:rPr>
          <w:rFonts w:hint="eastAsia" w:cs="Times New Roman"/>
          <w:sz w:val="28"/>
          <w:szCs w:val="28"/>
          <w:lang w:val="en-US" w:eastAsia="zh-CN"/>
        </w:rPr>
        <w:t>2021.06.01</w:t>
      </w:r>
      <w:r>
        <w:rPr>
          <w:rFonts w:hint="default" w:ascii="Times New Roman" w:hAnsi="Times New Roman" w:cs="Times New Roman"/>
          <w:sz w:val="28"/>
          <w:szCs w:val="28"/>
        </w:rPr>
        <w:t>　联系电话：</w:t>
      </w:r>
      <w:r>
        <w:rPr>
          <w:rFonts w:hint="eastAsia" w:cs="Times New Roman"/>
          <w:sz w:val="28"/>
          <w:szCs w:val="28"/>
          <w:lang w:val="en-US" w:eastAsia="zh-CN"/>
        </w:rPr>
        <w:t>38215680</w:t>
      </w:r>
    </w:p>
    <w:p>
      <w:pPr>
        <w:spacing w:line="578" w:lineRule="exact"/>
        <w:rPr>
          <w:rFonts w:hint="default" w:ascii="Times New Roman" w:hAnsi="Times New Roman" w:eastAsia="黑体" w:cs="Times New Roman"/>
          <w:color w:val="000000"/>
          <w:szCs w:val="32"/>
        </w:rPr>
      </w:pPr>
    </w:p>
    <w:p>
      <w:pPr>
        <w:spacing w:line="578" w:lineRule="exact"/>
        <w:rPr>
          <w:rFonts w:hint="default" w:ascii="Times New Roman" w:hAnsi="Times New Roman" w:eastAsia="黑体" w:cs="Times New Roman"/>
          <w:color w:val="000000"/>
          <w:szCs w:val="32"/>
        </w:rPr>
      </w:pPr>
    </w:p>
    <w:p>
      <w:pPr>
        <w:numPr>
          <w:ilvl w:val="0"/>
          <w:numId w:val="1"/>
        </w:numPr>
        <w:spacing w:line="578"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与相关部门的职责边界登记表</w:t>
      </w:r>
      <w:r>
        <w:rPr>
          <w:rFonts w:hint="eastAsia" w:ascii="Times New Roman" w:hAnsi="Times New Roman" w:eastAsia="方正小标宋简体" w:cs="Times New Roman"/>
          <w:sz w:val="44"/>
          <w:szCs w:val="44"/>
          <w:lang w:eastAsia="zh-CN"/>
        </w:rPr>
        <w:t>（无）</w:t>
      </w:r>
    </w:p>
    <w:p>
      <w:pPr>
        <w:numPr>
          <w:ilvl w:val="0"/>
          <w:numId w:val="0"/>
        </w:numPr>
        <w:spacing w:line="578" w:lineRule="exact"/>
        <w:jc w:val="both"/>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 xml:space="preserve">  三、</w:t>
      </w:r>
      <w:r>
        <w:rPr>
          <w:rFonts w:hint="default" w:ascii="Times New Roman" w:hAnsi="Times New Roman" w:eastAsia="方正小标宋简体" w:cs="Times New Roman"/>
          <w:sz w:val="44"/>
          <w:szCs w:val="44"/>
          <w:lang w:val="en-US" w:eastAsia="zh-CN"/>
        </w:rPr>
        <w:t>事中事后监管制度</w:t>
      </w:r>
      <w:r>
        <w:rPr>
          <w:rFonts w:hint="eastAsia" w:ascii="Times New Roman" w:hAnsi="Times New Roman" w:eastAsia="方正小标宋简体" w:cs="Times New Roman"/>
          <w:sz w:val="44"/>
          <w:szCs w:val="44"/>
          <w:lang w:val="en-US" w:eastAsia="zh-CN"/>
        </w:rPr>
        <w:t>（无）</w:t>
      </w:r>
    </w:p>
    <w:p>
      <w:pPr>
        <w:numPr>
          <w:ilvl w:val="0"/>
          <w:numId w:val="0"/>
        </w:numPr>
        <w:spacing w:line="578" w:lineRule="exact"/>
        <w:jc w:val="both"/>
        <w:rPr>
          <w:rFonts w:hint="default" w:ascii="Times New Roman" w:hAnsi="Times New Roman" w:eastAsia="方正小标宋简体" w:cs="Times New Roman"/>
          <w:sz w:val="44"/>
          <w:szCs w:val="44"/>
        </w:rPr>
      </w:pPr>
      <w:r>
        <w:rPr>
          <w:rFonts w:hint="eastAsia" w:eastAsia="方正小标宋简体" w:cs="Times New Roman"/>
          <w:sz w:val="44"/>
          <w:szCs w:val="44"/>
          <w:lang w:val="en-US" w:eastAsia="zh-CN"/>
        </w:rPr>
        <w:t xml:space="preserve">  </w:t>
      </w:r>
      <w:r>
        <w:rPr>
          <w:rFonts w:hint="eastAsia" w:ascii="Times New Roman" w:hAnsi="Times New Roman" w:eastAsia="方正小标宋简体" w:cs="Times New Roman"/>
          <w:sz w:val="44"/>
          <w:szCs w:val="44"/>
          <w:lang w:eastAsia="zh-CN"/>
        </w:rPr>
        <w:t>四、</w:t>
      </w:r>
      <w:r>
        <w:rPr>
          <w:rFonts w:hint="default" w:ascii="Times New Roman" w:hAnsi="Times New Roman" w:eastAsia="方正小标宋简体" w:cs="Times New Roman"/>
          <w:sz w:val="44"/>
          <w:szCs w:val="44"/>
        </w:rPr>
        <w:t>公共服务事项登记表</w:t>
      </w:r>
      <w:r>
        <w:rPr>
          <w:rFonts w:hint="eastAsia" w:eastAsia="方正小标宋简体" w:cs="Times New Roman"/>
          <w:sz w:val="44"/>
          <w:szCs w:val="44"/>
          <w:lang w:val="en-US" w:eastAsia="zh-CN"/>
        </w:rPr>
        <w:t xml:space="preserve"> (无)</w:t>
      </w:r>
    </w:p>
    <w:p>
      <w:pPr>
        <w:spacing w:line="578" w:lineRule="exact"/>
        <w:jc w:val="center"/>
        <w:rPr>
          <w:rFonts w:hint="default" w:ascii="Times New Roman" w:hAnsi="Times New Roman" w:eastAsia="方正小标宋简体" w:cs="Times New Roman"/>
          <w:sz w:val="36"/>
          <w:szCs w:val="36"/>
        </w:rPr>
      </w:pPr>
    </w:p>
    <w:p>
      <w:pPr>
        <w:spacing w:line="578" w:lineRule="exact"/>
        <w:rPr>
          <w:rFonts w:hint="default" w:ascii="Times New Roman" w:hAnsi="Times New Roman" w:eastAsia="黑体" w:cs="Times New Roman"/>
          <w:color w:val="000000"/>
          <w:szCs w:val="32"/>
        </w:rPr>
      </w:pPr>
      <w:bookmarkStart w:id="0" w:name="_GoBack"/>
      <w:bookmarkEnd w:id="0"/>
    </w:p>
    <w:p>
      <w:pPr>
        <w:spacing w:line="578" w:lineRule="exact"/>
        <w:rPr>
          <w:rFonts w:hint="default" w:ascii="Times New Roman" w:hAnsi="Times New Roman" w:eastAsia="黑体" w:cs="Times New Roman"/>
          <w:color w:val="000000"/>
          <w:szCs w:val="32"/>
        </w:rPr>
      </w:pPr>
    </w:p>
    <w:p>
      <w:pPr>
        <w:spacing w:line="578" w:lineRule="exact"/>
        <w:rPr>
          <w:rFonts w:hint="default" w:ascii="Times New Roman" w:hAnsi="Times New Roman" w:eastAsia="黑体" w:cs="Times New Roman"/>
          <w:color w:val="000000"/>
          <w:szCs w:val="32"/>
        </w:rPr>
      </w:pPr>
    </w:p>
    <w:p>
      <w:pPr>
        <w:spacing w:line="578" w:lineRule="exact"/>
        <w:rPr>
          <w:rFonts w:hint="default" w:ascii="Times New Roman" w:hAnsi="Times New Roman" w:eastAsia="黑体" w:cs="Times New Roman"/>
          <w:color w:val="000000"/>
          <w:szCs w:val="32"/>
        </w:rPr>
      </w:pPr>
    </w:p>
    <w:p>
      <w:pPr>
        <w:spacing w:line="578" w:lineRule="exact"/>
        <w:rPr>
          <w:rFonts w:hint="default" w:ascii="Times New Roman" w:hAnsi="Times New Roman" w:eastAsia="黑体" w:cs="Times New Roman"/>
          <w:color w:val="000000"/>
          <w:szCs w:val="32"/>
        </w:rPr>
      </w:pPr>
    </w:p>
    <w:p>
      <w:pPr>
        <w:pStyle w:val="2"/>
        <w:spacing w:line="578" w:lineRule="exact"/>
        <w:rPr>
          <w:rFonts w:hint="default" w:ascii="Times New Roman" w:hAnsi="Times New Roman" w:eastAsia="黑体" w:cs="Times New Roman"/>
          <w:color w:val="000000"/>
          <w:szCs w:val="32"/>
        </w:rPr>
      </w:pPr>
    </w:p>
    <w:p>
      <w:pPr>
        <w:pStyle w:val="2"/>
        <w:spacing w:line="578" w:lineRule="exact"/>
        <w:jc w:val="left"/>
        <w:rPr>
          <w:rFonts w:hint="default" w:ascii="Times New Roman" w:hAnsi="Times New Roman" w:cs="Times New Roman"/>
          <w:b/>
          <w:bCs/>
          <w:color w:val="000000"/>
          <w:szCs w:val="32"/>
        </w:rPr>
      </w:pPr>
    </w:p>
    <w:p>
      <w:pPr>
        <w:spacing w:line="0" w:lineRule="atLeast"/>
        <w:jc w:val="left"/>
        <w:rPr>
          <w:rFonts w:hint="default" w:ascii="Times New Roman" w:hAnsi="Times New Roman" w:cs="Times New Roman"/>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100" o:spid="_x0000_s4100"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52</w:t>
                </w:r>
                <w:r>
                  <w:rPr>
                    <w:rFonts w:hint="eastAsia" w:asciiTheme="minorEastAsia" w:hAnsiTheme="minorEastAsia" w:eastAsiaTheme="minorEastAsia" w:cstheme="minorEastAsia"/>
                    <w:sz w:val="28"/>
                    <w:szCs w:val="40"/>
                    <w:lang w:eastAsia="zh-CN"/>
                  </w:rPr>
                  <w:fldChar w:fldCharType="end"/>
                </w: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3205375">
    <w:nsid w:val="60C025FF"/>
    <w:multiLevelType w:val="singleLevel"/>
    <w:tmpl w:val="60C025FF"/>
    <w:lvl w:ilvl="0" w:tentative="1">
      <w:start w:val="2"/>
      <w:numFmt w:val="chineseCounting"/>
      <w:suff w:val="nothing"/>
      <w:lvlText w:val="%1、"/>
      <w:lvlJc w:val="left"/>
    </w:lvl>
  </w:abstractNum>
  <w:num w:numId="1">
    <w:abstractNumId w:val="16232053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B307E"/>
    <w:rsid w:val="000305BE"/>
    <w:rsid w:val="005B307E"/>
    <w:rsid w:val="007662C4"/>
    <w:rsid w:val="01546A5A"/>
    <w:rsid w:val="038C1C4C"/>
    <w:rsid w:val="04046400"/>
    <w:rsid w:val="04D84057"/>
    <w:rsid w:val="05960D64"/>
    <w:rsid w:val="05F97E29"/>
    <w:rsid w:val="066B1319"/>
    <w:rsid w:val="06970489"/>
    <w:rsid w:val="06D67A15"/>
    <w:rsid w:val="08EF55B8"/>
    <w:rsid w:val="0BB005D6"/>
    <w:rsid w:val="0C4B24B1"/>
    <w:rsid w:val="0FAE0589"/>
    <w:rsid w:val="115C410F"/>
    <w:rsid w:val="12F81701"/>
    <w:rsid w:val="17AF792E"/>
    <w:rsid w:val="19006D44"/>
    <w:rsid w:val="197A0147"/>
    <w:rsid w:val="19CC140B"/>
    <w:rsid w:val="19FB65B5"/>
    <w:rsid w:val="1A7E6B05"/>
    <w:rsid w:val="1ABB268D"/>
    <w:rsid w:val="1D9C4C7C"/>
    <w:rsid w:val="1E14315F"/>
    <w:rsid w:val="1EC53339"/>
    <w:rsid w:val="1F576EA3"/>
    <w:rsid w:val="23082725"/>
    <w:rsid w:val="26125CFE"/>
    <w:rsid w:val="27B6002E"/>
    <w:rsid w:val="2879640A"/>
    <w:rsid w:val="2A0055C2"/>
    <w:rsid w:val="2A153C94"/>
    <w:rsid w:val="2B4757D2"/>
    <w:rsid w:val="2BCB0F5F"/>
    <w:rsid w:val="2C74066E"/>
    <w:rsid w:val="2D9C2201"/>
    <w:rsid w:val="2DBE7648"/>
    <w:rsid w:val="307916BF"/>
    <w:rsid w:val="31054F6A"/>
    <w:rsid w:val="3289357E"/>
    <w:rsid w:val="342329D9"/>
    <w:rsid w:val="34F71425"/>
    <w:rsid w:val="36934425"/>
    <w:rsid w:val="36963885"/>
    <w:rsid w:val="3AEB2DD4"/>
    <w:rsid w:val="415F09FC"/>
    <w:rsid w:val="419E7A61"/>
    <w:rsid w:val="424372E0"/>
    <w:rsid w:val="46645C30"/>
    <w:rsid w:val="487F5122"/>
    <w:rsid w:val="48CF2C82"/>
    <w:rsid w:val="4968669E"/>
    <w:rsid w:val="4AA80BD0"/>
    <w:rsid w:val="4FC0348D"/>
    <w:rsid w:val="50E33898"/>
    <w:rsid w:val="53484562"/>
    <w:rsid w:val="538A6088"/>
    <w:rsid w:val="558636C1"/>
    <w:rsid w:val="579F6E5A"/>
    <w:rsid w:val="57C51086"/>
    <w:rsid w:val="5920592C"/>
    <w:rsid w:val="594719FE"/>
    <w:rsid w:val="5A3203AE"/>
    <w:rsid w:val="5EF33294"/>
    <w:rsid w:val="602A37A0"/>
    <w:rsid w:val="61EC77DF"/>
    <w:rsid w:val="62C40281"/>
    <w:rsid w:val="63B75454"/>
    <w:rsid w:val="6744617D"/>
    <w:rsid w:val="685C1E23"/>
    <w:rsid w:val="6A862969"/>
    <w:rsid w:val="6AC00F08"/>
    <w:rsid w:val="6EB40A8C"/>
    <w:rsid w:val="70746E88"/>
    <w:rsid w:val="713820A0"/>
    <w:rsid w:val="73F47604"/>
    <w:rsid w:val="74283E20"/>
    <w:rsid w:val="75902AB0"/>
    <w:rsid w:val="75DC31CD"/>
    <w:rsid w:val="77822008"/>
    <w:rsid w:val="78AC6FD9"/>
    <w:rsid w:val="7A4F4F66"/>
    <w:rsid w:val="7B5E6CB8"/>
    <w:rsid w:val="7CD35D34"/>
    <w:rsid w:val="7CFA3218"/>
    <w:rsid w:val="7E434D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8">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20018</Words>
  <Characters>1180</Characters>
  <Lines>9</Lines>
  <Paragraphs>42</Paragraphs>
  <ScaleCrop>false</ScaleCrop>
  <LinksUpToDate>false</LinksUpToDate>
  <CharactersWithSpaces>21156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Administrator</cp:lastModifiedBy>
  <cp:lastPrinted>2021-06-07T01:40:00Z</cp:lastPrinted>
  <dcterms:modified xsi:type="dcterms:W3CDTF">2021-09-01T08:27:42Z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