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共青团三亚市吉阳区委员会责任清单</w:t>
      </w:r>
    </w:p>
    <w:p>
      <w:pPr>
        <w:spacing w:line="578" w:lineRule="exact"/>
        <w:jc w:val="center"/>
        <w:rPr>
          <w:rFonts w:ascii="Times New Roman" w:hAnsi="Times New Roman" w:cs="Times New Roman"/>
          <w:bCs/>
          <w:color w:val="000000"/>
          <w:kern w:val="0"/>
          <w:sz w:val="28"/>
          <w:szCs w:val="28"/>
        </w:rPr>
      </w:pPr>
    </w:p>
    <w:p>
      <w:pPr>
        <w:spacing w:line="578" w:lineRule="exact"/>
        <w:jc w:val="center"/>
        <w:rPr>
          <w:rFonts w:ascii="Times New Roman" w:hAnsi="Times New Roman" w:eastAsia="黑体" w:cs="Times New Roman"/>
          <w:bCs/>
          <w:color w:val="000000"/>
          <w:kern w:val="0"/>
          <w:sz w:val="30"/>
          <w:szCs w:val="30"/>
        </w:rPr>
      </w:pPr>
      <w:r>
        <w:rPr>
          <w:rFonts w:ascii="Times New Roman" w:hAnsi="Times New Roman" w:eastAsia="黑体" w:cs="Times New Roman"/>
          <w:bCs/>
          <w:color w:val="000000"/>
          <w:kern w:val="0"/>
          <w:sz w:val="30"/>
          <w:szCs w:val="30"/>
        </w:rPr>
        <w:t>目   录</w:t>
      </w:r>
    </w:p>
    <w:p>
      <w:pPr>
        <w:spacing w:line="578" w:lineRule="exact"/>
        <w:rPr>
          <w:rFonts w:ascii="Times New Roman" w:hAnsi="Times New Roman" w:cs="Times New Roman"/>
          <w:bCs/>
          <w:color w:val="000000"/>
          <w:kern w:val="0"/>
          <w:szCs w:val="32"/>
        </w:rPr>
      </w:pPr>
      <w:r>
        <w:rPr>
          <w:rFonts w:ascii="Times New Roman" w:hAnsi="Times New Roman" w:cs="Times New Roman"/>
          <w:bCs/>
          <w:color w:val="000000"/>
          <w:kern w:val="0"/>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仿宋_GB2312"/>
          <w:bCs/>
          <w:color w:val="000000"/>
          <w:kern w:val="0"/>
          <w:sz w:val="30"/>
          <w:szCs w:val="30"/>
          <w:highlight w:val="none"/>
        </w:rPr>
      </w:pPr>
      <w:r>
        <w:rPr>
          <w:rFonts w:hint="eastAsia" w:ascii="仿宋_GB2312" w:eastAsia="仿宋_GB2312" w:cs="仿宋_GB2312"/>
          <w:bCs/>
          <w:color w:val="000000"/>
          <w:kern w:val="0"/>
          <w:sz w:val="30"/>
          <w:szCs w:val="30"/>
          <w:highlight w:val="none"/>
        </w:rPr>
        <w:t>一、部门职责登记表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仿宋_GB2312"/>
          <w:bCs/>
          <w:color w:val="000000"/>
          <w:kern w:val="0"/>
          <w:sz w:val="30"/>
          <w:szCs w:val="30"/>
          <w:highlight w:val="none"/>
          <w:lang w:eastAsia="zh-CN"/>
        </w:rPr>
      </w:pPr>
      <w:r>
        <w:rPr>
          <w:rFonts w:hint="eastAsia" w:ascii="仿宋_GB2312" w:eastAsia="仿宋_GB2312" w:cs="仿宋_GB2312"/>
          <w:bCs/>
          <w:color w:val="000000"/>
          <w:kern w:val="0"/>
          <w:sz w:val="30"/>
          <w:szCs w:val="30"/>
          <w:highlight w:val="none"/>
        </w:rPr>
        <w:t>二、与相关部门的职责边界</w:t>
      </w:r>
      <w:r>
        <w:rPr>
          <w:rFonts w:hint="eastAsia" w:ascii="仿宋_GB2312" w:cs="仿宋_GB2312"/>
          <w:bCs/>
          <w:color w:val="000000"/>
          <w:kern w:val="0"/>
          <w:sz w:val="30"/>
          <w:szCs w:val="30"/>
          <w:highlight w:val="none"/>
          <w:lang w:val="en-US" w:eastAsia="zh-CN"/>
        </w:rPr>
        <w:t>登记</w:t>
      </w:r>
      <w:r>
        <w:rPr>
          <w:rFonts w:hint="eastAsia" w:ascii="仿宋_GB2312" w:eastAsia="仿宋_GB2312" w:cs="仿宋_GB2312"/>
          <w:bCs/>
          <w:color w:val="000000"/>
          <w:kern w:val="0"/>
          <w:sz w:val="30"/>
          <w:szCs w:val="30"/>
          <w:highlight w:val="none"/>
          <w:lang w:val="en-US" w:eastAsia="zh-CN"/>
        </w:rPr>
        <w:t>表</w:t>
      </w:r>
      <w:r>
        <w:rPr>
          <w:rFonts w:hint="eastAsia" w:ascii="仿宋_GB2312" w:eastAsia="仿宋_GB2312" w:cs="仿宋_GB2312"/>
          <w:bCs/>
          <w:color w:val="000000"/>
          <w:kern w:val="0"/>
          <w:sz w:val="30"/>
          <w:szCs w:val="30"/>
          <w:highlight w:val="none"/>
          <w:lang w:eastAsia="zh-CN"/>
        </w:rPr>
        <w:t>（</w:t>
      </w:r>
      <w:r>
        <w:rPr>
          <w:rFonts w:hint="eastAsia" w:ascii="仿宋_GB2312" w:eastAsia="仿宋_GB2312" w:cs="仿宋_GB2312"/>
          <w:bCs/>
          <w:color w:val="000000"/>
          <w:kern w:val="0"/>
          <w:sz w:val="30"/>
          <w:szCs w:val="30"/>
          <w:highlight w:val="none"/>
        </w:rPr>
        <w:t>无</w:t>
      </w:r>
      <w:r>
        <w:rPr>
          <w:rFonts w:hint="eastAsia" w:ascii="仿宋_GB2312" w:eastAsia="仿宋_GB2312" w:cs="仿宋_GB2312"/>
          <w:bCs/>
          <w:color w:val="000000"/>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仿宋_GB2312"/>
          <w:bCs/>
          <w:color w:val="000000"/>
          <w:kern w:val="0"/>
          <w:sz w:val="30"/>
          <w:szCs w:val="30"/>
          <w:highlight w:val="none"/>
          <w:lang w:eastAsia="zh-CN"/>
        </w:rPr>
      </w:pPr>
      <w:r>
        <w:rPr>
          <w:rFonts w:hint="eastAsia" w:ascii="仿宋_GB2312" w:eastAsia="仿宋_GB2312" w:cs="仿宋_GB2312"/>
          <w:bCs/>
          <w:color w:val="000000"/>
          <w:kern w:val="0"/>
          <w:sz w:val="30"/>
          <w:szCs w:val="30"/>
          <w:highlight w:val="none"/>
        </w:rPr>
        <w:t>三、事中事后监管制度</w:t>
      </w:r>
      <w:r>
        <w:rPr>
          <w:rFonts w:hint="eastAsia" w:ascii="仿宋_GB2312" w:eastAsia="仿宋_GB2312" w:cs="仿宋_GB2312"/>
          <w:bCs/>
          <w:color w:val="000000"/>
          <w:kern w:val="0"/>
          <w:sz w:val="30"/>
          <w:szCs w:val="30"/>
          <w:highlight w:val="none"/>
          <w:lang w:eastAsia="zh-CN"/>
        </w:rPr>
        <w:t>（</w:t>
      </w:r>
      <w:r>
        <w:rPr>
          <w:rFonts w:hint="eastAsia" w:ascii="仿宋_GB2312" w:eastAsia="仿宋_GB2312" w:cs="仿宋_GB2312"/>
          <w:bCs/>
          <w:color w:val="000000"/>
          <w:kern w:val="0"/>
          <w:sz w:val="30"/>
          <w:szCs w:val="30"/>
          <w:highlight w:val="none"/>
        </w:rPr>
        <w:t>无</w:t>
      </w:r>
      <w:r>
        <w:rPr>
          <w:rFonts w:hint="eastAsia" w:ascii="仿宋_GB2312" w:eastAsia="仿宋_GB2312" w:cs="仿宋_GB2312"/>
          <w:bCs/>
          <w:color w:val="000000"/>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仿宋_GB2312"/>
          <w:bCs/>
          <w:color w:val="000000"/>
          <w:kern w:val="0"/>
          <w:sz w:val="30"/>
          <w:szCs w:val="30"/>
          <w:highlight w:val="none"/>
          <w:lang w:val="en-US" w:eastAsia="zh-CN"/>
        </w:rPr>
      </w:pPr>
      <w:r>
        <w:rPr>
          <w:rFonts w:hint="eastAsia" w:ascii="仿宋_GB2312" w:eastAsia="仿宋_GB2312" w:cs="仿宋_GB2312"/>
          <w:bCs/>
          <w:color w:val="000000"/>
          <w:kern w:val="0"/>
          <w:sz w:val="30"/>
          <w:szCs w:val="30"/>
          <w:highlight w:val="none"/>
        </w:rPr>
        <w:t>四、公共服务事项</w:t>
      </w:r>
    </w:p>
    <w:p>
      <w:pPr>
        <w:spacing w:line="578" w:lineRule="exact"/>
        <w:ind w:firstLine="640" w:firstLineChars="200"/>
        <w:rPr>
          <w:rFonts w:ascii="Times New Roman" w:hAnsi="Times New Roman" w:eastAsia="宋体" w:cs="Times New Roman"/>
          <w:bCs/>
          <w:color w:val="000000"/>
          <w:kern w:val="0"/>
          <w:szCs w:val="32"/>
        </w:rPr>
      </w:pPr>
    </w:p>
    <w:p>
      <w:pPr>
        <w:spacing w:line="578" w:lineRule="exact"/>
        <w:rPr>
          <w:rFonts w:ascii="Times New Roman" w:hAnsi="Times New Roman" w:eastAsia="宋体" w:cs="Times New Roman"/>
          <w:bCs/>
          <w:color w:val="000000"/>
          <w:sz w:val="24"/>
          <w:szCs w:val="24"/>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spacing w:line="578" w:lineRule="exact"/>
        <w:rPr>
          <w:rFonts w:ascii="Times New Roman" w:hAnsi="Times New Roman" w:eastAsia="黑体" w:cs="Times New Roman"/>
          <w:color w:val="000000"/>
          <w:szCs w:val="32"/>
        </w:rPr>
      </w:pPr>
    </w:p>
    <w:p>
      <w:pPr>
        <w:pStyle w:val="2"/>
        <w:spacing w:line="578" w:lineRule="exact"/>
        <w:rPr>
          <w:rFonts w:ascii="Times New Roman" w:hAnsi="Times New Roman" w:eastAsia="黑体" w:cs="Times New Roman"/>
          <w:color w:val="000000"/>
          <w:szCs w:val="32"/>
        </w:rPr>
      </w:pPr>
    </w:p>
    <w:p>
      <w:pPr/>
    </w:p>
    <w:p>
      <w:pPr>
        <w:spacing w:line="578" w:lineRule="exact"/>
        <w:jc w:val="center"/>
        <w:rPr>
          <w:rFonts w:hint="eastAsia" w:ascii="黑体" w:eastAsia="黑体" w:cs="黑体"/>
          <w:sz w:val="32"/>
          <w:szCs w:val="32"/>
          <w:lang w:val="en-US" w:eastAsia="zh-CN"/>
        </w:rPr>
        <w:sectPr>
          <w:headerReference r:id="rId3" w:type="default"/>
          <w:footerReference r:id="rId4" w:type="default"/>
          <w:pgSz w:w="11906" w:h="16838"/>
          <w:pgMar w:top="2098" w:right="1474" w:bottom="1984" w:left="1587" w:header="851" w:footer="992" w:gutter="0"/>
          <w:pgNumType w:fmt="decimal" w:start="1"/>
          <w:docGrid w:type="lines" w:linePitch="312" w:charSpace="0"/>
        </w:sectPr>
      </w:pPr>
    </w:p>
    <w:p>
      <w:pPr>
        <w:spacing w:line="578" w:lineRule="exact"/>
        <w:jc w:val="center"/>
        <w:rPr>
          <w:rFonts w:hint="eastAsia" w:ascii="黑体" w:eastAsia="黑体" w:cs="黑体"/>
          <w:sz w:val="32"/>
          <w:szCs w:val="32"/>
        </w:rPr>
      </w:pPr>
      <w:r>
        <w:rPr>
          <w:rFonts w:hint="eastAsia" w:ascii="黑体" w:eastAsia="黑体" w:cs="黑体"/>
          <w:sz w:val="32"/>
          <w:szCs w:val="32"/>
          <w:lang w:val="en-US" w:eastAsia="zh-CN"/>
        </w:rPr>
        <w:t>一、</w:t>
      </w:r>
      <w:r>
        <w:rPr>
          <w:rFonts w:hint="eastAsia" w:ascii="黑体" w:eastAsia="黑体" w:cs="黑体"/>
          <w:sz w:val="32"/>
          <w:szCs w:val="32"/>
        </w:rPr>
        <w:t>部门职责登记表</w:t>
      </w:r>
    </w:p>
    <w:p>
      <w:pPr>
        <w:spacing w:line="578" w:lineRule="exact"/>
        <w:jc w:val="center"/>
        <w:rPr>
          <w:rFonts w:hint="eastAsia" w:ascii="仿宋_GB2312" w:hAnsi="仿宋_GB2312" w:eastAsia="仿宋_GB2312" w:cs="仿宋_GB2312"/>
          <w:sz w:val="30"/>
          <w:szCs w:val="30"/>
        </w:rPr>
      </w:pPr>
    </w:p>
    <w:tbl>
      <w:tblPr>
        <w:tblStyle w:val="9"/>
        <w:tblpPr w:leftFromText="180" w:rightFromText="180" w:vertAnchor="text" w:horzAnchor="page" w:tblpX="1337" w:tblpY="80"/>
        <w:tblOverlap w:val="never"/>
        <w:tblW w:w="95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3143"/>
        <w:gridCol w:w="5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7" w:type="dxa"/>
            <w:shd w:val="clear" w:color="FFFFFF" w:fill="FFFFFF"/>
            <w:vAlign w:val="center"/>
          </w:tcPr>
          <w:p>
            <w:pPr>
              <w:spacing w:line="578"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序号</w:t>
            </w:r>
          </w:p>
        </w:tc>
        <w:tc>
          <w:tcPr>
            <w:tcW w:w="3143" w:type="dxa"/>
            <w:shd w:val="clear" w:color="FFFFFF" w:fill="FFFFFF"/>
            <w:vAlign w:val="center"/>
          </w:tcPr>
          <w:p>
            <w:pPr>
              <w:spacing w:line="578"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主要职责</w:t>
            </w:r>
          </w:p>
        </w:tc>
        <w:tc>
          <w:tcPr>
            <w:tcW w:w="5196" w:type="dxa"/>
            <w:shd w:val="clear" w:color="FFFFFF" w:fill="FFFFFF"/>
            <w:vAlign w:val="center"/>
          </w:tcPr>
          <w:p>
            <w:pPr>
              <w:spacing w:line="578"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具体工作事项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trPr>
        <w:tc>
          <w:tcPr>
            <w:tcW w:w="1207" w:type="dxa"/>
            <w:shd w:val="clear" w:color="FFFFFF" w:fill="FFFFFF"/>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3143" w:type="dxa"/>
            <w:shd w:val="clear" w:color="FFFFFF" w:fill="FFFFFF"/>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领导全区共青团工作</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组织全区共青团组织围绕区委和团市委的指示开展工作，在区域政治、经济、社会、文化建设中积极发挥党的助手作用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推进全区青少年精神文明建设；动员和带领区域内团员青年积极参与和开展各类团组织活动，引领他们树立正确的世界观、价值观和人生观</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推进全区青少年精神文明建设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动员和带领区域内团员青年积极参与和开展各类团组织活动，引领他们树立正确的世界观、价值观和人生观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负责指导全区团的组织建设和干部队伍建设，推进全区团的基层组织建设</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负责研究制定符合我区实际的共青团组织、干部和团员队伍建设的规定、措施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指导各基层团组织团干队伍和团员队伍的建设，抓好团干部队伍的管理、考核、选拔和培训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参与制定全区青少年事业发展规划和青少年工作方针、政策；参与全区有关青少年事务规范性文件的制定和实施</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参与全区保护青少年健康成长的法规、规章制度的修订和监督实施，协助开展预防青少年违法犯罪工作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3"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参与全区有关青少年社会工作有关政策、制度，指导青少年事务社工专业人才队伍建设，强化社工宣传和培训工作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向区委、区政府反映青少年思想状况，参与协调处理各种与青少年权益相关的工作</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调查青少年思想动态和青少年工作情况，</w:t>
            </w:r>
            <w:r>
              <w:rPr>
                <w:rFonts w:hint="default" w:ascii="Times New Roman" w:hAnsi="Times New Roman" w:eastAsia="仿宋_GB2312" w:cs="Times New Roman"/>
                <w:color w:val="000000"/>
                <w:sz w:val="24"/>
                <w:szCs w:val="24"/>
                <w:lang w:eastAsia="zh-CN"/>
              </w:rPr>
              <w:t>向区委、区政府反映青少年思想状况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参与协调处理各种与青少年权益相关的工作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会同有关部门做好全区青年统战、民族、宗教工作和青年统战对象的团结教育工作</w:t>
            </w:r>
            <w:r>
              <w:rPr>
                <w:rFonts w:hint="default" w:ascii="Times New Roman" w:hAnsi="Times New Roman" w:eastAsia="仿宋_GB2312" w:cs="Times New Roman"/>
                <w:color w:val="000000"/>
                <w:sz w:val="24"/>
                <w:szCs w:val="24"/>
                <w:lang w:eastAsia="zh-CN"/>
              </w:rPr>
              <w:t>，维护、促进祖国统一和民族团结</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负责团的统战、联络工作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借助中华传统节日契机，举办节庆活动，加强与外界青年的学习交流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协助政府教育部门组织大、中、小学生开展各具特色的教育和活动，维护学校稳定和社会安定团结</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配合</w:t>
            </w:r>
            <w:r>
              <w:rPr>
                <w:rFonts w:hint="default" w:ascii="Times New Roman" w:hAnsi="Times New Roman" w:cs="Times New Roman"/>
                <w:color w:val="000000"/>
                <w:sz w:val="24"/>
                <w:szCs w:val="24"/>
                <w:lang w:eastAsia="zh-CN"/>
              </w:rPr>
              <w:t>区教育局</w:t>
            </w:r>
            <w:r>
              <w:rPr>
                <w:rFonts w:hint="default" w:ascii="Times New Roman" w:hAnsi="Times New Roman" w:eastAsia="仿宋_GB2312" w:cs="Times New Roman"/>
                <w:color w:val="000000"/>
                <w:sz w:val="24"/>
                <w:szCs w:val="24"/>
                <w:lang w:eastAsia="zh-CN"/>
              </w:rPr>
              <w:t>贯彻落实党的教育方针，对学生进行思想政治教育，积极开展共青团各项活动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指导大、中、小学生开展社会实践、课外科技、文化活动，做好大、中、小学生素质拓展工作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07" w:type="dxa"/>
            <w:shd w:val="clear" w:color="auto" w:fill="auto"/>
            <w:vAlign w:val="center"/>
          </w:tcPr>
          <w:p>
            <w:pPr>
              <w:spacing w:line="578"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3143" w:type="dxa"/>
            <w:shd w:val="clear" w:color="auto" w:fill="auto"/>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承担全区“希望工程”的有关工作</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开展吉阳区“向贫困宣战助学活动”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9</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承担全区</w:t>
            </w:r>
            <w:r>
              <w:rPr>
                <w:rFonts w:hint="default" w:ascii="Times New Roman" w:hAnsi="Times New Roman" w:eastAsia="仿宋_GB2312" w:cs="Times New Roman"/>
                <w:color w:val="000000"/>
                <w:sz w:val="24"/>
                <w:szCs w:val="24"/>
              </w:rPr>
              <w:t>少先队</w:t>
            </w:r>
            <w:r>
              <w:rPr>
                <w:rFonts w:hint="default" w:ascii="Times New Roman" w:hAnsi="Times New Roman" w:eastAsia="仿宋_GB2312" w:cs="Times New Roman"/>
                <w:color w:val="000000"/>
                <w:sz w:val="24"/>
                <w:szCs w:val="24"/>
                <w:lang w:eastAsia="zh-CN"/>
              </w:rPr>
              <w:t>和</w:t>
            </w:r>
            <w:r>
              <w:rPr>
                <w:rFonts w:hint="default" w:ascii="Times New Roman" w:hAnsi="Times New Roman" w:eastAsia="仿宋_GB2312" w:cs="Times New Roman"/>
                <w:color w:val="000000"/>
                <w:sz w:val="24"/>
                <w:szCs w:val="24"/>
              </w:rPr>
              <w:t>志愿者服务工作</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指导全区少先队工作，负责区少工委的日常事务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组织拟订全区青年志愿服务工作规划和政策制度，指导青年志愿服务工作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参加志愿者相关评奖评优工作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1" w:hRule="atLeast"/>
        </w:trPr>
        <w:tc>
          <w:tcPr>
            <w:tcW w:w="1207" w:type="dxa"/>
            <w:vMerge w:val="restart"/>
            <w:shd w:val="clear" w:color="auto" w:fill="auto"/>
            <w:vAlign w:val="center"/>
          </w:tcPr>
          <w:p>
            <w:pPr>
              <w:spacing w:line="578"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w:t>
            </w:r>
          </w:p>
        </w:tc>
        <w:tc>
          <w:tcPr>
            <w:tcW w:w="3143" w:type="dxa"/>
            <w:vMerge w:val="restart"/>
            <w:shd w:val="clear" w:color="auto" w:fill="auto"/>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承办区委、区政府和上级团委交办的工作</w:t>
            </w:r>
          </w:p>
        </w:tc>
        <w:tc>
          <w:tcPr>
            <w:tcW w:w="5196" w:type="dxa"/>
            <w:shd w:val="clear" w:color="FFFFFF" w:fill="FFFFFF"/>
            <w:vAlign w:val="center"/>
          </w:tcPr>
          <w:p>
            <w:pPr>
              <w:spacing w:line="578"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负责组织、实施、落实区委、区政府和上级团委部署的各项工作任务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07" w:type="dxa"/>
            <w:vMerge w:val="continue"/>
            <w:shd w:val="clear" w:color="auto" w:fill="auto"/>
            <w:vAlign w:val="center"/>
          </w:tcPr>
          <w:p>
            <w:pPr>
              <w:rPr>
                <w:rFonts w:hint="default" w:ascii="Times New Roman" w:hAnsi="Times New Roman" w:cs="Times New Roman"/>
              </w:rPr>
            </w:pPr>
          </w:p>
        </w:tc>
        <w:tc>
          <w:tcPr>
            <w:tcW w:w="3143" w:type="dxa"/>
            <w:vMerge w:val="continue"/>
            <w:shd w:val="clear" w:color="auto" w:fill="auto"/>
            <w:vAlign w:val="center"/>
          </w:tcPr>
          <w:p>
            <w:pPr>
              <w:rPr>
                <w:rFonts w:hint="default" w:ascii="Times New Roman" w:hAnsi="Times New Roman" w:cs="Times New Roman"/>
              </w:rPr>
            </w:pPr>
          </w:p>
        </w:tc>
        <w:tc>
          <w:tcPr>
            <w:tcW w:w="5196" w:type="dxa"/>
            <w:shd w:val="clear" w:color="FFFFFF" w:fill="FFFFFF"/>
            <w:vAlign w:val="center"/>
          </w:tcPr>
          <w:p>
            <w:pPr>
              <w:spacing w:line="578" w:lineRule="exact"/>
              <w:rPr>
                <w:rFonts w:hint="default" w:ascii="Times New Roman" w:hAnsi="Times New Roman" w:cs="Times New Roman"/>
                <w:color w:val="000000"/>
                <w:sz w:val="24"/>
                <w:szCs w:val="24"/>
              </w:rPr>
            </w:pPr>
            <w:r>
              <w:rPr>
                <w:rFonts w:hint="default" w:ascii="Times New Roman" w:hAnsi="Times New Roman" w:eastAsia="仿宋_GB2312" w:cs="Times New Roman"/>
                <w:color w:val="000000"/>
                <w:sz w:val="24"/>
                <w:szCs w:val="24"/>
                <w:lang w:eastAsia="zh-CN"/>
              </w:rPr>
              <w:t>及时向区委、区政府和上级团委汇报吉阳区青少年发展的相关问题并提出相关建议</w:t>
            </w:r>
          </w:p>
        </w:tc>
      </w:tr>
    </w:tbl>
    <w:p>
      <w:pPr>
        <w:spacing w:line="578" w:lineRule="exact"/>
        <w:rPr>
          <w:rFonts w:hint="eastAsia" w:ascii="黑体" w:eastAsia="黑体" w:cs="黑体"/>
          <w:color w:val="000000"/>
          <w:sz w:val="28"/>
          <w:szCs w:val="28"/>
          <w:lang w:eastAsia="zh-CN"/>
        </w:rPr>
      </w:pPr>
    </w:p>
    <w:p>
      <w:pPr>
        <w:spacing w:line="578" w:lineRule="exact"/>
        <w:jc w:val="left"/>
        <w:rPr>
          <w:rFonts w:hint="default" w:ascii="黑体" w:eastAsia="黑体" w:cs="黑体"/>
          <w:sz w:val="32"/>
          <w:szCs w:val="32"/>
          <w:lang w:val="en-US"/>
        </w:rPr>
      </w:pPr>
      <w:bookmarkStart w:id="0" w:name="_GoBack"/>
      <w:r>
        <w:rPr>
          <w:rFonts w:hint="eastAsia" w:ascii="黑体" w:eastAsia="黑体" w:cs="黑体"/>
          <w:sz w:val="32"/>
          <w:szCs w:val="32"/>
        </w:rPr>
        <w:t>二、与相关部门的职责边界</w:t>
      </w:r>
      <w:r>
        <w:rPr>
          <w:rFonts w:hint="eastAsia" w:ascii="黑体" w:eastAsia="黑体" w:cs="黑体"/>
          <w:sz w:val="32"/>
          <w:szCs w:val="32"/>
          <w:lang w:val="en-US" w:eastAsia="zh-CN"/>
        </w:rPr>
        <w:t>表</w:t>
      </w:r>
      <w:r>
        <w:rPr>
          <w:rFonts w:hint="eastAsia" w:ascii="黑体" w:eastAsia="黑体" w:cs="黑体"/>
          <w:sz w:val="32"/>
          <w:szCs w:val="32"/>
          <w:lang w:eastAsia="zh-CN"/>
        </w:rPr>
        <w:t>（</w:t>
      </w:r>
      <w:r>
        <w:rPr>
          <w:rFonts w:hint="eastAsia" w:ascii="黑体" w:eastAsia="黑体" w:cs="黑体"/>
          <w:sz w:val="32"/>
          <w:szCs w:val="32"/>
        </w:rPr>
        <w:t>无</w:t>
      </w:r>
      <w:r>
        <w:rPr>
          <w:rFonts w:hint="eastAsia" w:ascii="黑体" w:eastAsia="黑体" w:cs="黑体"/>
          <w:sz w:val="32"/>
          <w:szCs w:val="32"/>
          <w:lang w:eastAsia="zh-CN"/>
        </w:rPr>
        <w:t>）</w:t>
      </w:r>
    </w:p>
    <w:p>
      <w:pPr>
        <w:spacing w:line="578" w:lineRule="exact"/>
        <w:jc w:val="left"/>
        <w:rPr>
          <w:rFonts w:hint="eastAsia" w:ascii="黑体" w:eastAsia="黑体" w:cs="黑体"/>
          <w:sz w:val="32"/>
          <w:szCs w:val="32"/>
        </w:rPr>
      </w:pPr>
      <w:r>
        <w:rPr>
          <w:rFonts w:hint="eastAsia" w:ascii="黑体" w:eastAsia="黑体" w:cs="黑体"/>
          <w:sz w:val="32"/>
          <w:szCs w:val="32"/>
        </w:rPr>
        <w:t>三、事中事后监管制度</w:t>
      </w:r>
      <w:r>
        <w:rPr>
          <w:rFonts w:hint="eastAsia" w:ascii="黑体" w:eastAsia="黑体" w:cs="黑体"/>
          <w:sz w:val="32"/>
          <w:szCs w:val="32"/>
          <w:lang w:eastAsia="zh-CN"/>
        </w:rPr>
        <w:t>（</w:t>
      </w:r>
      <w:r>
        <w:rPr>
          <w:rFonts w:hint="eastAsia" w:ascii="黑体" w:eastAsia="黑体" w:cs="黑体"/>
          <w:sz w:val="32"/>
          <w:szCs w:val="32"/>
        </w:rPr>
        <w:t>无</w:t>
      </w:r>
      <w:r>
        <w:rPr>
          <w:rFonts w:hint="eastAsia" w:ascii="黑体" w:eastAsia="黑体" w:cs="黑体"/>
          <w:sz w:val="32"/>
          <w:szCs w:val="32"/>
          <w:lang w:eastAsia="zh-CN"/>
        </w:rPr>
        <w:t>）</w:t>
      </w:r>
    </w:p>
    <w:bookmarkEnd w:id="0"/>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rPr>
      </w:pPr>
    </w:p>
    <w:p>
      <w:pPr>
        <w:spacing w:line="578" w:lineRule="exact"/>
        <w:jc w:val="center"/>
        <w:rPr>
          <w:rFonts w:hint="eastAsia" w:ascii="黑体" w:eastAsia="黑体" w:cs="黑体"/>
          <w:sz w:val="32"/>
          <w:szCs w:val="32"/>
          <w:lang w:val="en-US" w:eastAsia="zh-CN"/>
        </w:rPr>
      </w:pPr>
      <w:r>
        <w:rPr>
          <w:rFonts w:hint="eastAsia" w:ascii="黑体" w:eastAsia="黑体" w:cs="黑体"/>
          <w:sz w:val="32"/>
          <w:szCs w:val="32"/>
        </w:rPr>
        <w:t>四、公共服务事项</w:t>
      </w:r>
    </w:p>
    <w:p>
      <w:pPr>
        <w:spacing w:line="578" w:lineRule="exact"/>
        <w:jc w:val="both"/>
        <w:rPr>
          <w:rFonts w:ascii="Times New Roman" w:hAnsi="Times New Roman" w:eastAsia="方正小标宋简体" w:cs="Times New Roman"/>
          <w:sz w:val="36"/>
          <w:szCs w:val="36"/>
        </w:rPr>
      </w:pPr>
    </w:p>
    <w:tbl>
      <w:tblPr>
        <w:tblStyle w:val="9"/>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7"/>
        <w:gridCol w:w="2195"/>
        <w:gridCol w:w="1778"/>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67"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1877"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服务事项</w:t>
            </w:r>
          </w:p>
        </w:tc>
        <w:tc>
          <w:tcPr>
            <w:tcW w:w="2195"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主要内容</w:t>
            </w:r>
          </w:p>
        </w:tc>
        <w:tc>
          <w:tcPr>
            <w:tcW w:w="1778"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承办机构</w:t>
            </w:r>
          </w:p>
        </w:tc>
        <w:tc>
          <w:tcPr>
            <w:tcW w:w="2300"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578"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877" w:type="dxa"/>
            <w:vAlign w:val="center"/>
          </w:tcPr>
          <w:p>
            <w:pPr>
              <w:spacing w:line="578"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社会性服务</w:t>
            </w:r>
          </w:p>
        </w:tc>
        <w:tc>
          <w:tcPr>
            <w:tcW w:w="2195"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吉阳区“向贫困宣战助学活动”</w:t>
            </w:r>
          </w:p>
        </w:tc>
        <w:tc>
          <w:tcPr>
            <w:tcW w:w="1778"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共青团三亚市吉阳区委员会</w:t>
            </w:r>
          </w:p>
        </w:tc>
        <w:tc>
          <w:tcPr>
            <w:tcW w:w="2300"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0898-88713623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578"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877" w:type="dxa"/>
            <w:vAlign w:val="center"/>
          </w:tcPr>
          <w:p>
            <w:pPr>
              <w:spacing w:line="578"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社会性服务</w:t>
            </w:r>
          </w:p>
        </w:tc>
        <w:tc>
          <w:tcPr>
            <w:tcW w:w="2195"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吉阳区青少年公益营</w:t>
            </w:r>
          </w:p>
        </w:tc>
        <w:tc>
          <w:tcPr>
            <w:tcW w:w="1778"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共青团三亚市吉阳区委员会</w:t>
            </w:r>
          </w:p>
        </w:tc>
        <w:tc>
          <w:tcPr>
            <w:tcW w:w="2300"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0898-88713623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578"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877" w:type="dxa"/>
            <w:vAlign w:val="center"/>
          </w:tcPr>
          <w:p>
            <w:pPr>
              <w:spacing w:line="578"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社会性服务</w:t>
            </w:r>
          </w:p>
        </w:tc>
        <w:tc>
          <w:tcPr>
            <w:tcW w:w="2195"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单身青年联谊活动</w:t>
            </w:r>
          </w:p>
        </w:tc>
        <w:tc>
          <w:tcPr>
            <w:tcW w:w="1778"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共青团三亚市吉阳区委员会</w:t>
            </w:r>
          </w:p>
        </w:tc>
        <w:tc>
          <w:tcPr>
            <w:tcW w:w="2300" w:type="dxa"/>
            <w:vAlign w:val="center"/>
          </w:tcPr>
          <w:p>
            <w:pPr>
              <w:spacing w:line="578"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0898-88713623</w:t>
            </w:r>
          </w:p>
        </w:tc>
      </w:tr>
    </w:tbl>
    <w:p>
      <w:pPr>
        <w:spacing w:line="578" w:lineRule="exact"/>
        <w:rPr>
          <w:rFonts w:ascii="Times New Roman" w:hAnsi="Times New Roman" w:cs="Times New Roman"/>
          <w:b/>
          <w:color w:val="FF0000"/>
          <w:kern w:val="0"/>
          <w:sz w:val="28"/>
          <w:szCs w:val="28"/>
        </w:rPr>
      </w:pPr>
    </w:p>
    <w:p>
      <w:pPr>
        <w:pStyle w:val="2"/>
      </w:pPr>
    </w:p>
    <w:sectPr>
      <w:footerReference r:id="rId5" w:type="default"/>
      <w:pgSz w:w="11906" w:h="16838"/>
      <w:pgMar w:top="2098" w:right="1474" w:bottom="1984" w:left="1587"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048" behindDoc="0" locked="0" layoutInCell="1" allowOverlap="1">
              <wp:simplePos x="0" y="0"/>
              <wp:positionH relativeFrom="margin">
                <wp:align>outside</wp:align>
              </wp:positionH>
              <wp:positionV relativeFrom="paragraph">
                <wp:posOffset>-485140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2pt;height:144pt;width:144pt;mso-position-horizontal:outside;mso-position-horizontal-relative:margin;mso-wrap-style:none;z-index:2048;mso-width-relative:page;mso-height-relative:page;" filled="f" stroked="f" coordsize="21600,21600" o:gfxdata="UEsDBAoAAAAAAIdO4kAAAAAAAAAAAAAAAAAEAAAAZHJzL1BLAwQUAAAACACHTuJAngRc1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aP2RYEy5s858uRhzTN&#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4EXNf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-485140</wp:posOffset>
              </wp:positionV>
              <wp:extent cx="444500" cy="230505"/>
              <wp:effectExtent l="0" t="0" r="0" b="0"/>
              <wp:wrapNone/>
              <wp:docPr id="1" name="_x0000_s4100"/>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snapToGrid w:val="0"/>
                            <w:rPr>
                              <w:rFonts w:hint="eastAsia" w:ascii="宋体" w:eastAsia="宋体" w:cs="宋体"/>
                              <w:sz w:val="28"/>
                              <w:szCs w:val="40"/>
                              <w:lang w:eastAsia="zh-CN"/>
                            </w:rPr>
                          </w:pPr>
                          <w:r>
                            <w:rPr>
                              <w:rFonts w:hint="eastAsia" w:ascii="宋体" w:eastAsia="宋体" w:cs="宋体"/>
                              <w:sz w:val="28"/>
                              <w:szCs w:val="40"/>
                              <w:lang w:eastAsia="zh-CN"/>
                            </w:rPr>
                            <w:t xml:space="preserve">— </w:t>
                          </w: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lang w:eastAsia="zh-CN"/>
                            </w:rPr>
                            <w:t>1</w:t>
                          </w:r>
                          <w:r>
                            <w:rPr>
                              <w:rFonts w:hint="eastAsia" w:ascii="宋体" w:eastAsia="宋体" w:cs="宋体"/>
                              <w:sz w:val="28"/>
                              <w:szCs w:val="40"/>
                              <w:lang w:eastAsia="zh-CN"/>
                            </w:rPr>
                            <w:fldChar w:fldCharType="end"/>
                          </w:r>
                          <w:r>
                            <w:rPr>
                              <w:rFonts w:hint="eastAsia" w:ascii="宋体" w:eastAsia="宋体" w:cs="宋体"/>
                              <w:sz w:val="28"/>
                              <w:szCs w:val="40"/>
                              <w:lang w:eastAsia="zh-CN"/>
                            </w:rPr>
                            <w:t xml:space="preserve"> —</w:t>
                          </w:r>
                        </w:p>
                      </w:txbxContent>
                    </wps:txbx>
                    <wps:bodyPr vert="horz" wrap="none" lIns="0" tIns="0" rIns="0" bIns="0" anchor="t" anchorCtr="0" upright="1">
                      <a:spAutoFit/>
                    </wps:bodyPr>
                  </wps:wsp>
                </a:graphicData>
              </a:graphic>
            </wp:anchor>
          </w:drawing>
        </mc:Choice>
        <mc:Fallback>
          <w:pict>
            <v:rect id="_x0000_s4100" o:spid="_x0000_s1026" o:spt="1" style="position:absolute;left:0pt;margin-top:-38.2pt;height:18.15pt;width:35pt;mso-position-horizontal:outside;mso-position-horizontal-relative:margin;mso-wrap-style:none;z-index:1024;mso-width-relative:page;mso-height-relative:page;" filled="f" stroked="f" coordsize="21600,21600" o:gfxdata="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NcjPUAAAABwEAAA8AAAAAAAAAAQAg&#10;AAAAIgAAAGRycy9kb3ducmV2LnhtbFBLAQIUABQAAAAIAIdO4kAcF+dL2QEAAKcDAAAOAAAAAAAA&#10;AAEAIAAAACMBAABkcnMvZTJvRG9jLnhtbFBLBQYAAAAABgAGAFkBAABuBQAAAAA=&#10;">
              <v:fill on="f" focussize="0,0"/>
              <v:stroke on="f" joinstyle="miter"/>
              <v:imagedata o:title=""/>
              <o:lock v:ext="edit" aspectratio="f"/>
              <v:textbox inset="0mm,0mm,0mm,0mm" style="mso-fit-shape-to-text:t;">
                <w:txbxContent>
                  <w:p>
                    <w:pPr>
                      <w:snapToGrid w:val="0"/>
                      <w:rPr>
                        <w:rFonts w:hint="eastAsia" w:ascii="宋体" w:eastAsia="宋体" w:cs="宋体"/>
                        <w:sz w:val="28"/>
                        <w:szCs w:val="40"/>
                        <w:lang w:eastAsia="zh-CN"/>
                      </w:rPr>
                    </w:pPr>
                    <w:r>
                      <w:rPr>
                        <w:rFonts w:hint="eastAsia" w:ascii="宋体" w:eastAsia="宋体" w:cs="宋体"/>
                        <w:sz w:val="28"/>
                        <w:szCs w:val="40"/>
                        <w:lang w:eastAsia="zh-CN"/>
                      </w:rPr>
                      <w:t xml:space="preserve">— </w:t>
                    </w:r>
                    <w:r>
                      <w:rPr>
                        <w:rFonts w:hint="eastAsia" w:ascii="宋体" w:eastAsia="宋体" w:cs="宋体"/>
                        <w:sz w:val="28"/>
                        <w:szCs w:val="40"/>
                        <w:lang w:eastAsia="zh-CN"/>
                      </w:rPr>
                      <w:fldChar w:fldCharType="begin"/>
                    </w:r>
                    <w:r>
                      <w:rPr>
                        <w:rFonts w:hint="eastAsia" w:ascii="宋体" w:eastAsia="宋体" w:cs="宋体"/>
                        <w:sz w:val="28"/>
                        <w:szCs w:val="40"/>
                        <w:lang w:eastAsia="zh-CN"/>
                      </w:rPr>
                      <w:instrText xml:space="preserve"> PAGE  \* MERGEFORMAT </w:instrText>
                    </w:r>
                    <w:r>
                      <w:rPr>
                        <w:rFonts w:hint="eastAsia" w:ascii="宋体" w:eastAsia="宋体" w:cs="宋体"/>
                        <w:sz w:val="28"/>
                        <w:szCs w:val="40"/>
                        <w:lang w:eastAsia="zh-CN"/>
                      </w:rPr>
                      <w:fldChar w:fldCharType="separate"/>
                    </w:r>
                    <w:r>
                      <w:rPr>
                        <w:rFonts w:hint="eastAsia" w:ascii="宋体" w:eastAsia="宋体" w:cs="宋体"/>
                        <w:sz w:val="28"/>
                        <w:szCs w:val="40"/>
                        <w:lang w:eastAsia="zh-CN"/>
                      </w:rPr>
                      <w:t>1</w:t>
                    </w:r>
                    <w:r>
                      <w:rPr>
                        <w:rFonts w:hint="eastAsia" w:ascii="宋体" w:eastAsia="宋体" w:cs="宋体"/>
                        <w:sz w:val="28"/>
                        <w:szCs w:val="40"/>
                        <w:lang w:eastAsia="zh-CN"/>
                      </w:rPr>
                      <w:fldChar w:fldCharType="end"/>
                    </w:r>
                    <w:r>
                      <w:rPr>
                        <w:rFonts w:hint="eastAsia" w:ascii="宋体" w:eastAsia="宋体" w:cs="宋体"/>
                        <w:sz w:val="28"/>
                        <w:szCs w:val="40"/>
                        <w:lang w:eastAsia="zh-CN"/>
                      </w:rPr>
                      <w:t xml:space="preserve"> —</w:t>
                    </w: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48015DE"/>
    <w:rsid w:val="140F5D03"/>
    <w:rsid w:val="18156EA3"/>
    <w:rsid w:val="19E25C4F"/>
    <w:rsid w:val="1ED7073B"/>
    <w:rsid w:val="2B3E286D"/>
    <w:rsid w:val="2F121C6B"/>
    <w:rsid w:val="3B016486"/>
    <w:rsid w:val="4142684C"/>
    <w:rsid w:val="613420EB"/>
    <w:rsid w:val="7A520EF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1504</Words>
  <Characters>1546</Characters>
  <Lines>195</Lines>
  <Paragraphs>87</Paragraphs>
  <ScaleCrop>false</ScaleCrop>
  <LinksUpToDate>false</LinksUpToDate>
  <CharactersWithSpaces>1553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2021-07-06T08:10:00Z</cp:lastPrinted>
  <dcterms:modified xsi:type="dcterms:W3CDTF">2021-09-07T07:34:03Z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