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t>三亚市吉阳区项目推进服务中心责任清单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pacing w:val="-2"/>
          <w:sz w:val="30"/>
          <w:szCs w:val="30"/>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pacing w:val="-2"/>
          <w:sz w:val="30"/>
          <w:szCs w:val="30"/>
        </w:rPr>
      </w:pPr>
      <w:r>
        <w:rPr>
          <w:rFonts w:hint="eastAsia" w:ascii="黑体" w:hAnsi="黑体" w:eastAsia="黑体" w:cs="黑体"/>
          <w:spacing w:val="-2"/>
          <w:sz w:val="30"/>
          <w:szCs w:val="30"/>
        </w:rPr>
        <w:t>目  录</w:t>
      </w:r>
    </w:p>
    <w:p>
      <w:pPr>
        <w:spacing w:line="540" w:lineRule="exact"/>
        <w:jc w:val="center"/>
        <w:rPr>
          <w:rFonts w:ascii="Times New Roman" w:hAnsi="Times New Roman" w:eastAsia="仿宋_GB2312"/>
          <w:b/>
          <w:sz w:val="36"/>
          <w:szCs w:val="36"/>
        </w:rPr>
      </w:pPr>
    </w:p>
    <w:p>
      <w:pPr>
        <w:spacing w:line="540" w:lineRule="exact"/>
        <w:jc w:val="left"/>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一、部门职责登记表</w:t>
      </w:r>
    </w:p>
    <w:p>
      <w:pPr>
        <w:spacing w:line="540" w:lineRule="exact"/>
        <w:jc w:val="left"/>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二、与相关部门的职责边界登记表（无）</w:t>
      </w:r>
    </w:p>
    <w:p>
      <w:pPr>
        <w:spacing w:line="540" w:lineRule="exact"/>
        <w:jc w:val="left"/>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三、事中事后监管制度（无）</w:t>
      </w:r>
    </w:p>
    <w:p>
      <w:pPr>
        <w:spacing w:line="540" w:lineRule="exact"/>
        <w:jc w:val="left"/>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四、公共服务事项（无）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sectPr>
          <w:footerReference r:id="rId3"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一、部门职责登记表</w:t>
      </w:r>
    </w:p>
    <w:tbl>
      <w:tblPr>
        <w:tblStyle w:val="9"/>
        <w:tblpPr w:vertAnchor="text" w:horzAnchor="page" w:tblpX="1609" w:tblpY="359"/>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49"/>
        <w:gridCol w:w="2624"/>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56" w:hRule="atLeast"/>
          <w:tblHeader/>
        </w:trPr>
        <w:tc>
          <w:tcPr>
            <w:tcW w:w="749"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b/>
                <w:bCs/>
                <w:sz w:val="28"/>
                <w:szCs w:val="28"/>
              </w:rPr>
            </w:pPr>
            <w:r>
              <w:rPr>
                <w:rFonts w:hint="eastAsia" w:ascii="仿宋_GB2312" w:hAnsi="微软雅黑" w:eastAsia="仿宋_GB2312" w:cs="仿宋_GB2312"/>
                <w:b/>
                <w:bCs/>
                <w:kern w:val="0"/>
                <w:sz w:val="28"/>
                <w:szCs w:val="28"/>
                <w:vertAlign w:val="baseline"/>
                <w:lang w:val="en-US" w:eastAsia="zh-CN" w:bidi="ar"/>
              </w:rPr>
              <w:t>序号</w:t>
            </w:r>
          </w:p>
        </w:tc>
        <w:tc>
          <w:tcPr>
            <w:tcW w:w="2624"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b/>
                <w:bCs/>
                <w:sz w:val="28"/>
                <w:szCs w:val="28"/>
              </w:rPr>
            </w:pPr>
            <w:r>
              <w:rPr>
                <w:rFonts w:hint="eastAsia" w:ascii="仿宋_GB2312" w:hAnsi="微软雅黑" w:eastAsia="仿宋_GB2312" w:cs="仿宋_GB2312"/>
                <w:b/>
                <w:bCs/>
                <w:kern w:val="0"/>
                <w:sz w:val="28"/>
                <w:szCs w:val="28"/>
                <w:vertAlign w:val="baseline"/>
                <w:lang w:val="en-US" w:eastAsia="zh-CN" w:bidi="ar"/>
              </w:rPr>
              <w:t>主要职责</w:t>
            </w: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b/>
                <w:bCs/>
                <w:sz w:val="28"/>
                <w:szCs w:val="28"/>
              </w:rPr>
            </w:pPr>
            <w:r>
              <w:rPr>
                <w:rFonts w:hint="eastAsia" w:ascii="仿宋_GB2312" w:hAnsi="微软雅黑" w:eastAsia="仿宋_GB2312" w:cs="仿宋_GB2312"/>
                <w:b/>
                <w:bCs/>
                <w:kern w:val="0"/>
                <w:sz w:val="28"/>
                <w:szCs w:val="28"/>
                <w:vertAlign w:val="baseline"/>
                <w:lang w:val="en-US" w:eastAsia="zh-CN" w:bidi="ar"/>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blHeader/>
        </w:trPr>
        <w:tc>
          <w:tcPr>
            <w:tcW w:w="749" w:type="dxa"/>
            <w:vMerge w:val="restart"/>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1</w:t>
            </w:r>
          </w:p>
        </w:tc>
        <w:tc>
          <w:tcPr>
            <w:tcW w:w="2624" w:type="dxa"/>
            <w:vMerge w:val="restart"/>
            <w:shd w:val="clear" w:color="auto" w:fill="auto"/>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受区政府委托承担本区非经营性重点项目的协调、服务和督查推进工作</w:t>
            </w: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协调、推进重点项目征地工作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3"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监督、督促重点项目责任单位，指导开展征地有关工作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79"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组织召开重点征地项目专题推进会议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8" w:hRule="atLeast"/>
          <w:tblHeader/>
        </w:trPr>
        <w:tc>
          <w:tcPr>
            <w:tcW w:w="749"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2</w:t>
            </w:r>
          </w:p>
        </w:tc>
        <w:tc>
          <w:tcPr>
            <w:tcW w:w="2624" w:type="dxa"/>
            <w:shd w:val="clear" w:color="auto" w:fill="auto"/>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协调本区范围内各村（居）委会、村（居）小组配合区政府做好征地工作</w:t>
            </w:r>
          </w:p>
        </w:tc>
        <w:tc>
          <w:tcPr>
            <w:tcW w:w="5550" w:type="dxa"/>
            <w:tcBorders>
              <w:bottom w:val="single" w:color="auto" w:sz="4"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指导、协调、监督区村（居）委会、村（居）小组开展项目征地工作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7" w:hRule="atLeast"/>
          <w:tblHeader/>
        </w:trPr>
        <w:tc>
          <w:tcPr>
            <w:tcW w:w="749" w:type="dxa"/>
            <w:vMerge w:val="restart"/>
            <w:tcBorders>
              <w:top w:val="single" w:color="auto" w:sz="4"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lang w:val="en-US" w:eastAsia="zh-CN"/>
              </w:rPr>
            </w:pPr>
            <w:r>
              <w:rPr>
                <w:rFonts w:hint="eastAsia" w:ascii="仿宋_GB2312" w:hAnsi="微软雅黑" w:eastAsia="仿宋_GB2312" w:cs="仿宋_GB2312"/>
                <w:kern w:val="0"/>
                <w:sz w:val="24"/>
                <w:szCs w:val="24"/>
                <w:vertAlign w:val="baseline"/>
                <w:lang w:val="en-US" w:eastAsia="zh-CN" w:bidi="ar"/>
              </w:rPr>
              <w:t>3</w:t>
            </w:r>
          </w:p>
        </w:tc>
        <w:tc>
          <w:tcPr>
            <w:tcW w:w="2624" w:type="dxa"/>
            <w:vMerge w:val="restart"/>
            <w:tcBorders>
              <w:top w:val="single" w:color="auto" w:sz="4" w:space="0"/>
            </w:tcBorders>
            <w:shd w:val="clear" w:color="auto" w:fill="auto"/>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负责本区范围内拟征土地的征地方面相关具体事务工作</w:t>
            </w:r>
          </w:p>
        </w:tc>
        <w:tc>
          <w:tcPr>
            <w:tcW w:w="5550" w:type="dxa"/>
            <w:tcBorders>
              <w:top w:val="single" w:color="auto" w:sz="4"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编制项目征地告知书，由区政府审定发布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124"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落实放线及拍摄工作。放线后，组织区域内项目业主、项目驻点单位、被征收单位及个人确认征地范围；负责放线及拍摄工作，各驻点单位及测量单位配合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编制项目征地安置补偿方案，由区政府审定发布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61"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制定及发布项目征地工作实施方案，各驻点单位配合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124"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牵头各驻点单位配合宣传及解释安置补偿方案和项目的建设意义；牵头市资规局吉阳分局提供相关权属依据调查土地权属、被征地单位人员户籍及安置情况。被征地村（居）委会对调查结果初步审核并公示，无异议的送区征地项目工作领导小组进行审核，有异议的报区政府研究确定；配合驻点单位发动被征地单位及村民动员征地拆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负责清点丈量及测量工作，各驻点单位、被征地所在范围内的村（居）委会及测量单位配合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项目涉及到根据政策法规需要评估的标的物、无相关依据的特殊附着物、补偿标准与市场价差议较大的附着物时，组织开展评估工作，提交政府会议审定后作为补偿参考依据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制表、审表、公示、签订补偿协议及补偿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负责实施征地项目范围内已补偿房屋及地上附着物的拆除及清表工作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2"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微软雅黑" w:hAnsi="微软雅黑" w:eastAsia="微软雅黑" w:cs="微软雅黑"/>
                <w:lang w:val="en-US" w:eastAsia="zh-CN"/>
              </w:rPr>
            </w:pPr>
            <w:r>
              <w:rPr>
                <w:rFonts w:hint="eastAsia" w:ascii="仿宋_GB2312" w:hAnsi="微软雅黑" w:eastAsia="仿宋_GB2312" w:cs="仿宋_GB2312"/>
                <w:kern w:val="0"/>
                <w:sz w:val="24"/>
                <w:szCs w:val="24"/>
                <w:vertAlign w:val="baseline"/>
                <w:lang w:val="en-US" w:eastAsia="zh-CN" w:bidi="ar"/>
              </w:rPr>
              <w:t>征地工作经费的管理：根据吉阳府〔2018〕322号文件，审批5万元以下（含5万元）的费用；5万元以上30万元以下（含30万元）由分管单位的区领导或项目分管领导召开吉阳区项目推进专题会议确定；30万元以上100万元以下（含100万元）的由区政府常务会议确定；100万元以上的由区委常委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作为项目业主，征地实施中涉及标的物还建项目按《吉阳区政府投资项目建设管理暂行规定》及相关文件规定报批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代拟国有土地房屋征收决定，由区政府审定发布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0"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代拟征收补偿决定，由区政府审定发布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0"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lang w:eastAsia="zh-CN"/>
              </w:rPr>
            </w:pPr>
            <w:r>
              <w:rPr>
                <w:rFonts w:hint="eastAsia" w:ascii="仿宋_GB2312" w:hAnsi="微软雅黑" w:eastAsia="仿宋_GB2312" w:cs="仿宋_GB2312"/>
                <w:kern w:val="0"/>
                <w:sz w:val="24"/>
                <w:szCs w:val="24"/>
                <w:vertAlign w:val="baseline"/>
                <w:lang w:val="en-US" w:eastAsia="zh-CN" w:bidi="ar"/>
              </w:rPr>
              <w:t>协助办理项目征地“两公告一登记”及征地完成证明有关工作，由区政府审定发布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77" w:hRule="atLeast"/>
          <w:tblHeader/>
        </w:trPr>
        <w:tc>
          <w:tcPr>
            <w:tcW w:w="749"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2624" w:type="dxa"/>
            <w:vMerge w:val="continue"/>
            <w:shd w:val="clear" w:color="auto" w:fill="auto"/>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5550" w:type="dxa"/>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lang w:eastAsia="zh-CN"/>
              </w:rPr>
            </w:pPr>
            <w:r>
              <w:rPr>
                <w:rFonts w:hint="eastAsia" w:ascii="仿宋_GB2312" w:hAnsi="微软雅黑" w:eastAsia="仿宋_GB2312" w:cs="仿宋_GB2312"/>
                <w:kern w:val="0"/>
                <w:sz w:val="24"/>
                <w:szCs w:val="24"/>
                <w:vertAlign w:val="baseline"/>
                <w:lang w:val="en-US" w:eastAsia="zh-CN" w:bidi="ar"/>
              </w:rPr>
              <w:t>负责开展项目征地社会稳定风险评估工作，区政法委协助配合</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二、与相关部门的职责边界登记表（无）</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三、事中事后监管制度（无）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sz w:val="32"/>
          <w:szCs w:val="32"/>
        </w:rPr>
      </w:pPr>
      <w:r>
        <w:rPr>
          <w:rFonts w:hint="eastAsia" w:ascii="黑体" w:hAnsi="宋体" w:eastAsia="黑体" w:cs="黑体"/>
          <w:b w:val="0"/>
          <w:i w:val="0"/>
          <w:caps w:val="0"/>
          <w:color w:val="333333"/>
          <w:spacing w:val="0"/>
          <w:kern w:val="0"/>
          <w:sz w:val="32"/>
          <w:szCs w:val="32"/>
          <w:shd w:val="clear" w:fill="FFFFFF"/>
          <w:vertAlign w:val="baseline"/>
          <w:lang w:val="en-US" w:eastAsia="zh-CN" w:bidi="ar"/>
        </w:rPr>
        <w:t>四、公共服务事项</w:t>
      </w:r>
      <w:bookmarkStart w:id="0" w:name="_GoBack"/>
      <w:bookmarkEnd w:id="0"/>
      <w:r>
        <w:rPr>
          <w:rFonts w:hint="eastAsia" w:ascii="黑体" w:hAnsi="宋体" w:eastAsia="黑体" w:cs="黑体"/>
          <w:b w:val="0"/>
          <w:i w:val="0"/>
          <w:caps w:val="0"/>
          <w:color w:val="333333"/>
          <w:spacing w:val="0"/>
          <w:kern w:val="0"/>
          <w:sz w:val="32"/>
          <w:szCs w:val="32"/>
          <w:shd w:val="clear" w:fill="FFFFFF"/>
          <w:vertAlign w:val="baseline"/>
          <w:lang w:val="en-US" w:eastAsia="zh-CN" w:bidi="ar"/>
        </w:rPr>
        <w:t>（无）</w:t>
      </w: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-459105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15pt;height:144pt;width:144pt;mso-position-horizontal:inside;mso-position-horizontal-relative:margin;mso-wrap-style:none;z-index:251659264;mso-width-relative:page;mso-height-relative:page;" filled="f" stroked="f" coordsize="21600,21600" o:gfxdata="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v70SH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-459105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15pt;height:144pt;width:144pt;mso-position-horizontal:inside;mso-position-horizontal-relative:margin;mso-wrap-style:none;z-index:251658240;mso-width-relative:page;mso-height-relative:page;" filled="f" stroked="f" coordsize="21600,21600" o:gfxdata="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vRI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20AC"/>
    <w:rsid w:val="014C1333"/>
    <w:rsid w:val="01EE0B4D"/>
    <w:rsid w:val="01F757BB"/>
    <w:rsid w:val="039B7959"/>
    <w:rsid w:val="04CE4192"/>
    <w:rsid w:val="06F279A2"/>
    <w:rsid w:val="09075218"/>
    <w:rsid w:val="09EE7919"/>
    <w:rsid w:val="0AEE6778"/>
    <w:rsid w:val="0AF62928"/>
    <w:rsid w:val="0B596F09"/>
    <w:rsid w:val="0BD32D6D"/>
    <w:rsid w:val="0FFF43AE"/>
    <w:rsid w:val="109A7C2A"/>
    <w:rsid w:val="11EB4F69"/>
    <w:rsid w:val="11F04983"/>
    <w:rsid w:val="13364D9C"/>
    <w:rsid w:val="13397072"/>
    <w:rsid w:val="150E2598"/>
    <w:rsid w:val="15246664"/>
    <w:rsid w:val="16825F95"/>
    <w:rsid w:val="18E16C57"/>
    <w:rsid w:val="1ABE3F5A"/>
    <w:rsid w:val="1ACD5043"/>
    <w:rsid w:val="1D9D281C"/>
    <w:rsid w:val="1F0C07BA"/>
    <w:rsid w:val="1F8F7730"/>
    <w:rsid w:val="21E519A3"/>
    <w:rsid w:val="22DE63F4"/>
    <w:rsid w:val="231A3F9F"/>
    <w:rsid w:val="236560DF"/>
    <w:rsid w:val="25626961"/>
    <w:rsid w:val="25912087"/>
    <w:rsid w:val="25D94E6D"/>
    <w:rsid w:val="2755525A"/>
    <w:rsid w:val="277A32C2"/>
    <w:rsid w:val="27C0628C"/>
    <w:rsid w:val="299E34E4"/>
    <w:rsid w:val="2B3A48C9"/>
    <w:rsid w:val="2CFB6E52"/>
    <w:rsid w:val="2CFD2271"/>
    <w:rsid w:val="2D720575"/>
    <w:rsid w:val="2DEA660D"/>
    <w:rsid w:val="2EE9294E"/>
    <w:rsid w:val="2F716A68"/>
    <w:rsid w:val="31171E27"/>
    <w:rsid w:val="31E72120"/>
    <w:rsid w:val="35B766CA"/>
    <w:rsid w:val="371A40A5"/>
    <w:rsid w:val="3AE12A7E"/>
    <w:rsid w:val="3BC53EE7"/>
    <w:rsid w:val="3C4A5D5B"/>
    <w:rsid w:val="3CB82879"/>
    <w:rsid w:val="3E835DDB"/>
    <w:rsid w:val="3F9E0120"/>
    <w:rsid w:val="42956510"/>
    <w:rsid w:val="43320FCC"/>
    <w:rsid w:val="433843E2"/>
    <w:rsid w:val="43954D70"/>
    <w:rsid w:val="439D3048"/>
    <w:rsid w:val="43D36E14"/>
    <w:rsid w:val="43E0526F"/>
    <w:rsid w:val="442E1ABD"/>
    <w:rsid w:val="44B94754"/>
    <w:rsid w:val="451A47BD"/>
    <w:rsid w:val="451C578F"/>
    <w:rsid w:val="452223BC"/>
    <w:rsid w:val="46B86EA4"/>
    <w:rsid w:val="478A7086"/>
    <w:rsid w:val="49BB11BE"/>
    <w:rsid w:val="4A610C0A"/>
    <w:rsid w:val="4FB71416"/>
    <w:rsid w:val="4FBE025C"/>
    <w:rsid w:val="50D40287"/>
    <w:rsid w:val="51943272"/>
    <w:rsid w:val="521E2D89"/>
    <w:rsid w:val="54256C93"/>
    <w:rsid w:val="54401F93"/>
    <w:rsid w:val="54C86683"/>
    <w:rsid w:val="55E37EDC"/>
    <w:rsid w:val="562C08AE"/>
    <w:rsid w:val="56757F38"/>
    <w:rsid w:val="57A27C40"/>
    <w:rsid w:val="582A0241"/>
    <w:rsid w:val="58E41BDC"/>
    <w:rsid w:val="5B9C6328"/>
    <w:rsid w:val="5D7E3A8E"/>
    <w:rsid w:val="601029B2"/>
    <w:rsid w:val="63B16BE7"/>
    <w:rsid w:val="64433AAE"/>
    <w:rsid w:val="64487A3F"/>
    <w:rsid w:val="64572F59"/>
    <w:rsid w:val="6768137A"/>
    <w:rsid w:val="683577DC"/>
    <w:rsid w:val="68965060"/>
    <w:rsid w:val="68A74B6F"/>
    <w:rsid w:val="6918259D"/>
    <w:rsid w:val="6B5A4B27"/>
    <w:rsid w:val="6B9F1D6B"/>
    <w:rsid w:val="6BD53654"/>
    <w:rsid w:val="6D104AF9"/>
    <w:rsid w:val="70A741F8"/>
    <w:rsid w:val="72FE307A"/>
    <w:rsid w:val="73730304"/>
    <w:rsid w:val="73C901EE"/>
    <w:rsid w:val="741B7188"/>
    <w:rsid w:val="74770F25"/>
    <w:rsid w:val="767B769C"/>
    <w:rsid w:val="774B109C"/>
    <w:rsid w:val="7A9307C4"/>
    <w:rsid w:val="7ABC0857"/>
    <w:rsid w:val="7B433185"/>
    <w:rsid w:val="7CBE7E22"/>
    <w:rsid w:val="7DF74001"/>
    <w:rsid w:val="7E317908"/>
    <w:rsid w:val="7FF645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10">
    <w:name w:val="_Style 6"/>
    <w:basedOn w:val="1"/>
    <w:next w:val="1"/>
    <w:qFormat/>
    <w:uiPriority w:val="0"/>
    <w:pPr>
      <w:pBdr>
        <w:bottom w:val="single" w:color="auto" w:sz="6" w:space="1"/>
      </w:pBdr>
      <w:jc w:val="center"/>
    </w:pPr>
    <w:rPr>
      <w:rFonts w:ascii="Arial" w:eastAsia="宋体"/>
      <w:vanish/>
      <w:sz w:val="16"/>
    </w:rPr>
  </w:style>
  <w:style w:type="paragraph" w:customStyle="1" w:styleId="11">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2021-09-02T08:07:26Z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