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宋体" w:hAnsi="宋体" w:eastAsia="宋体" w:cs="宋体"/>
          <w:b w:val="0"/>
          <w:i w:val="0"/>
          <w:caps w:val="0"/>
          <w:color w:val="000000"/>
          <w:spacing w:val="0"/>
          <w:kern w:val="0"/>
          <w:sz w:val="44"/>
          <w:szCs w:val="44"/>
          <w:shd w:val="clear" w:fill="FFFFFF"/>
          <w:vertAlign w:val="baseline"/>
          <w:lang w:val="en-US" w:eastAsia="zh-CN" w:bidi="ar"/>
        </w:rPr>
      </w:pPr>
      <w:r>
        <w:rPr>
          <w:rFonts w:hint="eastAsia" w:ascii="方正小标宋简体" w:hAnsi="方正小标宋简体" w:eastAsia="方正小标宋简体" w:cs="方正小标宋简体"/>
          <w:b w:val="0"/>
          <w:bCs/>
          <w:sz w:val="44"/>
          <w:szCs w:val="44"/>
          <w:lang w:val="en-US" w:eastAsia="zh-CN"/>
        </w:rPr>
        <w:t>三亚市吉阳区审计局责任清单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方正小标宋简体" w:hAnsi="方正小标宋简体" w:eastAsia="方正小标宋简体" w:cs="方正小标宋简体"/>
          <w:b w:val="0"/>
          <w:bCs w:val="0"/>
          <w:i w:val="0"/>
          <w:caps w:val="0"/>
          <w:color w:val="000000"/>
          <w:spacing w:val="0"/>
          <w:kern w:val="0"/>
          <w:sz w:val="30"/>
          <w:szCs w:val="30"/>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baseline"/>
        <w:rPr>
          <w:rFonts w:ascii="黑体" w:hAnsi="宋体" w:eastAsia="黑体" w:cs="黑体"/>
          <w:b w:val="0"/>
          <w:i w:val="0"/>
          <w:caps w:val="0"/>
          <w:color w:val="000000"/>
          <w:spacing w:val="0"/>
          <w:kern w:val="0"/>
          <w:sz w:val="32"/>
          <w:szCs w:val="32"/>
          <w:shd w:val="clear" w:fill="FFFFFF"/>
          <w:vertAlign w:val="baseline"/>
          <w:lang w:val="en-US" w:eastAsia="zh-CN" w:bidi="ar"/>
        </w:rPr>
      </w:pPr>
      <w:r>
        <w:rPr>
          <w:rFonts w:ascii="黑体" w:hAnsi="宋体" w:eastAsia="黑体" w:cs="黑体"/>
          <w:b w:val="0"/>
          <w:i w:val="0"/>
          <w:caps w:val="0"/>
          <w:color w:val="000000"/>
          <w:spacing w:val="0"/>
          <w:kern w:val="0"/>
          <w:sz w:val="32"/>
          <w:szCs w:val="32"/>
          <w:shd w:val="clear" w:fill="FFFFFF"/>
          <w:vertAlign w:val="baseline"/>
          <w:lang w:val="en-US" w:eastAsia="zh-CN" w:bidi="ar"/>
        </w:rPr>
        <w:t>目</w:t>
      </w:r>
      <w:r>
        <w:rPr>
          <w:rFonts w:hint="eastAsia" w:ascii="黑体" w:hAnsi="宋体" w:eastAsia="黑体" w:cs="黑体"/>
          <w:b w:val="0"/>
          <w:i w:val="0"/>
          <w:caps w:val="0"/>
          <w:color w:val="000000"/>
          <w:spacing w:val="0"/>
          <w:kern w:val="0"/>
          <w:sz w:val="32"/>
          <w:szCs w:val="32"/>
          <w:shd w:val="clear" w:fill="FFFFFF"/>
          <w:vertAlign w:val="baseline"/>
          <w:lang w:val="en-US" w:eastAsia="zh-CN" w:bidi="ar"/>
        </w:rPr>
        <w:t xml:space="preserve"> </w:t>
      </w:r>
      <w:r>
        <w:rPr>
          <w:rFonts w:ascii="黑体" w:hAnsi="宋体" w:eastAsia="黑体" w:cs="黑体"/>
          <w:b w:val="0"/>
          <w:i w:val="0"/>
          <w:caps w:val="0"/>
          <w:color w:val="000000"/>
          <w:spacing w:val="0"/>
          <w:kern w:val="0"/>
          <w:sz w:val="32"/>
          <w:szCs w:val="32"/>
          <w:shd w:val="clear" w:fill="FFFFFF"/>
          <w:vertAlign w:val="baseline"/>
          <w:lang w:val="en-US" w:eastAsia="zh-CN" w:bidi="ar"/>
        </w:rPr>
        <w:t xml:space="preserve"> </w:t>
      </w:r>
      <w:r>
        <w:rPr>
          <w:rFonts w:hint="eastAsia" w:ascii="黑体" w:hAnsi="宋体" w:eastAsia="黑体" w:cs="黑体"/>
          <w:b w:val="0"/>
          <w:i w:val="0"/>
          <w:caps w:val="0"/>
          <w:color w:val="000000"/>
          <w:spacing w:val="0"/>
          <w:kern w:val="0"/>
          <w:sz w:val="32"/>
          <w:szCs w:val="32"/>
          <w:shd w:val="clear" w:fill="FFFFFF"/>
          <w:vertAlign w:val="baseline"/>
          <w:lang w:val="en-US" w:eastAsia="zh-CN" w:bidi="ar"/>
        </w:rPr>
        <w:t xml:space="preserve"> </w:t>
      </w:r>
      <w:r>
        <w:rPr>
          <w:rFonts w:ascii="黑体" w:hAnsi="宋体" w:eastAsia="黑体" w:cs="黑体"/>
          <w:b w:val="0"/>
          <w:i w:val="0"/>
          <w:caps w:val="0"/>
          <w:color w:val="000000"/>
          <w:spacing w:val="0"/>
          <w:kern w:val="0"/>
          <w:sz w:val="32"/>
          <w:szCs w:val="32"/>
          <w:shd w:val="clear" w:fill="FFFFFF"/>
          <w:vertAlign w:val="baseline"/>
          <w:lang w:val="en-US" w:eastAsia="zh-CN" w:bidi="ar"/>
        </w:rPr>
        <w:t>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center"/>
        <w:textAlignment w:val="baseline"/>
        <w:rPr>
          <w:rFonts w:hint="eastAsia" w:ascii="黑体" w:hAnsi="宋体" w:eastAsia="黑体" w:cs="黑体"/>
          <w:b w:val="0"/>
          <w:i w:val="0"/>
          <w:caps w:val="0"/>
          <w:color w:val="000000"/>
          <w:spacing w:val="0"/>
          <w:kern w:val="0"/>
          <w:sz w:val="30"/>
          <w:szCs w:val="30"/>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sz w:val="32"/>
          <w:szCs w:val="32"/>
        </w:rPr>
      </w:pP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一、部门职责登记表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微软雅黑" w:hAnsi="微软雅黑" w:eastAsia="微软雅黑" w:cs="微软雅黑"/>
          <w:sz w:val="32"/>
          <w:szCs w:val="32"/>
          <w:lang w:val="en-US"/>
        </w:rPr>
      </w:pP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二、与相关部门的职责边界表（无）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sz w:val="32"/>
          <w:szCs w:val="32"/>
        </w:rPr>
      </w:pP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三、事中事后监管制度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baseline"/>
        <w:rPr>
          <w:rFonts w:hint="eastAsia" w:ascii="微软雅黑" w:hAnsi="微软雅黑" w:eastAsia="微软雅黑" w:cs="微软雅黑"/>
          <w:sz w:val="32"/>
          <w:szCs w:val="32"/>
        </w:rPr>
      </w:pP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（一）对被审计单位经济活动事项的审计监督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baseline"/>
        <w:rPr>
          <w:rFonts w:hint="default" w:ascii="仿宋_GB2312" w:hAnsi="微软雅黑" w:eastAsia="仿宋_GB2312" w:cs="仿宋_GB2312"/>
          <w:b w:val="0"/>
          <w:i w:val="0"/>
          <w:caps w:val="0"/>
          <w:color w:val="000000"/>
          <w:spacing w:val="0"/>
          <w:kern w:val="0"/>
          <w:sz w:val="32"/>
          <w:szCs w:val="32"/>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四、公共服务事项登记表（无）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pStyle w:val="2"/>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pStyle w:val="2"/>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pStyle w:val="2"/>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pStyle w:val="2"/>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pStyle w:val="2"/>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sectPr>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一、部门职责登记表</w:t>
      </w:r>
    </w:p>
    <w:tbl>
      <w:tblPr>
        <w:tblStyle w:val="9"/>
        <w:tblpPr w:vertAnchor="text" w:horzAnchor="page" w:tblpX="1246" w:tblpY="359"/>
        <w:tblW w:w="9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2"/>
        <w:gridCol w:w="3872"/>
        <w:gridCol w:w="4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6" w:hRule="atLeast"/>
          <w:tblHeader/>
        </w:trPr>
        <w:tc>
          <w:tcPr>
            <w:tcW w:w="1112" w:type="dxa"/>
            <w:tcBorders>
              <w:top w:val="single" w:color="auto" w:sz="8" w:space="0"/>
              <w:left w:val="single" w:color="auto" w:sz="8" w:space="0"/>
              <w:bottom w:val="single" w:color="auto" w:sz="8" w:space="0"/>
              <w:right w:val="single" w:color="auto" w:sz="8" w:space="0"/>
            </w:tcBorders>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b/>
                <w:bCs/>
                <w:sz w:val="28"/>
                <w:szCs w:val="28"/>
              </w:rPr>
            </w:pPr>
            <w:r>
              <w:rPr>
                <w:rFonts w:hint="eastAsia" w:ascii="仿宋_GB2312" w:hAnsi="微软雅黑" w:eastAsia="仿宋_GB2312" w:cs="仿宋_GB2312"/>
                <w:b/>
                <w:bCs/>
                <w:kern w:val="0"/>
                <w:sz w:val="28"/>
                <w:szCs w:val="28"/>
                <w:vertAlign w:val="baseline"/>
                <w:lang w:val="en-US" w:eastAsia="zh-CN" w:bidi="ar"/>
              </w:rPr>
              <w:t>序号</w:t>
            </w:r>
          </w:p>
        </w:tc>
        <w:tc>
          <w:tcPr>
            <w:tcW w:w="3872" w:type="dxa"/>
            <w:tcBorders>
              <w:top w:val="single" w:color="auto" w:sz="8" w:space="0"/>
              <w:left w:val="nil"/>
              <w:bottom w:val="single" w:color="auto" w:sz="8" w:space="0"/>
              <w:right w:val="single" w:color="auto" w:sz="8" w:space="0"/>
            </w:tcBorders>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b/>
                <w:bCs/>
                <w:sz w:val="28"/>
                <w:szCs w:val="28"/>
              </w:rPr>
            </w:pPr>
            <w:r>
              <w:rPr>
                <w:rFonts w:hint="eastAsia" w:ascii="仿宋_GB2312" w:hAnsi="微软雅黑" w:eastAsia="仿宋_GB2312" w:cs="仿宋_GB2312"/>
                <w:b/>
                <w:bCs/>
                <w:kern w:val="0"/>
                <w:sz w:val="28"/>
                <w:szCs w:val="28"/>
                <w:vertAlign w:val="baseline"/>
                <w:lang w:val="en-US" w:eastAsia="zh-CN" w:bidi="ar"/>
              </w:rPr>
              <w:t>主要职责</w:t>
            </w:r>
          </w:p>
        </w:tc>
        <w:tc>
          <w:tcPr>
            <w:tcW w:w="4549" w:type="dxa"/>
            <w:tcBorders>
              <w:top w:val="single" w:color="auto" w:sz="8" w:space="0"/>
              <w:left w:val="nil"/>
              <w:bottom w:val="single" w:color="auto" w:sz="8" w:space="0"/>
              <w:right w:val="single" w:color="auto" w:sz="8" w:space="0"/>
            </w:tcBorders>
            <w:shd w:val="clear" w:color="auto" w:fill="auto"/>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b/>
                <w:bCs/>
                <w:sz w:val="28"/>
                <w:szCs w:val="28"/>
              </w:rPr>
            </w:pPr>
            <w:r>
              <w:rPr>
                <w:rFonts w:hint="eastAsia" w:ascii="仿宋_GB2312" w:hAnsi="微软雅黑" w:eastAsia="仿宋_GB2312" w:cs="仿宋_GB2312"/>
                <w:b/>
                <w:bCs/>
                <w:kern w:val="0"/>
                <w:sz w:val="28"/>
                <w:szCs w:val="28"/>
                <w:vertAlign w:val="baseline"/>
                <w:lang w:val="en-US" w:eastAsia="zh-CN" w:bidi="ar"/>
              </w:rPr>
              <w:t>具体工作事项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0" w:hRule="atLeast"/>
          <w:tblHeader/>
        </w:trPr>
        <w:tc>
          <w:tcPr>
            <w:tcW w:w="1112" w:type="dxa"/>
            <w:vMerge w:val="restart"/>
            <w:tcBorders>
              <w:top w:val="nil"/>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1</w:t>
            </w:r>
          </w:p>
        </w:tc>
        <w:tc>
          <w:tcPr>
            <w:tcW w:w="3872" w:type="dxa"/>
            <w:vMerge w:val="restart"/>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贯彻落实党和国家、省市有关审计工作的方针政策、法律法规。执行市委市政府、区委区政府的决策部署和中国(海南)自由贸易试验区、中国特色自由贸易港的政策措施</w:t>
            </w:r>
          </w:p>
        </w:tc>
        <w:tc>
          <w:tcPr>
            <w:tcW w:w="4549"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贯彻执行党和国家及省、市有关审计监督的方针政策、法律法规规章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6" w:hRule="atLeast"/>
          <w:tblHeader/>
        </w:trPr>
        <w:tc>
          <w:tcPr>
            <w:tcW w:w="1112" w:type="dxa"/>
            <w:vMerge w:val="continue"/>
            <w:tcBorders>
              <w:top w:val="nil"/>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负责监督本区各部门、各单位法律、法规等执行情况，配合执行综合性政策问题调研工作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5" w:hRule="atLeast"/>
          <w:tblHeader/>
        </w:trPr>
        <w:tc>
          <w:tcPr>
            <w:tcW w:w="1112" w:type="dxa"/>
            <w:vMerge w:val="continue"/>
            <w:tcBorders>
              <w:top w:val="nil"/>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执行市委市政府、区委区政府决策部署和中国（海南）自由贸易试验区、中国特色自由贸易港政策措施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8" w:hRule="atLeast"/>
          <w:tblHeader/>
        </w:trPr>
        <w:tc>
          <w:tcPr>
            <w:tcW w:w="1112" w:type="dxa"/>
            <w:vMerge w:val="restart"/>
            <w:tcBorders>
              <w:top w:val="nil"/>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2</w:t>
            </w:r>
          </w:p>
        </w:tc>
        <w:tc>
          <w:tcPr>
            <w:tcW w:w="3872" w:type="dxa"/>
            <w:vMerge w:val="restart"/>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研究拟定并组织实施本区审计工作的规划和措施。研究推进审计改革,研究提出中国 (海南)自由贸易试验区、中国特色自由贸易港审计工作方面的意见和建议</w:t>
            </w:r>
          </w:p>
        </w:tc>
        <w:tc>
          <w:tcPr>
            <w:tcW w:w="4549"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组织研究审计工作规划，提出本区年度审计项目计划并呈报区委、区政府，当年组织开展本区审计工作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80" w:hRule="atLeast"/>
          <w:tblHeader/>
        </w:trPr>
        <w:tc>
          <w:tcPr>
            <w:tcW w:w="1112" w:type="dxa"/>
            <w:vMerge w:val="continue"/>
            <w:tcBorders>
              <w:top w:val="nil"/>
              <w:left w:val="single" w:color="auto" w:sz="8" w:space="0"/>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nil"/>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nil"/>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研究推进审计改革的制度，研究提出中国（海南）自由贸易试验区、中国特色自由贸易港审计工作方面的意见和建议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8" w:hRule="atLeast"/>
          <w:tblHeader/>
        </w:trPr>
        <w:tc>
          <w:tcPr>
            <w:tcW w:w="1112" w:type="dxa"/>
            <w:vMerge w:val="restart"/>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3</w:t>
            </w:r>
          </w:p>
        </w:tc>
        <w:tc>
          <w:tcPr>
            <w:tcW w:w="3872" w:type="dxa"/>
            <w:vMerge w:val="restart"/>
            <w:tcBorders>
              <w:top w:val="single" w:color="auto" w:sz="4" w:space="0"/>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对区级财政收支、区政府财政收支和法律法规规定属于审计监督范围的财务收支的真实、合法和效益进行审计监督。对公共资金、国有资产、国有资源和领导干部履行经济责任情况实行审计全覆盖，对领导干部实行自然资源资产离任审计，对有关重大政策措施落实情况进行跟踪审计,对直接审计、调查和核查的事项依法进行审计评价,作出审计决定或提出审计建议,对审计、专项审计调查结果承担责任,并负有督促被审计单位整改的责任</w:t>
            </w:r>
          </w:p>
        </w:tc>
        <w:tc>
          <w:tcPr>
            <w:tcW w:w="4549" w:type="dxa"/>
            <w:tcBorders>
              <w:top w:val="single" w:color="auto" w:sz="4" w:space="0"/>
              <w:left w:val="nil"/>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负责对区级财政收支、区政府财政收支和法律法规规定属于审计监督范围的财务收支的真实、合法和效益进行审计监督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0" w:hRule="atLeast"/>
          <w:tblHeader/>
        </w:trPr>
        <w:tc>
          <w:tcPr>
            <w:tcW w:w="1112" w:type="dxa"/>
            <w:vMerge w:val="continue"/>
            <w:tcBorders>
              <w:top w:val="single" w:color="auto" w:sz="4" w:space="0"/>
              <w:left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single" w:color="auto" w:sz="4" w:space="0"/>
              <w:left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single" w:color="auto" w:sz="4" w:space="0"/>
              <w:left w:val="single" w:color="auto" w:sz="4" w:space="0"/>
              <w:bottom w:val="single" w:color="auto" w:sz="8"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对公共资金、国有资产、国有资源和领导干部履行经济责任情况实行审计全覆盖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8" w:hRule="atLeast"/>
          <w:tblHeader/>
        </w:trPr>
        <w:tc>
          <w:tcPr>
            <w:tcW w:w="1112" w:type="dxa"/>
            <w:vMerge w:val="continue"/>
            <w:tcBorders>
              <w:left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left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对领导干部实行自然资源资产离任审计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0" w:hRule="atLeast"/>
          <w:tblHeader/>
        </w:trPr>
        <w:tc>
          <w:tcPr>
            <w:tcW w:w="1112" w:type="dxa"/>
            <w:vMerge w:val="continue"/>
            <w:tcBorders>
              <w:left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left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对国家、省、市和本区有关重大政策措施落实情况进行跟踪审计，开展相关专项审计调查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97" w:hRule="atLeast"/>
          <w:tblHeader/>
        </w:trPr>
        <w:tc>
          <w:tcPr>
            <w:tcW w:w="1112" w:type="dxa"/>
            <w:vMerge w:val="continue"/>
            <w:tcBorders>
              <w:left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left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对直接审计、调查和核查的事项依法进行审计评价,作出审计决定或提出审计建议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37" w:hRule="atLeast"/>
          <w:tblHeader/>
        </w:trPr>
        <w:tc>
          <w:tcPr>
            <w:tcW w:w="1112" w:type="dxa"/>
            <w:vMerge w:val="continue"/>
            <w:tcBorders>
              <w:left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left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负责对审计、专项审计调查和我局聘请的社会审计机构出具相关审计报告承担责任，并负有督促被审计单位整改的责任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72" w:hRule="atLeast"/>
          <w:tblHeader/>
        </w:trPr>
        <w:tc>
          <w:tcPr>
            <w:tcW w:w="1112" w:type="dxa"/>
            <w:vMerge w:val="continue"/>
            <w:tcBorders>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负责建立整改检查跟踪机制，必要时可提请有关部门协助落实整改意见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2" w:hRule="atLeast"/>
          <w:tblHeader/>
        </w:trPr>
        <w:tc>
          <w:tcPr>
            <w:tcW w:w="1112" w:type="dxa"/>
            <w:vMerge w:val="restart"/>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4</w:t>
            </w:r>
          </w:p>
        </w:tc>
        <w:tc>
          <w:tcPr>
            <w:tcW w:w="3872" w:type="dxa"/>
            <w:vMerge w:val="restart"/>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向中共三亚市吉阳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级有关部门通报审计情况和审计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color w:val="000000" w:themeColor="text1"/>
                <w14:textFill>
                  <w14:solidFill>
                    <w14:schemeClr w14:val="tx1"/>
                  </w14:solidFill>
                </w14:textFill>
              </w:rPr>
            </w:pPr>
          </w:p>
        </w:tc>
        <w:tc>
          <w:tcPr>
            <w:tcW w:w="4549" w:type="dxa"/>
            <w:tcBorders>
              <w:top w:val="single" w:color="auto" w:sz="4"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负责向中共三亚市吉阳区委审计委员会提出年度区级预算执行和其他财政支出情况审计报告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6" w:hRule="atLeast"/>
          <w:tblHeader/>
        </w:trPr>
        <w:tc>
          <w:tcPr>
            <w:tcW w:w="1112" w:type="dxa"/>
            <w:vMerge w:val="continue"/>
            <w:tcBorders>
              <w:top w:val="single" w:color="auto" w:sz="4" w:space="0"/>
              <w:left w:val="single" w:color="auto" w:sz="4" w:space="0"/>
              <w:bottom w:val="single" w:color="auto" w:sz="8"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single" w:color="auto" w:sz="4" w:space="0"/>
              <w:left w:val="single" w:color="auto" w:sz="4" w:space="0"/>
              <w:bottom w:val="single" w:color="auto" w:sz="8"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single" w:color="auto" w:sz="4" w:space="0"/>
              <w:left w:val="single" w:color="auto" w:sz="4"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负责向区政府和市审计局提出年度区级预算执行和其他财政收支情况的审计结果报告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83" w:hRule="atLeast"/>
          <w:tblHeader/>
        </w:trPr>
        <w:tc>
          <w:tcPr>
            <w:tcW w:w="1112" w:type="dxa"/>
            <w:vMerge w:val="continue"/>
            <w:tcBorders>
              <w:top w:val="nil"/>
              <w:left w:val="single" w:color="auto" w:sz="4" w:space="0"/>
              <w:bottom w:val="single" w:color="auto" w:sz="8"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single" w:color="auto" w:sz="4" w:space="0"/>
              <w:bottom w:val="single" w:color="auto" w:sz="8"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single" w:color="auto" w:sz="4"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受区政府委托向区人大常委会提出区级预算执行和其他财政收支情况的审计工作报告、审计查出问题整改情况报告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41" w:hRule="atLeast"/>
          <w:tblHeader/>
        </w:trPr>
        <w:tc>
          <w:tcPr>
            <w:tcW w:w="1112" w:type="dxa"/>
            <w:vMerge w:val="continue"/>
            <w:tcBorders>
              <w:top w:val="nil"/>
              <w:left w:val="single" w:color="auto" w:sz="4" w:space="0"/>
              <w:bottom w:val="single" w:color="auto" w:sz="8"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single" w:color="auto" w:sz="4" w:space="0"/>
              <w:bottom w:val="single" w:color="auto" w:sz="8"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single" w:color="auto" w:sz="4"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负责向区委、区政府报告对其他事项的审计和专项审计调查情况及结果，依法向社会公布审计结果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89" w:hRule="atLeast"/>
          <w:tblHeader/>
        </w:trPr>
        <w:tc>
          <w:tcPr>
            <w:tcW w:w="1112" w:type="dxa"/>
            <w:vMerge w:val="continue"/>
            <w:tcBorders>
              <w:top w:val="nil"/>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负责向区政府、区级国家机关有关部门通报审计情况和审计结果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9" w:hRule="atLeast"/>
          <w:tblHeader/>
        </w:trPr>
        <w:tc>
          <w:tcPr>
            <w:tcW w:w="1112" w:type="dxa"/>
            <w:vMerge w:val="restart"/>
            <w:tcBorders>
              <w:top w:val="single" w:color="auto" w:sz="4" w:space="0"/>
              <w:left w:val="single" w:color="auto" w:sz="4"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5</w:t>
            </w:r>
          </w:p>
        </w:tc>
        <w:tc>
          <w:tcPr>
            <w:tcW w:w="3872" w:type="dxa"/>
            <w:vMerge w:val="restart"/>
            <w:tcBorders>
              <w:top w:val="single" w:color="auto" w:sz="4" w:space="0"/>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依法直接审计下列事项，出具审计报告，在法定职权范围内作出审计决定：有关重大政策措施贯彻落实情况；区本级预算执行情况、决算草案和其他财政收支，区级各部门、直属事业单位以及下属事业单位财政预算的执行情况、决算草案和其他财政收支；使用区财政资金的事业单位和社会团体的财务收支；区本级投资和以区本级投资为主的建设项目的预算执行情况和决算，自然资源管理、污染防治和生态保护与修复情况；区属国有企业和金融机构、区属国有资本占控股或主导地位的企业资产、负债和损益；区政府管理和其他受区政府及其部门委托管理的社会保障基金、社会捐赠资金及其他有关基金、资金的财务收支；法律、行政法规规定应当由区审计机关进行审计的其他事项</w:t>
            </w:r>
          </w:p>
        </w:tc>
        <w:tc>
          <w:tcPr>
            <w:tcW w:w="4549" w:type="dxa"/>
            <w:tcBorders>
              <w:top w:val="single" w:color="auto" w:sz="4" w:space="0"/>
              <w:left w:val="nil"/>
              <w:bottom w:val="single" w:color="auto" w:sz="8"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负责对国家、省、市和本区有关重大政策措施贯彻落实情况的审计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5" w:hRule="atLeast"/>
          <w:tblHeader/>
        </w:trPr>
        <w:tc>
          <w:tcPr>
            <w:tcW w:w="1112" w:type="dxa"/>
            <w:vMerge w:val="continue"/>
            <w:tcBorders>
              <w:top w:val="nil"/>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nil"/>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nil"/>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负责对区本级预算执行情况、决算草案和其他财政收支，区级各部门、直属事业单位以及下属事业单位财政预算的执行情况、决算草案和其他财政收支的审计业务工作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blHeader/>
        </w:trPr>
        <w:tc>
          <w:tcPr>
            <w:tcW w:w="1112" w:type="dxa"/>
            <w:vMerge w:val="continue"/>
            <w:tcBorders>
              <w:top w:val="single" w:color="auto" w:sz="4" w:space="0"/>
              <w:left w:val="single" w:color="auto" w:sz="4"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single" w:color="auto" w:sz="4" w:space="0"/>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single" w:color="auto" w:sz="4" w:space="0"/>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负责审计使用区财政资金的事业单位和社会团体的财务收支情况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8" w:hRule="atLeast"/>
          <w:tblHeader/>
        </w:trPr>
        <w:tc>
          <w:tcPr>
            <w:tcW w:w="1112" w:type="dxa"/>
            <w:vMerge w:val="continue"/>
            <w:tcBorders>
              <w:top w:val="nil"/>
              <w:left w:val="single" w:color="auto" w:sz="4"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负责审计区本级投资和以区本级投资为主的建设项目的预算执行情况和决算，区重大公共工程项目的资金管理使用和建设运营情况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6" w:hRule="atLeast"/>
          <w:tblHeader/>
        </w:trPr>
        <w:tc>
          <w:tcPr>
            <w:tcW w:w="1112" w:type="dxa"/>
            <w:vMerge w:val="continue"/>
            <w:tcBorders>
              <w:top w:val="nil"/>
              <w:left w:val="single" w:color="auto" w:sz="4"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c>
          <w:tcPr>
            <w:tcW w:w="4549"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负责审计自然资源管理、污染防治和生态保护与修复情况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5" w:hRule="atLeast"/>
          <w:tblHeader/>
        </w:trPr>
        <w:tc>
          <w:tcPr>
            <w:tcW w:w="1112" w:type="dxa"/>
            <w:vMerge w:val="continue"/>
            <w:tcBorders>
              <w:top w:val="nil"/>
              <w:left w:val="single" w:color="auto" w:sz="4"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pPr>
          </w:p>
        </w:tc>
        <w:tc>
          <w:tcPr>
            <w:tcW w:w="3872" w:type="dxa"/>
            <w:vMerge w:val="continue"/>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color w:val="000000" w:themeColor="text1"/>
                <w14:textFill>
                  <w14:solidFill>
                    <w14:schemeClr w14:val="tx1"/>
                  </w14:solidFill>
                </w14:textFill>
              </w:rPr>
            </w:pPr>
          </w:p>
        </w:tc>
        <w:tc>
          <w:tcPr>
            <w:tcW w:w="4549"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负责审计区属国有企业和金融机构、区属国有资本占控股或主导地位的企业资产、负债和损益情况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8" w:hRule="atLeast"/>
          <w:tblHeader/>
        </w:trPr>
        <w:tc>
          <w:tcPr>
            <w:tcW w:w="1112" w:type="dxa"/>
            <w:vMerge w:val="continue"/>
            <w:tcBorders>
              <w:left w:val="single" w:color="auto" w:sz="4"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宋体" w:hAnsi="宋体"/>
                <w:color w:val="000000"/>
                <w:sz w:val="24"/>
                <w:szCs w:val="24"/>
              </w:rPr>
            </w:pPr>
          </w:p>
        </w:tc>
        <w:tc>
          <w:tcPr>
            <w:tcW w:w="3872" w:type="dxa"/>
            <w:vMerge w:val="continue"/>
            <w:tcBorders>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宋体" w:hAnsi="宋体"/>
                <w:color w:val="000000" w:themeColor="text1"/>
                <w:sz w:val="24"/>
                <w:szCs w:val="24"/>
                <w14:textFill>
                  <w14:solidFill>
                    <w14:schemeClr w14:val="tx1"/>
                  </w14:solidFill>
                </w14:textFill>
              </w:rPr>
            </w:pPr>
          </w:p>
        </w:tc>
        <w:tc>
          <w:tcPr>
            <w:tcW w:w="4549"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负责审计区政府管理和其他受区政府及其部门委托管理的保障基金、社会捐赠资金和其他有关基金、资金的财务收支情况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8" w:hRule="atLeast"/>
          <w:tblHeader/>
        </w:trPr>
        <w:tc>
          <w:tcPr>
            <w:tcW w:w="1112" w:type="dxa"/>
            <w:vMerge w:val="continue"/>
            <w:tcBorders>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pPr>
          </w:p>
        </w:tc>
        <w:tc>
          <w:tcPr>
            <w:tcW w:w="3872" w:type="dxa"/>
            <w:vMerge w:val="continue"/>
            <w:tcBorders>
              <w:left w:val="nil"/>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color w:val="000000" w:themeColor="text1"/>
                <w14:textFill>
                  <w14:solidFill>
                    <w14:schemeClr w14:val="tx1"/>
                  </w14:solidFill>
                </w14:textFill>
              </w:rPr>
            </w:pPr>
          </w:p>
        </w:tc>
        <w:tc>
          <w:tcPr>
            <w:tcW w:w="4549" w:type="dxa"/>
            <w:tcBorders>
              <w:top w:val="nil"/>
              <w:left w:val="nil"/>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法律、行政法规规定应当由区审计机关进行审计的其他事项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8" w:hRule="atLeast"/>
          <w:tblHeader/>
        </w:trPr>
        <w:tc>
          <w:tcPr>
            <w:tcW w:w="1112" w:type="dxa"/>
            <w:vMerge w:val="restart"/>
            <w:tcBorders>
              <w:top w:val="single" w:color="auto" w:sz="4" w:space="0"/>
              <w:left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6</w:t>
            </w:r>
          </w:p>
        </w:tc>
        <w:tc>
          <w:tcPr>
            <w:tcW w:w="3872" w:type="dxa"/>
            <w:vMerge w:val="restart"/>
            <w:tcBorders>
              <w:top w:val="single" w:color="auto" w:sz="4" w:space="0"/>
              <w:left w:val="nil"/>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按规定对区科级党政主要负责人、区属国有企业领导干部及依法属于区审计局审计监督对象的其他单位主要负责人实施经济责任审计及自然资源资产离任审计</w:t>
            </w:r>
          </w:p>
        </w:tc>
        <w:tc>
          <w:tcPr>
            <w:tcW w:w="4549" w:type="dxa"/>
            <w:tcBorders>
              <w:top w:val="single" w:color="auto" w:sz="4" w:space="0"/>
              <w:left w:val="nil"/>
              <w:bottom w:val="single" w:color="auto" w:sz="8"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负责对本区党政机关主要领导，群众团体和事业单位的党政正职领导干部，区属国有及国有控股企业领导人员（企业法定代表人）实施任期经济责任审计及自然资源资产离任审计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0" w:hRule="atLeast"/>
          <w:tblHeader/>
        </w:trPr>
        <w:tc>
          <w:tcPr>
            <w:tcW w:w="1112" w:type="dxa"/>
            <w:vMerge w:val="continue"/>
            <w:tcBorders>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pPr>
          </w:p>
        </w:tc>
        <w:tc>
          <w:tcPr>
            <w:tcW w:w="3872" w:type="dxa"/>
            <w:vMerge w:val="continue"/>
            <w:tcBorders>
              <w:left w:val="nil"/>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p>
        </w:tc>
        <w:tc>
          <w:tcPr>
            <w:tcW w:w="4549" w:type="dxa"/>
            <w:tcBorders>
              <w:top w:val="nil"/>
              <w:left w:val="nil"/>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负责起草经济责任审计规章草案，组织开展经济责任审计工作，承担区经济责任审计工作联席会议有关工作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5" w:hRule="atLeast"/>
          <w:tblHeader/>
        </w:trPr>
        <w:tc>
          <w:tcPr>
            <w:tcW w:w="1112" w:type="dxa"/>
            <w:tcBorders>
              <w:top w:val="single" w:color="auto" w:sz="4" w:space="0"/>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7</w:t>
            </w:r>
          </w:p>
        </w:tc>
        <w:tc>
          <w:tcPr>
            <w:tcW w:w="3872" w:type="dxa"/>
            <w:tcBorders>
              <w:top w:val="single" w:color="auto" w:sz="4" w:space="0"/>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组织实施对财经法律法规、规章、政策和宏观调控措施执行情况、财政预算管理及国有资产管理使用等与财政收支有关的特定事项进行专项审计调查</w:t>
            </w:r>
          </w:p>
        </w:tc>
        <w:tc>
          <w:tcPr>
            <w:tcW w:w="4549" w:type="dxa"/>
            <w:tcBorders>
              <w:top w:val="single" w:color="auto" w:sz="4" w:space="0"/>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对本区国家财经法律、法规、规章、政策和宏观调控措施执行情况、财政预算管理或国有资产管理使用等与国家财政收支有关的特定事项进行专项审计调查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2" w:hRule="atLeast"/>
          <w:tblHeader/>
        </w:trPr>
        <w:tc>
          <w:tcPr>
            <w:tcW w:w="1112" w:type="dxa"/>
            <w:vMerge w:val="restart"/>
            <w:tcBorders>
              <w:top w:val="nil"/>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8</w:t>
            </w:r>
          </w:p>
        </w:tc>
        <w:tc>
          <w:tcPr>
            <w:tcW w:w="3872" w:type="dxa"/>
            <w:vMerge w:val="restart"/>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依法检查审计决定执行情况，督促整改审计查出的问题，依法办理被审计单位对审计决定提请行政诉讼或区政府裁决的有关事项；协助配合有关部门查处相关重大案件</w:t>
            </w:r>
          </w:p>
        </w:tc>
        <w:tc>
          <w:tcPr>
            <w:tcW w:w="4549"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负责依法检查审计决定执行情况，督促整改审计查出的问题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25" w:hRule="atLeast"/>
          <w:tblHeader/>
        </w:trPr>
        <w:tc>
          <w:tcPr>
            <w:tcW w:w="1112" w:type="dxa"/>
            <w:vMerge w:val="continue"/>
            <w:tcBorders>
              <w:top w:val="nil"/>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p>
        </w:tc>
        <w:tc>
          <w:tcPr>
            <w:tcW w:w="4549"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依法办理被审计单位对审计决定提请行政复议、行政诉讼或区政府裁决的有关事项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2" w:hRule="atLeast"/>
          <w:tblHeader/>
        </w:trPr>
        <w:tc>
          <w:tcPr>
            <w:tcW w:w="1112" w:type="dxa"/>
            <w:vMerge w:val="continue"/>
            <w:tcBorders>
              <w:top w:val="nil"/>
              <w:left w:val="single" w:color="auto" w:sz="8" w:space="0"/>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nil"/>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p>
        </w:tc>
        <w:tc>
          <w:tcPr>
            <w:tcW w:w="4549" w:type="dxa"/>
            <w:tcBorders>
              <w:top w:val="nil"/>
              <w:left w:val="nil"/>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协助配合有关部门查处相关重大案件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14" w:hRule="atLeast"/>
          <w:tblHeader/>
        </w:trPr>
        <w:tc>
          <w:tcPr>
            <w:tcW w:w="1112" w:type="dxa"/>
            <w:vMerge w:val="restart"/>
            <w:tcBorders>
              <w:top w:val="single" w:color="auto" w:sz="4" w:space="0"/>
              <w:left w:val="single" w:color="auto" w:sz="4"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9</w:t>
            </w:r>
          </w:p>
        </w:tc>
        <w:tc>
          <w:tcPr>
            <w:tcW w:w="3872" w:type="dxa"/>
            <w:vMerge w:val="restart"/>
            <w:tcBorders>
              <w:top w:val="single" w:color="auto" w:sz="4" w:space="0"/>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指导和监督内部审计工作，核查社会审计机构对依法属于国家审计监督对象的单位出具的相关审计、审核等报告，并对审核结果承担责任</w:t>
            </w:r>
          </w:p>
        </w:tc>
        <w:tc>
          <w:tcPr>
            <w:tcW w:w="4549" w:type="dxa"/>
            <w:tcBorders>
              <w:top w:val="single" w:color="auto" w:sz="4" w:space="0"/>
              <w:left w:val="nil"/>
              <w:bottom w:val="single" w:color="auto" w:sz="8"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组织对内部审计机构审计业务的监督检查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8" w:hRule="atLeast"/>
          <w:tblHeader/>
        </w:trPr>
        <w:tc>
          <w:tcPr>
            <w:tcW w:w="1112" w:type="dxa"/>
            <w:vMerge w:val="continue"/>
            <w:tcBorders>
              <w:top w:val="nil"/>
              <w:left w:val="single" w:color="auto" w:sz="4" w:space="0"/>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kinsoku/>
              <w:wordWrap/>
              <w:overflowPunct/>
              <w:topLinePunct w:val="0"/>
              <w:autoSpaceDE/>
              <w:autoSpaceDN/>
              <w:bidi w:val="0"/>
              <w:adjustRightInd/>
              <w:snapToGrid/>
              <w:spacing w:line="520" w:lineRule="exact"/>
              <w:rPr>
                <w:rFonts w:hint="eastAsia" w:ascii="微软雅黑" w:hAnsi="微软雅黑" w:eastAsia="微软雅黑" w:cs="微软雅黑"/>
                <w:sz w:val="24"/>
                <w:szCs w:val="24"/>
                <w:vertAlign w:val="baseline"/>
              </w:rPr>
            </w:pPr>
          </w:p>
        </w:tc>
        <w:tc>
          <w:tcPr>
            <w:tcW w:w="3872" w:type="dxa"/>
            <w:vMerge w:val="continue"/>
            <w:tcBorders>
              <w:top w:val="nil"/>
              <w:left w:val="nil"/>
              <w:bottom w:val="single" w:color="auto" w:sz="4"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p>
        </w:tc>
        <w:tc>
          <w:tcPr>
            <w:tcW w:w="4549" w:type="dxa"/>
            <w:tcBorders>
              <w:top w:val="nil"/>
              <w:left w:val="nil"/>
              <w:bottom w:val="single" w:color="auto" w:sz="4" w:space="0"/>
              <w:right w:val="single" w:color="auto" w:sz="4"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负责核查社会审计机构对依法属于审计监督对象的单位出具的相关审计报告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8" w:hRule="atLeast"/>
          <w:tblHeader/>
        </w:trPr>
        <w:tc>
          <w:tcPr>
            <w:tcW w:w="1112" w:type="dxa"/>
            <w:tcBorders>
              <w:top w:val="single" w:color="auto" w:sz="4" w:space="0"/>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10</w:t>
            </w:r>
          </w:p>
        </w:tc>
        <w:tc>
          <w:tcPr>
            <w:tcW w:w="3872" w:type="dxa"/>
            <w:tcBorders>
              <w:top w:val="single" w:color="auto" w:sz="4" w:space="0"/>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组织开展审计领域的对外交流合作，指导和推广信息技术在审计领域的作用</w:t>
            </w:r>
          </w:p>
        </w:tc>
        <w:tc>
          <w:tcPr>
            <w:tcW w:w="4549" w:type="dxa"/>
            <w:tcBorders>
              <w:top w:val="single" w:color="auto" w:sz="4" w:space="0"/>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组织开展对区级各部门、各单位、各村（居）审计法及相关法律法规的宣讲活动，指导和推广信息技术在审计领域的作用，提高大数据审计水平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04" w:hRule="atLeast"/>
          <w:tblHeader/>
        </w:trPr>
        <w:tc>
          <w:tcPr>
            <w:tcW w:w="1112" w:type="dxa"/>
            <w:tcBorders>
              <w:top w:val="nil"/>
              <w:left w:val="single" w:color="auto" w:sz="8" w:space="0"/>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微软雅黑" w:hAnsi="微软雅黑" w:eastAsia="微软雅黑" w:cs="微软雅黑"/>
              </w:rPr>
            </w:pPr>
            <w:r>
              <w:rPr>
                <w:rFonts w:hint="eastAsia" w:ascii="仿宋_GB2312" w:hAnsi="微软雅黑" w:eastAsia="仿宋_GB2312" w:cs="仿宋_GB2312"/>
                <w:kern w:val="0"/>
                <w:sz w:val="24"/>
                <w:szCs w:val="24"/>
                <w:vertAlign w:val="baseline"/>
                <w:lang w:val="en-US" w:eastAsia="zh-CN" w:bidi="ar"/>
              </w:rPr>
              <w:t>11</w:t>
            </w:r>
          </w:p>
        </w:tc>
        <w:tc>
          <w:tcPr>
            <w:tcW w:w="3872"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完成区委、区政府和上级部门交办的其他工作任务</w:t>
            </w:r>
          </w:p>
        </w:tc>
        <w:tc>
          <w:tcPr>
            <w:tcW w:w="4549" w:type="dxa"/>
            <w:tcBorders>
              <w:top w:val="nil"/>
              <w:left w:val="nil"/>
              <w:bottom w:val="single" w:color="auto" w:sz="8" w:space="0"/>
              <w:right w:val="single" w:color="auto" w:sz="8" w:space="0"/>
            </w:tcBorders>
            <w:shd w:val="clear" w:color="auto" w:fill="FFFFFF"/>
            <w:tcMar>
              <w:top w:w="57" w:type="dxa"/>
              <w:left w:w="85" w:type="dxa"/>
              <w:bottom w:w="57" w:type="dxa"/>
              <w:right w:w="8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微软雅黑" w:hAnsi="微软雅黑" w:eastAsia="微软雅黑" w:cs="微软雅黑"/>
                <w:color w:val="000000" w:themeColor="text1"/>
                <w:lang w:val="en-US"/>
                <w14:textFill>
                  <w14:solidFill>
                    <w14:schemeClr w14:val="tx1"/>
                  </w14:solidFill>
                </w14:textFill>
              </w:rPr>
            </w:pPr>
            <w:r>
              <w:rPr>
                <w:rFonts w:hint="eastAsia" w:ascii="仿宋_GB2312" w:hAnsi="微软雅黑" w:eastAsia="仿宋_GB2312" w:cs="仿宋_GB2312"/>
                <w:color w:val="000000" w:themeColor="text1"/>
                <w:kern w:val="0"/>
                <w:sz w:val="24"/>
                <w:szCs w:val="24"/>
                <w:vertAlign w:val="baseline"/>
                <w:lang w:val="en-US" w:eastAsia="zh-CN" w:bidi="ar"/>
                <w14:textFill>
                  <w14:solidFill>
                    <w14:schemeClr w14:val="tx1"/>
                  </w14:solidFill>
                </w14:textFill>
              </w:rPr>
              <w:t>负责承办区委、区政府与上级部门交办的创文、巩卫、环境卫生整治、扶贫、乡村振兴等其他工作任务，以及与审计监督的有关配合区纪委的公共工程跟踪审计项目，完成区长部署的工程招投标建设相关审计工作，配合上级审计机关开展审计项目工作</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baseline"/>
        <w:rPr>
          <w:rFonts w:hint="eastAsia" w:ascii="黑体" w:hAnsi="宋体" w:eastAsia="黑体" w:cs="黑体"/>
          <w:b w:val="0"/>
          <w:i w:val="0"/>
          <w:caps w:val="0"/>
          <w:color w:val="000000"/>
          <w:spacing w:val="0"/>
          <w:kern w:val="0"/>
          <w:sz w:val="32"/>
          <w:szCs w:val="32"/>
          <w:shd w:val="clear" w:fill="FFFFFF"/>
          <w:vertAlign w:val="baseline"/>
          <w:lang w:val="en-US" w:eastAsia="zh-CN" w:bidi="ar"/>
        </w:rPr>
      </w:pPr>
      <w:r>
        <w:rPr>
          <w:rFonts w:hint="eastAsia" w:ascii="黑体" w:hAnsi="宋体" w:eastAsia="黑体" w:cs="黑体"/>
          <w:b w:val="0"/>
          <w:i w:val="0"/>
          <w:caps w:val="0"/>
          <w:color w:val="000000"/>
          <w:spacing w:val="0"/>
          <w:kern w:val="0"/>
          <w:sz w:val="32"/>
          <w:szCs w:val="32"/>
          <w:shd w:val="clear" w:fill="FFFFFF"/>
          <w:vertAlign w:val="baseline"/>
          <w:lang w:val="en-US" w:eastAsia="zh-CN" w:bidi="ar"/>
        </w:rPr>
        <w:t>二、与相关部门的职责边界表（无）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rPr>
          <w:rFonts w:hint="eastAsia" w:ascii="黑体" w:hAnsi="宋体" w:eastAsia="黑体" w:cs="黑体"/>
          <w:b w:val="0"/>
          <w:i w:val="0"/>
          <w:caps w:val="0"/>
          <w:color w:val="333333"/>
          <w:spacing w:val="0"/>
          <w:kern w:val="0"/>
          <w:sz w:val="30"/>
          <w:szCs w:val="30"/>
          <w:shd w:val="clear" w:fill="FFFFFF"/>
          <w:vertAlign w:val="baseline"/>
          <w:lang w:val="en-US" w:eastAsia="zh-CN" w:bidi="ar"/>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rPr>
          <w:rFonts w:hint="eastAsia" w:ascii="黑体" w:hAnsi="宋体" w:eastAsia="黑体" w:cs="黑体"/>
          <w:b w:val="0"/>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baseline"/>
        <w:rPr>
          <w:rFonts w:hint="eastAsia" w:ascii="微软雅黑" w:hAnsi="微软雅黑" w:eastAsia="微软雅黑" w:cs="微软雅黑"/>
          <w:color w:val="auto"/>
          <w:sz w:val="24"/>
          <w:szCs w:val="24"/>
        </w:rPr>
      </w:pPr>
      <w:r>
        <w:rPr>
          <w:rFonts w:hint="eastAsia" w:ascii="黑体" w:hAnsi="宋体" w:eastAsia="黑体" w:cs="黑体"/>
          <w:b w:val="0"/>
          <w:i w:val="0"/>
          <w:caps w:val="0"/>
          <w:color w:val="auto"/>
          <w:spacing w:val="0"/>
          <w:kern w:val="0"/>
          <w:sz w:val="32"/>
          <w:szCs w:val="32"/>
          <w:shd w:val="clear" w:fill="FFFFFF"/>
          <w:vertAlign w:val="baseline"/>
          <w:lang w:val="en-US" w:eastAsia="zh-CN" w:bidi="ar"/>
        </w:rPr>
        <w:t>三、事中事后监管制度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kern w:val="0"/>
          <w:sz w:val="32"/>
          <w:szCs w:val="32"/>
          <w:shd w:val="clear" w:fill="FFFFFF"/>
          <w:vertAlign w:val="baseline"/>
          <w:lang w:val="en-US" w:eastAsia="zh-CN" w:bidi="ar"/>
        </w:rPr>
        <w:t>（一）对被审计单位经济活动事项的审计监督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对实行双重管理的审计监督事项，按照《中华人民共和国国家审计准则》明确审计监督标准，规范检查监督权、处理处罚权和自由裁量权。为切实做好监管工作，特制定以下制度。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kern w:val="0"/>
          <w:sz w:val="32"/>
          <w:szCs w:val="32"/>
          <w:shd w:val="clear" w:fill="FFFFFF"/>
          <w:vertAlign w:val="baseline"/>
          <w:lang w:val="en-US" w:eastAsia="zh-CN" w:bidi="ar"/>
        </w:rPr>
        <w:t>1.监督检查对象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（1）对从事审计监督活动的局机关及其工作人员进行事中事后监管。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（2）依法属于区本级审计机关审计监督对象，经审计后出具审计报告并作出审计决定的单位；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（3）依法在评价、考核经济事项时应当采用审计结论的有关部门负责人。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kern w:val="0"/>
          <w:sz w:val="32"/>
          <w:szCs w:val="32"/>
          <w:shd w:val="clear" w:fill="FFFFFF"/>
          <w:vertAlign w:val="baseline"/>
          <w:lang w:val="en-US" w:eastAsia="zh-CN" w:bidi="ar"/>
        </w:rPr>
        <w:t>2.监督检查内容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（1）对行使双重管理事项职权即审计监督的监督检查内容主要包括：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①审计监督主体的合法性；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②具体审计监督行为的合法性和合理性；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③规范性文件的合法性；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④审计监督制度建立、健全和执行情况；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⑤法律、法规和规章的实施情况；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⑥涉及行政复议、行政诉讼、向司法机关移送案件等有关情况；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⑦其他需要监督检查的事项。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（2）审计结果的落实情况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①依法在评价、考核经济事项时应当采用审计结论的情况；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②审计机关作出的处理处罚决定的执行情况；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③对审计机关要求自行纠正事项采取措施的情况；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④根据审计机关的审计建议采取措施的情况；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⑤对审计机关移送处理事项采取措施的情况。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kern w:val="0"/>
          <w:sz w:val="32"/>
          <w:szCs w:val="32"/>
          <w:shd w:val="clear" w:fill="FFFFFF"/>
          <w:vertAlign w:val="baseline"/>
          <w:lang w:val="en-US" w:eastAsia="zh-CN" w:bidi="ar"/>
        </w:rPr>
        <w:t>3.监督检查方式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采取下列方式监督检查被审计单位和其他有关单位的整改情况：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）监督检查可以采取自查、互查、抽查的方式进行，或者以上几种方式结合进行</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）执行监督检查的部门有权调阅有关审计档案和文书材料、实施现场检查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）针对定期审计项目采取后续审计整改检查。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kern w:val="0"/>
          <w:sz w:val="32"/>
          <w:szCs w:val="32"/>
          <w:shd w:val="clear" w:fill="FFFFFF"/>
          <w:vertAlign w:val="baseline"/>
          <w:lang w:val="en-US" w:eastAsia="zh-CN" w:bidi="ar"/>
        </w:rPr>
        <w:t>4.监督检查措施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（1）审计实施过程中，审计组应当及时督促被审计单位整改审计发现的问题。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（2）出具审计报告、作出审计决定后，审计机关应当在规定的时间内了解检查被审计单位和其他有关单位的整改情况，并取得相关证明材料。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（3）出具审计报告、作出审计决定后，审计机关移送相关部门，相关部门需了解检查被审计单位和其他有关单位整改情况，并向审计机关提出检查报告。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kern w:val="0"/>
          <w:sz w:val="32"/>
          <w:szCs w:val="32"/>
          <w:shd w:val="clear" w:fill="FFFFFF"/>
          <w:vertAlign w:val="baseline"/>
          <w:lang w:val="en-US" w:eastAsia="zh-CN" w:bidi="ar"/>
        </w:rPr>
        <w:t>5.监督检查程序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（1）监督检查应当依法依规并按照方案实施。非涉密或紧急情况下，应事先通知被监督检查单位，被监督检查单位或相关人员应做好准备工作并积极配合。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监督检查结束后，执行监督检查的部门应对审计质量监督检查情况进行分析总结，对存在的普遍性、倾向性问题提出整改意见，通报受查单位检查改正。受查单位应当在规定时限内进行整改并书面报告整改情况，由审计机关汇总审计整改情况，向本级政府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区审计局根据公民、法人或者其他组织的申诉、检举、控告或者人大、司法机关等部门的建议，对有关行使属地管理事项职权即审计监督行为组织调查，调查结果应及时反馈有关申诉、检举、控告、建议单位或者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kern w:val="0"/>
          <w:sz w:val="32"/>
          <w:szCs w:val="32"/>
          <w:shd w:val="clear" w:fill="FFFFFF"/>
          <w:vertAlign w:val="baseline"/>
          <w:lang w:val="en-US" w:eastAsia="zh-CN" w:bidi="ar"/>
        </w:rPr>
        <w:t>6.监督检查处理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（1）区审计机关及其工作人员在行政执法活动中，有下列不履行法定职责或不正确履行法定职责的情形，造成危害后果或者不良影响的，应当追究行政执法过错责任：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①违反法律、法规、规章规定实施审计监督的；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②无权限或者超权限实施审计监督的；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③在审计过程中，违反保密规定，泄露被审计单位商业秘密或审计工作秘密的；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④无法定依据、违反法定程序或者超过法定种类、幅度实施审计处理处罚的；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⑤以其他方式代替审计处理处罚的；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⑥依法应当移送纪检监察、司法机关追究责任，不予移交或者以处理处罚代替的；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⑦阻碍被审计单位或人员行使申诉、复议、诉讼及其他合法权利，情节恶劣，造成严重后果的；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⑧因审计人员的主观过错导致主要违纪违规违法事实认定错误，导致不利行政复议或者行政诉讼后果的；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⑨无正当理由拒不执行或者错误执行发生法律效力的行政判决、裁定、复议决定和其他纠正违法行为的决定、命令的；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⑩按照规定需要上报或者通报的事项，没有及时上报或者通报的；依照法律、法规和规章规定应承担审计监督过错责任的其他行为。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（2）区审计机关及其工作人员有下列情形之一的，不视为审计监督过错: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①国家的法律、法规、规章修改或者废止，或者客观情况发生重大变化，导致原审计监督行为改变的；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②被审计单位或相对人的违法过错造成的行政执法过错；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③法律、法规、规章规定其他不予追究行政执法过错责任的情形。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（3）追究审计监督过错责任，主要采取以下方式并可视情节单独或者合并使用：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①诫勉谈话；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②通报批评；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③责令作出书面检查；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④责令改正或者限期改正；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⑤警告、记过、记大过、降级、撤职、开除等行政处分；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⑥因故意或者重大过失的审计监督过错引起行政赔偿的，承担全部或者部分赔偿责任；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⑦涉嫌犯罪的，移送司法机关处理；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⑧法律、法规和规章规定的其他行政处理形式。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（4）被审计单位在行政执法活动中，有下列不履行法定职责或不正确履行法定职责的情形，造成危害后果或者不良影响的，应当追究行政执法过错责任：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①审计机关对被审计单位、有关部门和单位拒绝、阻碍、拖延审计整改工作的，可以通报批评，并可依法向社会公布；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②审计机关提出追究有关责任人责任的审计建议，有关部门、单位未书面告知处理结果或者无正当理由不予处理的，依照有关规定对其负责人予以问责；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③有关部门在评价、考核经济事项时，对审计结论没有正当理由不予采用的，依照有关规定对其负责人予以问责；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④审计机关汇总审计整改情况，向本级政府报送关于审计工作报告的整改情况。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baseline"/>
        <w:rPr>
          <w:rFonts w:hint="eastAsia" w:ascii="黑体" w:hAnsi="宋体" w:eastAsia="黑体" w:cs="黑体"/>
          <w:b w:val="0"/>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b w:val="0"/>
          <w:i w:val="0"/>
          <w:caps w:val="0"/>
          <w:color w:val="auto"/>
          <w:spacing w:val="0"/>
          <w:kern w:val="0"/>
          <w:sz w:val="30"/>
          <w:szCs w:val="30"/>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rPr>
          <w:rFonts w:hint="default" w:ascii="微软雅黑" w:hAnsi="微软雅黑" w:eastAsia="微软雅黑" w:cs="微软雅黑"/>
          <w:color w:val="auto"/>
          <w:sz w:val="24"/>
          <w:szCs w:val="24"/>
          <w:lang w:val="en-US"/>
        </w:rPr>
      </w:pPr>
      <w:bookmarkStart w:id="0" w:name="_GoBack"/>
      <w:bookmarkEnd w:id="0"/>
      <w:r>
        <w:rPr>
          <w:rFonts w:hint="eastAsia" w:ascii="黑体" w:hAnsi="宋体" w:eastAsia="黑体" w:cs="黑体"/>
          <w:b w:val="0"/>
          <w:i w:val="0"/>
          <w:caps w:val="0"/>
          <w:color w:val="auto"/>
          <w:spacing w:val="0"/>
          <w:kern w:val="0"/>
          <w:sz w:val="32"/>
          <w:szCs w:val="32"/>
          <w:shd w:val="clear" w:fill="FFFFFF"/>
          <w:vertAlign w:val="baseline"/>
          <w:lang w:val="en-US" w:eastAsia="zh-CN" w:bidi="ar"/>
        </w:rPr>
        <w:t>四、公共服务事项登记表（无）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baseline"/>
        <w:rPr>
          <w:color w:val="auto"/>
        </w:rPr>
      </w:pPr>
      <w:r>
        <w:rPr>
          <w:rFonts w:hint="eastAsia" w:ascii="宋体" w:hAnsi="宋体" w:eastAsia="宋体" w:cs="宋体"/>
          <w:b w:val="0"/>
          <w:i w:val="0"/>
          <w:caps w:val="0"/>
          <w:color w:val="auto"/>
          <w:spacing w:val="0"/>
          <w:kern w:val="0"/>
          <w:sz w:val="24"/>
          <w:szCs w:val="24"/>
          <w:shd w:val="clear" w:fill="FFFFFF"/>
          <w:vertAlign w:val="baseline"/>
          <w:lang w:val="en-US" w:eastAsia="zh-CN" w:bidi="ar"/>
        </w:rPr>
        <w:t> </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4"/>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4"/>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p>
    <w:pPr>
      <w:pStyle w:val="5"/>
    </w:pPr>
  </w:p>
  <w:p>
    <w:pPr>
      <w:pStyle w:val="5"/>
    </w:pPr>
  </w:p>
  <w:p>
    <w:pPr>
      <w:pStyle w:val="5"/>
    </w:pP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57BB"/>
    <w:rsid w:val="0B596F09"/>
    <w:rsid w:val="0BD32D6D"/>
    <w:rsid w:val="13364D9C"/>
    <w:rsid w:val="16825F95"/>
    <w:rsid w:val="24CA3D3E"/>
    <w:rsid w:val="25912087"/>
    <w:rsid w:val="259F22F1"/>
    <w:rsid w:val="260D0ABD"/>
    <w:rsid w:val="2DEA660D"/>
    <w:rsid w:val="309F619E"/>
    <w:rsid w:val="368C465D"/>
    <w:rsid w:val="3855126C"/>
    <w:rsid w:val="3AE12A7E"/>
    <w:rsid w:val="42956510"/>
    <w:rsid w:val="4C7906DD"/>
    <w:rsid w:val="529E41D3"/>
    <w:rsid w:val="54C86683"/>
    <w:rsid w:val="57845B5B"/>
    <w:rsid w:val="64433AAE"/>
    <w:rsid w:val="6BD53654"/>
    <w:rsid w:val="7D6A5A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10">
    <w:name w:val="_Style 6"/>
    <w:basedOn w:val="1"/>
    <w:next w:val="1"/>
    <w:qFormat/>
    <w:uiPriority w:val="0"/>
    <w:pPr>
      <w:pBdr>
        <w:bottom w:val="single" w:color="auto" w:sz="6" w:space="1"/>
      </w:pBdr>
      <w:jc w:val="center"/>
    </w:pPr>
    <w:rPr>
      <w:rFonts w:ascii="Arial" w:eastAsia="宋体"/>
      <w:vanish/>
      <w:sz w:val="16"/>
    </w:rPr>
  </w:style>
  <w:style w:type="paragraph" w:customStyle="1" w:styleId="11">
    <w:name w:val="_Style 7"/>
    <w:basedOn w:val="1"/>
    <w:next w:val="1"/>
    <w:qFormat/>
    <w:uiPriority w:val="0"/>
    <w:pPr>
      <w:pBdr>
        <w:top w:val="single" w:color="auto" w:sz="6" w:space="1"/>
      </w:pBdr>
      <w:jc w:val="center"/>
    </w:pPr>
    <w:rPr>
      <w:rFonts w:ascii="Arial" w:eastAsia="宋体"/>
      <w:vanish/>
      <w:sz w:val="16"/>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2021-09-02T07:40:47Z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