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eastAsia" w:ascii="方正小标宋简体" w:hAnsi="宋体" w:eastAsia="方正小标宋简体" w:cs="宋体"/>
          <w:bCs/>
          <w:kern w:val="0"/>
          <w:sz w:val="44"/>
          <w:szCs w:val="44"/>
          <w:u w:val="none"/>
          <w:shd w:val="clear" w:color="auto" w:fill="FFFFFF"/>
          <w:lang w:val="en-US" w:eastAsia="zh-CN" w:bidi="ar"/>
        </w:rPr>
        <w:t>三亚市吉阳区行政审批服务局</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责任清单</w:t>
      </w:r>
    </w:p>
    <w:p>
      <w:pPr>
        <w:spacing w:line="578" w:lineRule="exact"/>
        <w:jc w:val="center"/>
        <w:rPr>
          <w:rFonts w:hint="eastAsia" w:ascii="Times New Roman" w:hAnsi="Times New Roman" w:eastAsia="仿宋_GB2312" w:cs="Times New Roman"/>
          <w:bCs/>
          <w:color w:val="000000" w:themeColor="text1"/>
          <w:kern w:val="0"/>
          <w:sz w:val="28"/>
          <w:szCs w:val="28"/>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30"/>
          <w:szCs w:val="30"/>
          <w:lang w:val="en-US" w:eastAsia="zh-CN"/>
          <w14:textFill>
            <w14:solidFill>
              <w14:schemeClr w14:val="tx1"/>
            </w14:solidFill>
          </w14:textFill>
        </w:rPr>
        <w:t xml:space="preserve"> </w:t>
      </w:r>
    </w:p>
    <w:p>
      <w:pPr>
        <w:spacing w:line="578" w:lineRule="exact"/>
        <w:jc w:val="center"/>
        <w:rPr>
          <w:rFonts w:hint="default" w:ascii="Times New Roman" w:hAnsi="Times New Roman" w:eastAsia="黑体" w:cs="Times New Roman"/>
          <w:bCs/>
          <w:color w:val="000000" w:themeColor="text1"/>
          <w:kern w:val="0"/>
          <w:szCs w:val="32"/>
          <w14:textFill>
            <w14:solidFill>
              <w14:schemeClr w14:val="tx1"/>
            </w14:solidFill>
          </w14:textFill>
        </w:rPr>
      </w:pPr>
      <w:r>
        <w:rPr>
          <w:rFonts w:hint="default" w:ascii="Times New Roman" w:hAnsi="Times New Roman" w:eastAsia="黑体" w:cs="Times New Roman"/>
          <w:bCs/>
          <w:color w:val="000000" w:themeColor="text1"/>
          <w:kern w:val="0"/>
          <w:szCs w:val="32"/>
          <w14:textFill>
            <w14:solidFill>
              <w14:schemeClr w14:val="tx1"/>
            </w14:solidFill>
          </w14:textFill>
        </w:rPr>
        <w:t>目    录</w:t>
      </w:r>
    </w:p>
    <w:p>
      <w:pPr>
        <w:spacing w:line="578" w:lineRule="exact"/>
        <w:rPr>
          <w:rFonts w:hint="eastAsia" w:ascii="仿宋_GB2312" w:hAnsi="仿宋_GB2312" w:eastAsia="仿宋_GB2312" w:cs="仿宋_GB2312"/>
          <w:bCs/>
          <w:color w:val="000000" w:themeColor="text1"/>
          <w:kern w:val="0"/>
          <w:szCs w:val="32"/>
          <w14:textFill>
            <w14:solidFill>
              <w14:schemeClr w14:val="tx1"/>
            </w14:solidFill>
          </w14:textFill>
        </w:rPr>
      </w:pPr>
      <w:r>
        <w:rPr>
          <w:rFonts w:hint="default" w:ascii="Times New Roman" w:hAnsi="Times New Roman" w:cs="Times New Roman"/>
          <w:bCs/>
          <w:color w:val="000000" w:themeColor="text1"/>
          <w:kern w:val="0"/>
          <w:szCs w:val="32"/>
          <w14:textFill>
            <w14:solidFill>
              <w14:schemeClr w14:val="tx1"/>
            </w14:solidFill>
          </w14:textFill>
        </w:rPr>
        <w:t xml:space="preserve">   </w:t>
      </w:r>
    </w:p>
    <w:p>
      <w:pPr>
        <w:spacing w:line="578" w:lineRule="exact"/>
        <w:ind w:firstLine="640" w:firstLineChars="200"/>
        <w:rPr>
          <w:rFonts w:hint="eastAsia" w:ascii="仿宋_GB2312" w:hAnsi="仿宋_GB2312" w:eastAsia="仿宋_GB2312" w:cs="仿宋_GB2312"/>
          <w:bCs/>
          <w:color w:val="auto"/>
          <w:kern w:val="0"/>
          <w:szCs w:val="32"/>
        </w:rPr>
      </w:pPr>
      <w:r>
        <w:rPr>
          <w:rFonts w:hint="eastAsia" w:ascii="仿宋_GB2312" w:hAnsi="仿宋_GB2312" w:eastAsia="仿宋_GB2312" w:cs="仿宋_GB2312"/>
          <w:bCs/>
          <w:color w:val="auto"/>
          <w:kern w:val="0"/>
          <w:szCs w:val="32"/>
        </w:rPr>
        <w:t>一、部门职责登记表</w:t>
      </w:r>
    </w:p>
    <w:p>
      <w:pPr>
        <w:spacing w:line="578" w:lineRule="exact"/>
        <w:ind w:firstLine="640" w:firstLineChars="200"/>
        <w:rPr>
          <w:rFonts w:hint="eastAsia" w:ascii="仿宋_GB2312" w:hAnsi="仿宋_GB2312" w:eastAsia="仿宋_GB2312" w:cs="仿宋_GB2312"/>
          <w:bCs/>
          <w:color w:val="auto"/>
          <w:kern w:val="0"/>
          <w:szCs w:val="32"/>
        </w:rPr>
      </w:pPr>
      <w:r>
        <w:rPr>
          <w:rFonts w:hint="eastAsia" w:ascii="仿宋_GB2312" w:hAnsi="仿宋_GB2312" w:eastAsia="仿宋_GB2312" w:cs="仿宋_GB2312"/>
          <w:bCs/>
          <w:color w:val="auto"/>
          <w:kern w:val="0"/>
          <w:szCs w:val="32"/>
        </w:rPr>
        <w:t>二、与相关部门的职责边界</w:t>
      </w:r>
      <w:r>
        <w:rPr>
          <w:rFonts w:hint="eastAsia" w:ascii="仿宋_GB2312" w:hAnsi="仿宋_GB2312" w:cs="仿宋_GB2312"/>
          <w:bCs/>
          <w:color w:val="auto"/>
          <w:kern w:val="0"/>
          <w:szCs w:val="32"/>
          <w:lang w:val="en-US" w:eastAsia="zh-CN"/>
        </w:rPr>
        <w:t>登记</w:t>
      </w:r>
      <w:r>
        <w:rPr>
          <w:rFonts w:hint="eastAsia" w:ascii="仿宋_GB2312" w:hAnsi="仿宋_GB2312" w:eastAsia="仿宋_GB2312" w:cs="仿宋_GB2312"/>
          <w:bCs/>
          <w:color w:val="auto"/>
          <w:kern w:val="0"/>
          <w:szCs w:val="32"/>
        </w:rPr>
        <w:t>表</w:t>
      </w:r>
    </w:p>
    <w:p>
      <w:pPr>
        <w:spacing w:line="578" w:lineRule="exact"/>
        <w:ind w:firstLine="640" w:firstLineChars="200"/>
        <w:rPr>
          <w:rFonts w:hint="eastAsia" w:ascii="仿宋_GB2312" w:hAnsi="仿宋_GB2312" w:eastAsia="仿宋_GB2312" w:cs="仿宋_GB2312"/>
          <w:bCs/>
          <w:color w:val="auto"/>
          <w:kern w:val="0"/>
          <w:szCs w:val="32"/>
          <w:lang w:eastAsia="zh-CN"/>
        </w:rPr>
      </w:pPr>
      <w:r>
        <w:rPr>
          <w:rFonts w:hint="eastAsia" w:ascii="仿宋_GB2312" w:hAnsi="仿宋_GB2312" w:eastAsia="仿宋_GB2312" w:cs="仿宋_GB2312"/>
          <w:bCs/>
          <w:color w:val="auto"/>
          <w:kern w:val="0"/>
          <w:szCs w:val="32"/>
        </w:rPr>
        <w:t>三、事中事后监管制度</w:t>
      </w:r>
      <w:r>
        <w:rPr>
          <w:rFonts w:hint="eastAsia" w:ascii="仿宋_GB2312" w:hAnsi="仿宋_GB2312" w:eastAsia="仿宋_GB2312" w:cs="仿宋_GB2312"/>
          <w:bCs/>
          <w:color w:val="auto"/>
          <w:kern w:val="0"/>
          <w:szCs w:val="32"/>
          <w:lang w:eastAsia="zh-CN"/>
        </w:rPr>
        <w:t>（</w:t>
      </w:r>
      <w:r>
        <w:rPr>
          <w:rFonts w:hint="eastAsia" w:ascii="仿宋_GB2312" w:hAnsi="仿宋_GB2312" w:eastAsia="仿宋_GB2312" w:cs="仿宋_GB2312"/>
          <w:bCs/>
          <w:color w:val="auto"/>
          <w:kern w:val="0"/>
          <w:szCs w:val="32"/>
          <w:lang w:val="en-US" w:eastAsia="zh-CN"/>
        </w:rPr>
        <w:t>无</w:t>
      </w:r>
      <w:r>
        <w:rPr>
          <w:rFonts w:hint="eastAsia" w:ascii="仿宋_GB2312" w:hAnsi="仿宋_GB2312" w:eastAsia="仿宋_GB2312" w:cs="仿宋_GB2312"/>
          <w:bCs/>
          <w:color w:val="auto"/>
          <w:kern w:val="0"/>
          <w:szCs w:val="32"/>
          <w:lang w:eastAsia="zh-CN"/>
        </w:rPr>
        <w:t>）</w:t>
      </w:r>
    </w:p>
    <w:p>
      <w:pPr>
        <w:spacing w:line="578" w:lineRule="exact"/>
        <w:ind w:firstLine="640" w:firstLineChars="200"/>
        <w:rPr>
          <w:rFonts w:hint="eastAsia" w:ascii="仿宋_GB2312" w:hAnsi="仿宋_GB2312" w:eastAsia="仿宋_GB2312" w:cs="仿宋_GB2312"/>
          <w:bCs/>
          <w:color w:val="auto"/>
          <w:kern w:val="0"/>
          <w:szCs w:val="32"/>
          <w:lang w:eastAsia="zh-CN"/>
        </w:rPr>
      </w:pPr>
      <w:r>
        <w:rPr>
          <w:rFonts w:hint="eastAsia" w:ascii="仿宋_GB2312" w:hAnsi="仿宋_GB2312" w:eastAsia="仿宋_GB2312" w:cs="仿宋_GB2312"/>
          <w:bCs/>
          <w:color w:val="auto"/>
          <w:kern w:val="0"/>
          <w:szCs w:val="32"/>
        </w:rPr>
        <w:t>四、公共服务事项</w:t>
      </w:r>
    </w:p>
    <w:p>
      <w:pPr>
        <w:spacing w:line="578" w:lineRule="exact"/>
        <w:rPr>
          <w:rFonts w:hint="default" w:ascii="Times New Roman" w:hAnsi="Times New Roman" w:cs="Times New Roman" w:eastAsiaTheme="minorEastAsia"/>
          <w:bCs/>
          <w:color w:val="000000" w:themeColor="text1"/>
          <w:sz w:val="24"/>
          <w:szCs w:val="24"/>
          <w14:textFill>
            <w14:solidFill>
              <w14:schemeClr w14:val="tx1"/>
            </w14:solidFill>
          </w14:textFill>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6"/>
        <w:keepNext w:val="0"/>
        <w:keepLines w:val="0"/>
        <w:widowControl/>
        <w:suppressLineNumbers w:val="0"/>
        <w:wordWrap w:val="0"/>
        <w:spacing w:before="0" w:beforeAutospacing="0" w:after="0" w:afterAutospacing="0"/>
        <w:ind w:left="0" w:right="0"/>
        <w:rPr>
          <w:sz w:val="18"/>
          <w:szCs w:val="18"/>
          <w:shd w:val="clear" w:color="auto" w:fill="FFFFFF"/>
        </w:rPr>
      </w:pPr>
      <w:r>
        <w:rPr>
          <w:sz w:val="18"/>
          <w:szCs w:val="18"/>
          <w:shd w:val="clear" w:color="auto" w:fill="FFFFFF"/>
        </w:rPr>
        <w:t> </w:t>
      </w:r>
    </w:p>
    <w:p>
      <w:pPr>
        <w:pStyle w:val="6"/>
        <w:keepNext w:val="0"/>
        <w:keepLines w:val="0"/>
        <w:widowControl/>
        <w:suppressLineNumbers w:val="0"/>
        <w:wordWrap w:val="0"/>
        <w:spacing w:before="0" w:beforeAutospacing="0" w:after="0" w:afterAutospacing="0"/>
        <w:ind w:left="0" w:right="0"/>
        <w:rPr>
          <w:sz w:val="18"/>
          <w:szCs w:val="18"/>
          <w:shd w:val="clear" w:color="auto" w:fill="FFFFFF"/>
        </w:rPr>
      </w:pPr>
    </w:p>
    <w:p>
      <w:pPr>
        <w:pStyle w:val="6"/>
        <w:keepNext w:val="0"/>
        <w:keepLines w:val="0"/>
        <w:widowControl/>
        <w:suppressLineNumbers w:val="0"/>
        <w:wordWrap w:val="0"/>
        <w:spacing w:before="0" w:beforeAutospacing="0" w:after="0" w:afterAutospacing="0"/>
        <w:ind w:left="0" w:right="0"/>
        <w:rPr>
          <w:sz w:val="18"/>
          <w:szCs w:val="18"/>
          <w:shd w:val="clear" w:color="auto" w:fill="FFFFFF"/>
        </w:rPr>
      </w:pPr>
    </w:p>
    <w:p>
      <w:pPr>
        <w:pStyle w:val="6"/>
        <w:keepNext w:val="0"/>
        <w:keepLines w:val="0"/>
        <w:widowControl/>
        <w:suppressLineNumbers w:val="0"/>
        <w:wordWrap w:val="0"/>
        <w:spacing w:before="0" w:beforeAutospacing="0" w:after="0" w:afterAutospacing="0"/>
        <w:ind w:left="0" w:right="0"/>
        <w:rPr>
          <w:sz w:val="18"/>
          <w:szCs w:val="18"/>
          <w:shd w:val="clear" w:color="auto" w:fill="FFFFFF"/>
        </w:rPr>
      </w:pPr>
    </w:p>
    <w:p>
      <w:pPr>
        <w:pStyle w:val="6"/>
        <w:keepNext w:val="0"/>
        <w:keepLines w:val="0"/>
        <w:widowControl/>
        <w:suppressLineNumbers w:val="0"/>
        <w:wordWrap w:val="0"/>
        <w:spacing w:before="0" w:beforeAutospacing="0" w:after="0" w:afterAutospacing="0"/>
        <w:ind w:left="0" w:right="0"/>
        <w:rPr>
          <w:sz w:val="18"/>
          <w:szCs w:val="18"/>
          <w:shd w:val="clear" w:color="auto" w:fill="FFFFFF"/>
        </w:rPr>
      </w:pPr>
    </w:p>
    <w:p>
      <w:pPr>
        <w:pStyle w:val="6"/>
        <w:keepNext w:val="0"/>
        <w:keepLines w:val="0"/>
        <w:widowControl/>
        <w:suppressLineNumbers w:val="0"/>
        <w:wordWrap w:val="0"/>
        <w:spacing w:before="0" w:beforeAutospacing="0" w:after="0" w:afterAutospacing="0"/>
        <w:ind w:left="0" w:right="0"/>
        <w:rPr>
          <w:sz w:val="18"/>
          <w:szCs w:val="18"/>
          <w:shd w:val="clear" w:color="auto" w:fill="FFFFFF"/>
        </w:rPr>
      </w:pPr>
    </w:p>
    <w:p>
      <w:pPr>
        <w:pStyle w:val="6"/>
        <w:keepNext w:val="0"/>
        <w:keepLines w:val="0"/>
        <w:widowControl/>
        <w:suppressLineNumbers w:val="0"/>
        <w:wordWrap w:val="0"/>
        <w:spacing w:before="0" w:beforeAutospacing="0" w:after="0" w:afterAutospacing="0"/>
        <w:ind w:left="0" w:right="0"/>
        <w:rPr>
          <w:sz w:val="18"/>
          <w:szCs w:val="18"/>
          <w:shd w:val="clear" w:color="auto" w:fill="FFFFFF"/>
        </w:rPr>
      </w:pPr>
    </w:p>
    <w:p>
      <w:pPr>
        <w:pStyle w:val="6"/>
        <w:keepNext w:val="0"/>
        <w:keepLines w:val="0"/>
        <w:widowControl/>
        <w:suppressLineNumbers w:val="0"/>
        <w:wordWrap w:val="0"/>
        <w:spacing w:before="0" w:beforeAutospacing="0" w:after="0" w:afterAutospacing="0"/>
        <w:ind w:left="0" w:right="0" w:firstLine="640" w:firstLineChars="200"/>
        <w:rPr>
          <w:rFonts w:hint="eastAsia" w:ascii="仿宋_GB2312" w:hAnsi="仿宋_GB2312" w:eastAsia="仿宋_GB2312" w:cs="仿宋_GB2312"/>
          <w:sz w:val="32"/>
          <w:szCs w:val="32"/>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both"/>
        <w:rPr>
          <w:rFonts w:hint="eastAsia" w:ascii="黑体" w:hAnsi="黑体" w:eastAsia="黑体" w:cs="黑体"/>
          <w:kern w:val="0"/>
          <w:sz w:val="36"/>
          <w:szCs w:val="36"/>
          <w:u w:val="none"/>
          <w:shd w:val="clear" w:color="auto" w:fill="FFFFFF"/>
          <w:lang w:val="en-US" w:eastAsia="zh-CN"/>
        </w:rPr>
        <w:sectPr>
          <w:headerReference r:id="rId3" w:type="default"/>
          <w:type w:val="continuous"/>
          <w:pgSz w:w="12242" w:h="15842"/>
          <w:pgMar w:top="2098" w:right="1474" w:bottom="1984" w:left="1587" w:header="851" w:footer="992" w:gutter="0"/>
          <w:pgNumType w:fmt="decimal" w:start="1"/>
          <w:cols w:space="720"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kern w:val="0"/>
          <w:sz w:val="32"/>
          <w:szCs w:val="32"/>
          <w:u w:val="none"/>
          <w:shd w:val="clear" w:color="auto" w:fill="FFFFFF"/>
          <w:lang w:val="en-US" w:eastAsia="zh-CN"/>
        </w:rPr>
      </w:pPr>
      <w:r>
        <w:rPr>
          <w:rFonts w:hint="eastAsia" w:ascii="黑体" w:hAnsi="黑体" w:eastAsia="黑体" w:cs="黑体"/>
          <w:kern w:val="0"/>
          <w:sz w:val="32"/>
          <w:szCs w:val="32"/>
          <w:u w:val="none"/>
          <w:shd w:val="clear" w:color="auto" w:fill="FFFFFF"/>
          <w:lang w:val="en-US" w:eastAsia="zh-CN"/>
        </w:rPr>
        <w:t>一、部门职责登记表</w:t>
      </w:r>
    </w:p>
    <w:tbl>
      <w:tblPr>
        <w:tblStyle w:val="8"/>
        <w:tblpPr w:leftFromText="181" w:rightFromText="181" w:topFromText="227" w:bottomFromText="227" w:vertAnchor="page" w:horzAnchor="page" w:tblpX="1017" w:tblpY="2923"/>
        <w:tblOverlap w:val="never"/>
        <w:tblW w:w="10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5"/>
        <w:gridCol w:w="3669"/>
        <w:gridCol w:w="5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3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主要职责</w:t>
            </w:r>
          </w:p>
        </w:tc>
        <w:tc>
          <w:tcPr>
            <w:tcW w:w="5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78" w:lineRule="exact"/>
              <w:jc w:val="center"/>
              <w:rPr>
                <w:rFonts w:hint="eastAsia" w:ascii="Times New Roman" w:hAnsi="Times New Roman" w:eastAsia="仿宋_GB2312" w:cs="Times New Roman"/>
                <w:b w:val="0"/>
                <w:bCs w:val="0"/>
                <w:sz w:val="24"/>
                <w:szCs w:val="24"/>
                <w:vertAlign w:val="baseline"/>
                <w:lang w:val="en-US" w:eastAsia="zh-CN"/>
              </w:rPr>
            </w:pPr>
            <w:r>
              <w:rPr>
                <w:rFonts w:hint="eastAsia" w:ascii="仿宋_GB2312" w:hAnsi="仿宋_GB2312" w:eastAsia="仿宋_GB2312" w:cs="仿宋_GB2312"/>
                <w:b/>
                <w:bCs/>
                <w:i w:val="0"/>
                <w:color w:val="000000"/>
                <w:kern w:val="0"/>
                <w:sz w:val="28"/>
                <w:szCs w:val="28"/>
                <w:u w:val="none"/>
                <w:lang w:val="en-US" w:eastAsia="zh-CN" w:bidi="ar"/>
              </w:rPr>
              <w:t>具体工作事项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7" w:hRule="atLeast"/>
        </w:trPr>
        <w:tc>
          <w:tcPr>
            <w:tcW w:w="65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贯彻落实党和国家、省市有关行政审批工作的方针政策、法律法规，执行市委市政府、区委区政府的决策部署和中国（海南）自由贸易试验区、中国特色自由贸易港的政策措施。</w:t>
            </w:r>
          </w:p>
        </w:tc>
        <w:tc>
          <w:tcPr>
            <w:tcW w:w="5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配合区委、区政府统筹推进政府职能转变及“放管服”改革相关工作，并督促各部门配合落实改革工作。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协调各行业主管部门做好政策解读和舆论引导工作。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65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6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负责建立健全区行政审批工作机制并组织实施。研究提出区推进中国（海南）自由贸易</w:t>
            </w:r>
            <w:r>
              <w:rPr>
                <w:rFonts w:hint="eastAsia" w:cs="Times New Roman"/>
                <w:b w:val="0"/>
                <w:bCs w:val="0"/>
                <w:sz w:val="24"/>
                <w:szCs w:val="24"/>
                <w:vertAlign w:val="baseline"/>
                <w:lang w:val="en-US" w:eastAsia="zh-CN"/>
              </w:rPr>
              <w:t>试</w:t>
            </w:r>
            <w:bookmarkStart w:id="0" w:name="_GoBack"/>
            <w:bookmarkEnd w:id="0"/>
            <w:r>
              <w:rPr>
                <w:rFonts w:hint="eastAsia" w:ascii="Times New Roman" w:hAnsi="Times New Roman" w:eastAsia="仿宋_GB2312" w:cs="Times New Roman"/>
                <w:b w:val="0"/>
                <w:bCs w:val="0"/>
                <w:sz w:val="24"/>
                <w:szCs w:val="24"/>
                <w:vertAlign w:val="baseline"/>
                <w:lang w:val="en-US" w:eastAsia="zh-CN"/>
              </w:rPr>
              <w:t>验区、中国特色自由贸易港建设有关行政审批方面的意见和建议。</w:t>
            </w:r>
          </w:p>
        </w:tc>
        <w:tc>
          <w:tcPr>
            <w:tcW w:w="5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会同行业主管、执法等有关部门，制定事中事后监管、信息双向推送等各项工作机制，并根据实际进行有效调整。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4" w:hRule="atLeast"/>
        </w:trPr>
        <w:tc>
          <w:tcPr>
            <w:tcW w:w="6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6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梳理行政审批、政务服务等审批改革各环节并更新相关工作机制，有效推动办事流程便利化。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 w:hRule="atLeast"/>
        </w:trPr>
        <w:tc>
          <w:tcPr>
            <w:tcW w:w="6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36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研究探索区行政审批制度改革、规范审批行为，建立和完善政务服务机制。</w:t>
            </w:r>
          </w:p>
        </w:tc>
        <w:tc>
          <w:tcPr>
            <w:tcW w:w="59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推进简政放权，规范各类行政审批服务事项。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3" w:hRule="atLeast"/>
        </w:trPr>
        <w:tc>
          <w:tcPr>
            <w:tcW w:w="6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厘清行政审批服务事项清单，逐一创新和完善各事项审批服务机制,依法拟定并组织实施政务服务方面的规划和措施，推动区级有关部门在中心实行集中受理和办理，提供规范、高效、优质的政务服务。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 w:hRule="atLeast"/>
        </w:trPr>
        <w:tc>
          <w:tcPr>
            <w:tcW w:w="65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会同相关部门编制行政审批服务事项目录和办事指南，协调相关部门梳理行政审批服务事项的设定依据、受理要件、实施程序。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55"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669"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履行区级各职能部门划转的行政审批及有关服务事项。</w:t>
            </w:r>
          </w:p>
        </w:tc>
        <w:tc>
          <w:tcPr>
            <w:tcW w:w="598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牵头协调行政审批服务事项的承接、下放、取消、调整等工作。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8" w:hRule="atLeast"/>
        </w:trPr>
        <w:tc>
          <w:tcPr>
            <w:tcW w:w="65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规范、高效办理区级已划转行政审批事项，深化“一枚印章管审批”，有效促进便民利企。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trPr>
        <w:tc>
          <w:tcPr>
            <w:tcW w:w="65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协调相关部门对划转事项的行政审批及进驻大厅的政务服务事项进行环节优化、压缩时限，推进行政审批服务便民化、规范化建设。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1" w:hRule="atLeast"/>
        </w:trPr>
        <w:tc>
          <w:tcPr>
            <w:tcW w:w="65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会同有关部门，做好行政审批、政务服务平台建设，贯彻落实“互联网+”政务服务，推行政务服务事项网上办理。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65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66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对行政审批过程中形成的相关材料及法律文书进行收集、整理和归档管理。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65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3669"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负责指导区政务大厅、村（社区）居便民服务站的审批服务工作，推进行政审批服务标准化建设，优化行政审批服务事项流程、解决政务服务事项办理中存在的问题。</w:t>
            </w:r>
          </w:p>
        </w:tc>
        <w:tc>
          <w:tcPr>
            <w:tcW w:w="5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抓好涉及区级进驻单位网上审批系统的推广和使用维护等工作，做好与硬件建设和软件开发机构的衔接与调试，做好用户网上申报信息的保密工作。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66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海南省政务服务（吉阳区级权限）云平台、海南省“好差评”（吉阳区级权限）系统、海南省“互联网+监管”（吉阳区级权限）系统、三亚市“一鹿快办”（吉阳区级权限）云平台等政务服务平台的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负责制定政务大厅服务管理制度及政务服务工作人员政务服务标准化业务培训。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1"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牵头各部门，将各领域部分权力事项授权至大社区行使，打通便民“最后一公里”。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指导区政务大厅、大社区、村（社区）居便民服务站的行政审批服务工作。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trPr>
        <w:tc>
          <w:tcPr>
            <w:tcW w:w="65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3669"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负责政务服务效能监督工作，统一受理全区政务服务方面的投诉、咨询和信访工作。</w:t>
            </w:r>
          </w:p>
        </w:tc>
        <w:tc>
          <w:tcPr>
            <w:tcW w:w="5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推进政务公开，跟踪督办进驻区政务大厅区级审批服务事项办理进展情况。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6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负责对区级划转事项的行政审批、政务服务行为进行监督检查，指导政务中心抓好窗口人员的日常管理。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000000"/>
                <w:sz w:val="24"/>
                <w:szCs w:val="24"/>
                <w:u w:val="none"/>
              </w:rPr>
            </w:pPr>
          </w:p>
        </w:tc>
        <w:tc>
          <w:tcPr>
            <w:tcW w:w="36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承担政务服务热线业务的协调，统一受理区行政审批服务局的行政审批事项及进驻政务大厅的区级政务服务方面的投诉、咨询和信访工作。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65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3669"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负责组织实施及协调涉及本部门行政审批服务事项的现场勘查、技术论证和社会听证等工作。</w:t>
            </w:r>
          </w:p>
        </w:tc>
        <w:tc>
          <w:tcPr>
            <w:tcW w:w="5980"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负责组织实施及协调涉及区行政审批服务局的行政审批事项的现场勘查。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3"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66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针对涉及专业性较强的各领域审批事项，组织专家开展技术论证和社会听证等相关工作，更加精准的确认审批指标。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6" w:hRule="atLeast"/>
        </w:trPr>
        <w:tc>
          <w:tcPr>
            <w:tcW w:w="65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9</w:t>
            </w:r>
          </w:p>
        </w:tc>
        <w:tc>
          <w:tcPr>
            <w:tcW w:w="3669"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对本部门所负责的行政审批服务事项的受理、审查、决定等环节承担主体责任，相关职能部门承担审批后监管主体责任。</w:t>
            </w:r>
          </w:p>
        </w:tc>
        <w:tc>
          <w:tcPr>
            <w:tcW w:w="5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按照“谁审批、谁负责”“谁主管、谁监管”的原则，区行政审批服务局对本部门所负责的行政审批事项的受理、审查、决定等环节承担主体责任。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36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及时将审批决定事项推送至执法及各行业主管部门，以便于相关部门开展事中事后监管，同时，根据执法及各行业主管部门推送至我局的监管信息，有序开展审批工作。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trPr>
        <w:tc>
          <w:tcPr>
            <w:tcW w:w="65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10</w:t>
            </w:r>
          </w:p>
        </w:tc>
        <w:tc>
          <w:tcPr>
            <w:tcW w:w="3669"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完成区委、区政府和上级部门交办的其他工作任务。</w:t>
            </w:r>
          </w:p>
        </w:tc>
        <w:tc>
          <w:tcPr>
            <w:tcW w:w="5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严格按要求做好扶贫、乡村振兴、创文巩卫等任务，同时做好各类专项工作。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1" w:hRule="atLeast"/>
        </w:trPr>
        <w:tc>
          <w:tcPr>
            <w:tcW w:w="65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36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p>
        </w:tc>
        <w:tc>
          <w:tcPr>
            <w:tcW w:w="59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完成区委、区政府和上级部门交办的其他工作任务。</w:t>
            </w:r>
          </w:p>
        </w:tc>
      </w:tr>
    </w:tbl>
    <w:p>
      <w:pPr>
        <w:wordWrap w:val="0"/>
        <w:rPr>
          <w:rFonts w:hint="default" w:ascii="Times New Roman" w:hAnsi="Times New Roman" w:eastAsia="宋体" w:cs="Times New Roman"/>
          <w:kern w:val="0"/>
          <w:sz w:val="21"/>
          <w:szCs w:val="21"/>
          <w:shd w:val="clear" w:color="auto" w:fill="FFFFFF"/>
          <w:lang w:val="en-US" w:eastAsia="zh-CN" w:bidi="ar"/>
        </w:rPr>
        <w:sectPr>
          <w:footerReference r:id="rId4" w:type="default"/>
          <w:pgSz w:w="12242" w:h="15842"/>
          <w:pgMar w:top="1440" w:right="1800" w:bottom="1440" w:left="1800" w:header="851" w:footer="992" w:gutter="0"/>
          <w:pgNumType w:fmt="decimal"/>
          <w:cols w:space="720"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二、与相关部门的职责边界登记表</w:t>
      </w:r>
    </w:p>
    <w:tbl>
      <w:tblPr>
        <w:tblStyle w:val="8"/>
        <w:tblpPr w:leftFromText="180" w:rightFromText="180" w:vertAnchor="text" w:horzAnchor="page" w:tblpX="1072" w:tblpY="559"/>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45"/>
        <w:gridCol w:w="1980"/>
        <w:gridCol w:w="1905"/>
        <w:gridCol w:w="172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870"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1545"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管理事项</w:t>
            </w:r>
          </w:p>
        </w:tc>
        <w:tc>
          <w:tcPr>
            <w:tcW w:w="1980"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相关部门</w:t>
            </w:r>
          </w:p>
        </w:tc>
        <w:tc>
          <w:tcPr>
            <w:tcW w:w="1905"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职责分工</w:t>
            </w:r>
          </w:p>
        </w:tc>
        <w:tc>
          <w:tcPr>
            <w:tcW w:w="1725"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相关依据</w:t>
            </w:r>
          </w:p>
        </w:tc>
        <w:tc>
          <w:tcPr>
            <w:tcW w:w="1905"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trPr>
        <w:tc>
          <w:tcPr>
            <w:tcW w:w="870" w:type="dxa"/>
            <w:vMerge w:val="restart"/>
            <w:vAlign w:val="center"/>
          </w:tcPr>
          <w:p>
            <w:pPr>
              <w:spacing w:line="578"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p>
            <w:pPr>
              <w:spacing w:line="578" w:lineRule="exact"/>
              <w:jc w:val="center"/>
              <w:rPr>
                <w:rFonts w:hint="eastAsia" w:ascii="仿宋_GB2312" w:hAnsi="仿宋_GB2312" w:eastAsia="仿宋_GB2312" w:cs="仿宋_GB2312"/>
                <w:sz w:val="24"/>
                <w:szCs w:val="24"/>
              </w:rPr>
            </w:pPr>
          </w:p>
        </w:tc>
        <w:tc>
          <w:tcPr>
            <w:tcW w:w="1545" w:type="dxa"/>
            <w:vMerge w:val="restart"/>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校车使用许可</w:t>
            </w:r>
          </w:p>
        </w:tc>
        <w:tc>
          <w:tcPr>
            <w:tcW w:w="1980"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区行政审批服务局</w:t>
            </w:r>
          </w:p>
        </w:tc>
        <w:tc>
          <w:tcPr>
            <w:tcW w:w="1905"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1.负责该申报事项的受理、审批；</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2.以“审批决定的作出”为我局与监管部门的职责边界。</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c>
          <w:tcPr>
            <w:tcW w:w="1725" w:type="dxa"/>
            <w:vMerge w:val="restart"/>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1.《校车安全管理条例》第十四条、第十五条</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2.《三亚市吉阳区“ 一枚印章管审批”改革实施方案》(吉委办发〔2020〕26号)</w:t>
            </w:r>
          </w:p>
        </w:tc>
        <w:tc>
          <w:tcPr>
            <w:tcW w:w="1905" w:type="dxa"/>
            <w:vMerge w:val="restart"/>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某校需增加校车。1.经办人先到区行政审批服务局递交申请；</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区行政审批服务局报市交通局、市交警支队 ；</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区行政审批服务局、市交通局、市交警支队联合现场踏勘；</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区行政审批服务局报送区政府批准；</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办结；</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区行政审批服务局及时将办结结果相关信息推送至区教育局；</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区教育局对校车使用进行事中事后指导监督。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rPr>
        <w:tc>
          <w:tcPr>
            <w:tcW w:w="870" w:type="dxa"/>
            <w:vMerge w:val="continue"/>
            <w:vAlign w:val="center"/>
          </w:tcPr>
          <w:p>
            <w:pPr>
              <w:spacing w:line="578" w:lineRule="exact"/>
              <w:jc w:val="center"/>
              <w:rPr>
                <w:rFonts w:hint="eastAsia" w:ascii="仿宋_GB2312" w:hAnsi="仿宋_GB2312" w:eastAsia="仿宋_GB2312" w:cs="仿宋_GB2312"/>
                <w:sz w:val="24"/>
                <w:szCs w:val="24"/>
              </w:rPr>
            </w:pPr>
          </w:p>
        </w:tc>
        <w:tc>
          <w:tcPr>
            <w:tcW w:w="154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c>
          <w:tcPr>
            <w:tcW w:w="1980"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区教育局</w:t>
            </w:r>
          </w:p>
        </w:tc>
        <w:tc>
          <w:tcPr>
            <w:tcW w:w="1905"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1.负责对该事项审批项目的事中需监管环节进行监管；</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2.负责对该事项审批结果产生的主体进行事后指导监督。</w:t>
            </w:r>
          </w:p>
        </w:tc>
        <w:tc>
          <w:tcPr>
            <w:tcW w:w="172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c>
          <w:tcPr>
            <w:tcW w:w="190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Merge w:val="continue"/>
            <w:vAlign w:val="center"/>
          </w:tcPr>
          <w:p>
            <w:pPr>
              <w:spacing w:line="578" w:lineRule="exact"/>
              <w:jc w:val="center"/>
              <w:rPr>
                <w:rFonts w:hint="eastAsia" w:ascii="仿宋_GB2312" w:hAnsi="仿宋_GB2312" w:eastAsia="仿宋_GB2312" w:cs="仿宋_GB2312"/>
                <w:sz w:val="24"/>
                <w:szCs w:val="24"/>
              </w:rPr>
            </w:pPr>
          </w:p>
        </w:tc>
        <w:tc>
          <w:tcPr>
            <w:tcW w:w="154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c>
          <w:tcPr>
            <w:tcW w:w="1980"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市交通运输局</w:t>
            </w:r>
          </w:p>
        </w:tc>
        <w:tc>
          <w:tcPr>
            <w:tcW w:w="1905"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负责线路踏勘。</w:t>
            </w:r>
          </w:p>
        </w:tc>
        <w:tc>
          <w:tcPr>
            <w:tcW w:w="172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c>
          <w:tcPr>
            <w:tcW w:w="190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870" w:type="dxa"/>
            <w:vMerge w:val="continue"/>
            <w:vAlign w:val="center"/>
          </w:tcPr>
          <w:p>
            <w:pPr>
              <w:spacing w:line="578" w:lineRule="exact"/>
              <w:jc w:val="center"/>
              <w:rPr>
                <w:rFonts w:hint="eastAsia" w:ascii="仿宋_GB2312" w:hAnsi="仿宋_GB2312" w:eastAsia="仿宋_GB2312" w:cs="仿宋_GB2312"/>
                <w:sz w:val="24"/>
                <w:szCs w:val="24"/>
              </w:rPr>
            </w:pPr>
          </w:p>
        </w:tc>
        <w:tc>
          <w:tcPr>
            <w:tcW w:w="154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c>
          <w:tcPr>
            <w:tcW w:w="1980"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市交警支队</w:t>
            </w:r>
          </w:p>
        </w:tc>
        <w:tc>
          <w:tcPr>
            <w:tcW w:w="1905"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负责检查驾驶员资质、车辆情况、线路踏勘。</w:t>
            </w:r>
          </w:p>
        </w:tc>
        <w:tc>
          <w:tcPr>
            <w:tcW w:w="172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c>
          <w:tcPr>
            <w:tcW w:w="1905" w:type="dxa"/>
            <w:vMerge w:val="continue"/>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5" w:hRule="atLeast"/>
        </w:trPr>
        <w:tc>
          <w:tcPr>
            <w:tcW w:w="870" w:type="dxa"/>
            <w:vMerge w:val="restart"/>
            <w:vAlign w:val="center"/>
          </w:tcPr>
          <w:p>
            <w:pPr>
              <w:keepNext w:val="0"/>
              <w:keepLines w:val="0"/>
              <w:widowControl/>
              <w:suppressLineNumbers w:val="0"/>
              <w:wordWrap w:val="0"/>
              <w:spacing w:before="0" w:beforeAutospacing="0" w:after="0" w:afterAutospacing="0"/>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545" w:type="dxa"/>
            <w:vMerge w:val="restart"/>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12345热线工单、信访投诉件</w:t>
            </w:r>
          </w:p>
        </w:tc>
        <w:tc>
          <w:tcPr>
            <w:tcW w:w="1980"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区行政审批服务局</w:t>
            </w:r>
          </w:p>
        </w:tc>
        <w:tc>
          <w:tcPr>
            <w:tcW w:w="1905" w:type="dxa"/>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1.负责属于我局职责范围内行政审批服务事项的12345热线工单及信访投诉件；</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2.负责处理政务大厅窗口工作人员涉及服务态度、工作效能等政务服务方面的投诉问题。</w:t>
            </w:r>
          </w:p>
        </w:tc>
        <w:tc>
          <w:tcPr>
            <w:tcW w:w="1725" w:type="dxa"/>
            <w:vMerge w:val="restart"/>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1.《海南省依法分类处理信访诉求工作规则》</w:t>
            </w:r>
          </w:p>
          <w:p>
            <w:pPr>
              <w:spacing w:line="578" w:lineRule="exact"/>
              <w:jc w:val="both"/>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2.《三亚市人民政府关于印发&lt;三亚市12345政府服务热线平台监督管理办法&gt;的通知》（三府〔2017〕332号）</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3.《中共三亚市委办公室 三亚市人民政府办公室关于印发&lt;吉阳区机构改革方案&gt;的通知》（三办发〔2019〕13号）</w:t>
            </w:r>
          </w:p>
          <w:p>
            <w:pPr>
              <w:spacing w:line="578" w:lineRule="exact"/>
              <w:jc w:val="both"/>
              <w:rPr>
                <w:rFonts w:hint="default" w:ascii="Times New Roman" w:hAnsi="Times New Roman" w:eastAsia="仿宋_GB2312" w:cs="Times New Roman"/>
                <w:b w:val="0"/>
                <w:bCs w:val="0"/>
                <w:sz w:val="24"/>
                <w:szCs w:val="24"/>
                <w:vertAlign w:val="baseline"/>
                <w:lang w:val="en-US" w:eastAsia="zh-CN"/>
              </w:rPr>
            </w:pPr>
          </w:p>
        </w:tc>
        <w:tc>
          <w:tcPr>
            <w:tcW w:w="1905" w:type="dxa"/>
            <w:vMerge w:val="restart"/>
            <w:vAlign w:val="center"/>
          </w:tcPr>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某工单咨询三亚市吉阳区教师资格认定体检表在哪里打印的问题：</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该业务职能已从区教育局划转到区审批局，故该工单由区审批局负责回复；</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关于投诉吉阳区政务中心窗口工作人员服务态度差等相关的问题：</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区政务中心负责政务大厅窗口工作人员服务态度、工作效能的政务服务管理工作，该工单由区政务中心负责回复；</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3.某工单投诉吉阳区政府政务中心工作人员故意刁难拒绝给市民补办结婚证的问题：婚姻登记业务在政务大厅办理，但办理业务工作人员属于区民政局，且审批权限在区民政局，故该工作应由区民政局进行回复。</w:t>
            </w:r>
          </w:p>
          <w:p>
            <w:pPr>
              <w:spacing w:line="578" w:lineRule="exact"/>
              <w:jc w:val="both"/>
              <w:rPr>
                <w:rFonts w:hint="eastAsia"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trPr>
        <w:tc>
          <w:tcPr>
            <w:tcW w:w="870" w:type="dxa"/>
            <w:vMerge w:val="continue"/>
            <w:vAlign w:val="center"/>
          </w:tcPr>
          <w:p>
            <w:pPr>
              <w:spacing w:line="578" w:lineRule="exact"/>
              <w:jc w:val="center"/>
              <w:rPr>
                <w:rFonts w:hint="eastAsia" w:ascii="仿宋_GB2312" w:hAnsi="仿宋_GB2312" w:eastAsia="仿宋_GB2312" w:cs="仿宋_GB2312"/>
                <w:sz w:val="24"/>
                <w:szCs w:val="24"/>
              </w:rPr>
            </w:pPr>
          </w:p>
        </w:tc>
        <w:tc>
          <w:tcPr>
            <w:tcW w:w="1545" w:type="dxa"/>
            <w:vMerge w:val="continue"/>
            <w:vAlign w:val="center"/>
          </w:tcPr>
          <w:p>
            <w:pPr>
              <w:spacing w:line="578" w:lineRule="exact"/>
              <w:rPr>
                <w:rFonts w:hint="eastAsia" w:ascii="仿宋_GB2312" w:hAnsi="仿宋_GB2312" w:eastAsia="仿宋_GB2312" w:cs="仿宋_GB2312"/>
                <w:sz w:val="24"/>
                <w:szCs w:val="24"/>
              </w:rPr>
            </w:pPr>
          </w:p>
        </w:tc>
        <w:tc>
          <w:tcPr>
            <w:tcW w:w="1980" w:type="dxa"/>
            <w:vAlign w:val="center"/>
          </w:tcPr>
          <w:p>
            <w:pPr>
              <w:keepNext w:val="0"/>
              <w:keepLines w:val="0"/>
              <w:widowControl/>
              <w:suppressLineNumbers w:val="0"/>
              <w:wordWrap w:val="0"/>
              <w:spacing w:before="0" w:beforeAutospacing="0" w:after="0" w:afterAutospacing="0"/>
              <w:ind w:right="0" w:rightChars="0"/>
              <w:jc w:val="both"/>
              <w:rPr>
                <w:rFonts w:hint="eastAsia" w:ascii="仿宋_GB2312" w:hAnsi="仿宋_GB2312" w:eastAsia="仿宋_GB2312" w:cs="仿宋_GB2312"/>
                <w:b w:val="0"/>
                <w:bCs/>
                <w:color w:val="auto"/>
                <w:kern w:val="0"/>
                <w:sz w:val="24"/>
                <w:szCs w:val="24"/>
                <w:shd w:val="clear" w:color="auto" w:fill="auto"/>
                <w:lang w:val="en-US" w:eastAsia="zh-CN"/>
              </w:rPr>
            </w:pPr>
            <w:r>
              <w:rPr>
                <w:rFonts w:hint="eastAsia" w:ascii="仿宋_GB2312" w:hAnsi="仿宋_GB2312" w:eastAsia="仿宋_GB2312" w:cs="仿宋_GB2312"/>
                <w:kern w:val="0"/>
                <w:sz w:val="24"/>
                <w:szCs w:val="24"/>
                <w:u w:val="none"/>
                <w:shd w:val="clear" w:color="auto" w:fill="FFFFFF"/>
                <w:vertAlign w:val="baseline"/>
                <w:lang w:val="en-US" w:eastAsia="zh-CN"/>
              </w:rPr>
              <w:t>进驻政务大厅各相关职能单位</w:t>
            </w:r>
          </w:p>
        </w:tc>
        <w:tc>
          <w:tcPr>
            <w:tcW w:w="1905" w:type="dxa"/>
            <w:vAlign w:val="center"/>
          </w:tcPr>
          <w:p>
            <w:pPr>
              <w:keepNext w:val="0"/>
              <w:keepLines w:val="0"/>
              <w:widowControl/>
              <w:numPr>
                <w:ilvl w:val="0"/>
                <w:numId w:val="1"/>
              </w:numPr>
              <w:suppressLineNumbers w:val="0"/>
              <w:tabs>
                <w:tab w:val="left" w:pos="312"/>
              </w:tabs>
              <w:wordWrap w:val="0"/>
              <w:spacing w:before="0" w:beforeAutospacing="0" w:after="0" w:afterAutospacing="0"/>
              <w:ind w:right="0" w:rightChars="0"/>
              <w:jc w:val="both"/>
              <w:rPr>
                <w:rFonts w:hint="eastAsia" w:ascii="仿宋_GB2312" w:hAnsi="仿宋_GB2312" w:eastAsia="仿宋_GB2312" w:cs="仿宋_GB2312"/>
                <w:b w:val="0"/>
                <w:bCs/>
                <w:color w:val="auto"/>
                <w:kern w:val="0"/>
                <w:sz w:val="24"/>
                <w:szCs w:val="24"/>
                <w:shd w:val="clear" w:color="auto" w:fill="auto"/>
                <w:lang w:val="en-US" w:eastAsia="zh-CN"/>
              </w:rPr>
            </w:pPr>
            <w:r>
              <w:rPr>
                <w:rFonts w:hint="eastAsia" w:ascii="仿宋_GB2312" w:hAnsi="仿宋_GB2312" w:eastAsia="仿宋_GB2312" w:cs="仿宋_GB2312"/>
                <w:kern w:val="0"/>
                <w:sz w:val="24"/>
                <w:szCs w:val="24"/>
                <w:u w:val="none"/>
                <w:shd w:val="clear" w:color="auto" w:fill="FFFFFF"/>
                <w:vertAlign w:val="baseline"/>
                <w:lang w:val="en-US" w:eastAsia="zh-CN"/>
              </w:rPr>
              <w:t>负责本单位职责范围内行政审批服务事项的12345热线工单及信访投诉件。</w:t>
            </w:r>
          </w:p>
        </w:tc>
        <w:tc>
          <w:tcPr>
            <w:tcW w:w="1725" w:type="dxa"/>
            <w:vMerge w:val="continue"/>
            <w:vAlign w:val="center"/>
          </w:tcPr>
          <w:p>
            <w:pPr>
              <w:keepNext w:val="0"/>
              <w:keepLines w:val="0"/>
              <w:widowControl/>
              <w:suppressLineNumbers w:val="0"/>
              <w:wordWrap w:val="0"/>
              <w:spacing w:before="0" w:beforeAutospacing="0" w:after="0" w:afterAutospacing="0"/>
              <w:ind w:right="0" w:rightChars="0"/>
              <w:jc w:val="center"/>
              <w:rPr>
                <w:rFonts w:hint="eastAsia" w:ascii="仿宋_GB2312" w:hAnsi="仿宋_GB2312" w:eastAsia="仿宋_GB2312" w:cs="仿宋_GB2312"/>
                <w:sz w:val="24"/>
                <w:szCs w:val="24"/>
              </w:rPr>
            </w:pPr>
          </w:p>
        </w:tc>
        <w:tc>
          <w:tcPr>
            <w:tcW w:w="1905" w:type="dxa"/>
            <w:vMerge w:val="continue"/>
            <w:vAlign w:val="center"/>
          </w:tcPr>
          <w:p>
            <w:pPr>
              <w:keepNext w:val="0"/>
              <w:keepLines w:val="0"/>
              <w:widowControl/>
              <w:suppressLineNumbers w:val="0"/>
              <w:wordWrap w:val="0"/>
              <w:spacing w:before="0" w:beforeAutospacing="0" w:after="0" w:afterAutospacing="0"/>
              <w:ind w:right="0" w:rightChars="0"/>
              <w:jc w:val="center"/>
              <w:rPr>
                <w:rFonts w:hint="eastAsia" w:ascii="仿宋_GB2312" w:hAnsi="仿宋_GB2312" w:eastAsia="仿宋_GB2312" w:cs="仿宋_GB2312"/>
                <w:sz w:val="24"/>
                <w:szCs w:val="24"/>
              </w:rPr>
            </w:pPr>
          </w:p>
        </w:tc>
      </w:tr>
    </w:tbl>
    <w:p>
      <w:pPr>
        <w:pStyle w:val="2"/>
        <w:rPr>
          <w:rFonts w:hint="eastAsia" w:ascii="仿宋_GB2312" w:hAnsi="仿宋_GB2312" w:eastAsia="仿宋_GB2312" w:cs="仿宋_GB2312"/>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rPr>
      </w:pPr>
      <w:r>
        <w:rPr>
          <w:rFonts w:hint="eastAsia" w:ascii="黑体" w:hAnsi="黑体" w:eastAsia="黑体" w:cs="黑体"/>
          <w:kern w:val="0"/>
          <w:sz w:val="32"/>
          <w:szCs w:val="32"/>
          <w:u w:val="none"/>
          <w:shd w:val="clear" w:color="auto" w:fill="FFFFFF"/>
          <w:lang w:val="en-US" w:eastAsia="zh-CN" w:bidi="ar"/>
        </w:rPr>
        <w:t>三、事中事后监管制度（无）</w:t>
      </w: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center"/>
        <w:rPr>
          <w:rFonts w:hint="eastAsia" w:ascii="黑体" w:hAnsi="黑体" w:eastAsia="黑体" w:cs="黑体"/>
          <w:kern w:val="0"/>
          <w:sz w:val="32"/>
          <w:szCs w:val="32"/>
          <w:u w:val="none"/>
          <w:shd w:val="clear" w:color="auto" w:fill="FFFFFF"/>
          <w:lang w:val="en-US" w:eastAsia="zh-CN" w:bidi="ar"/>
        </w:rPr>
      </w:pPr>
      <w:r>
        <w:rPr>
          <w:rFonts w:hint="eastAsia" w:ascii="黑体" w:hAnsi="黑体" w:eastAsia="黑体" w:cs="黑体"/>
          <w:kern w:val="0"/>
          <w:sz w:val="32"/>
          <w:szCs w:val="32"/>
          <w:u w:val="none"/>
          <w:shd w:val="clear" w:color="auto" w:fill="FFFFFF"/>
          <w:lang w:val="en-US" w:eastAsia="zh-CN" w:bidi="ar"/>
        </w:rPr>
        <w:t>公共服务事项</w:t>
      </w:r>
    </w:p>
    <w:tbl>
      <w:tblPr>
        <w:tblStyle w:val="9"/>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8"/>
        <w:gridCol w:w="2910"/>
        <w:gridCol w:w="190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75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序号</w:t>
            </w:r>
          </w:p>
        </w:tc>
        <w:tc>
          <w:tcPr>
            <w:tcW w:w="198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服务事项</w:t>
            </w:r>
          </w:p>
        </w:tc>
        <w:tc>
          <w:tcPr>
            <w:tcW w:w="29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主要内容</w:t>
            </w:r>
          </w:p>
        </w:tc>
        <w:tc>
          <w:tcPr>
            <w:tcW w:w="190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承办机构</w:t>
            </w:r>
          </w:p>
        </w:tc>
        <w:tc>
          <w:tcPr>
            <w:tcW w:w="169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baseline"/>
              <w:rPr>
                <w:rFonts w:hint="default" w:ascii="仿宋_GB2312" w:hAnsi="微软雅黑" w:eastAsia="仿宋_GB2312" w:cs="仿宋_GB2312"/>
                <w:b/>
                <w:bCs/>
                <w:kern w:val="0"/>
                <w:sz w:val="28"/>
                <w:szCs w:val="28"/>
                <w:vertAlign w:val="baseline"/>
                <w:lang w:val="en-US" w:eastAsia="zh-CN" w:bidi="ar"/>
              </w:rPr>
            </w:pPr>
            <w:r>
              <w:rPr>
                <w:rFonts w:hint="eastAsia" w:ascii="仿宋_GB2312" w:hAnsi="微软雅黑" w:eastAsia="仿宋_GB2312" w:cs="仿宋_GB2312"/>
                <w:b/>
                <w:bCs/>
                <w:kern w:val="0"/>
                <w:sz w:val="28"/>
                <w:szCs w:val="28"/>
                <w:vertAlign w:val="baseli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民办非企业单位登记证书补发</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为民办非企业单位登记证书遗失、过期提供受理。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民办非企业单位登记证书换发</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为民办非企业单位登记证书损毁或有效期到期提供受理。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社会团体登记证书换发</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为社会团体登记证书损毁或有效期到期提供受理。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社会团体名称预先核准</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对成立社会组织的名称实行预先核准。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民办非企业单位名称预先核准</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对成立民办非企业单位的名称实行预先核准。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民办非企业单位印章备案</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为民办非企业单位印章产生变动提供受理。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社会团体银行账户备案</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为社会团体银行账户产生变动提供受理。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社会团体印章备案</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为社会团体印章产生变动提供受理。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民办非企业单位银行账户备案</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为民办非企业单位银行账户产生变动提供受理。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出版物零售场所到期换证</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对出版物经营许可证有效期届满需要申请延续的提供受理。</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三亚市吉阳区行政审批服务局</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88656293</w:t>
            </w:r>
          </w:p>
        </w:tc>
      </w:tr>
    </w:tbl>
    <w:p>
      <w:pPr>
        <w:pStyle w:val="2"/>
        <w:numPr>
          <w:ilvl w:val="0"/>
          <w:numId w:val="0"/>
        </w:numPr>
        <w:tabs>
          <w:tab w:val="clear" w:pos="312"/>
        </w:tabs>
        <w:rPr>
          <w:rFonts w:hint="default"/>
        </w:rPr>
      </w:pPr>
    </w:p>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42214121">
    <w:nsid w:val="AF5E9FE9"/>
    <w:multiLevelType w:val="singleLevel"/>
    <w:tmpl w:val="AF5E9FE9"/>
    <w:lvl w:ilvl="0" w:tentative="1">
      <w:start w:val="4"/>
      <w:numFmt w:val="chineseCounting"/>
      <w:suff w:val="nothing"/>
      <w:lvlText w:val="%1、"/>
      <w:lvlJc w:val="left"/>
      <w:rPr>
        <w:rFonts w:hint="eastAsia"/>
      </w:rPr>
    </w:lvl>
  </w:abstractNum>
  <w:abstractNum w:abstractNumId="756690611">
    <w:nsid w:val="2D1A2EB3"/>
    <w:multiLevelType w:val="singleLevel"/>
    <w:tmpl w:val="2D1A2EB3"/>
    <w:lvl w:ilvl="0" w:tentative="1">
      <w:start w:val="1"/>
      <w:numFmt w:val="decimal"/>
      <w:lvlText w:val="%1."/>
      <w:lvlJc w:val="left"/>
      <w:pPr>
        <w:tabs>
          <w:tab w:val="left" w:pos="312"/>
        </w:tabs>
      </w:pPr>
    </w:lvl>
  </w:abstractNum>
  <w:num w:numId="1">
    <w:abstractNumId w:val="756690611"/>
  </w:num>
  <w:num w:numId="2">
    <w:abstractNumId w:val="2942214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5B307E"/>
    <w:rsid w:val="01546A5A"/>
    <w:rsid w:val="038C1C4C"/>
    <w:rsid w:val="04046400"/>
    <w:rsid w:val="04D84057"/>
    <w:rsid w:val="05F97E29"/>
    <w:rsid w:val="066B1319"/>
    <w:rsid w:val="06970489"/>
    <w:rsid w:val="08EF55B8"/>
    <w:rsid w:val="0BB005D6"/>
    <w:rsid w:val="115C410F"/>
    <w:rsid w:val="12F81701"/>
    <w:rsid w:val="167F66A6"/>
    <w:rsid w:val="19006D44"/>
    <w:rsid w:val="19CC140B"/>
    <w:rsid w:val="19FB65B5"/>
    <w:rsid w:val="1A7E6B05"/>
    <w:rsid w:val="1ABB268D"/>
    <w:rsid w:val="1D9C4C7C"/>
    <w:rsid w:val="1E14315F"/>
    <w:rsid w:val="1EC53339"/>
    <w:rsid w:val="1F576EA3"/>
    <w:rsid w:val="23082725"/>
    <w:rsid w:val="2580175F"/>
    <w:rsid w:val="26125CFE"/>
    <w:rsid w:val="26C638A9"/>
    <w:rsid w:val="27B6002E"/>
    <w:rsid w:val="2879640A"/>
    <w:rsid w:val="295D2A57"/>
    <w:rsid w:val="2A153C94"/>
    <w:rsid w:val="2B4757D2"/>
    <w:rsid w:val="2C74066E"/>
    <w:rsid w:val="2D9C2201"/>
    <w:rsid w:val="2E8A5A97"/>
    <w:rsid w:val="307916BF"/>
    <w:rsid w:val="31054F6A"/>
    <w:rsid w:val="311046DA"/>
    <w:rsid w:val="3289357E"/>
    <w:rsid w:val="34191179"/>
    <w:rsid w:val="34F71425"/>
    <w:rsid w:val="36934425"/>
    <w:rsid w:val="3AEB2DD4"/>
    <w:rsid w:val="3B456F71"/>
    <w:rsid w:val="3F961CCC"/>
    <w:rsid w:val="415F09FC"/>
    <w:rsid w:val="424372E0"/>
    <w:rsid w:val="450C6CBA"/>
    <w:rsid w:val="46645C30"/>
    <w:rsid w:val="47FE10BE"/>
    <w:rsid w:val="48CF2C82"/>
    <w:rsid w:val="4968669E"/>
    <w:rsid w:val="49BD6B49"/>
    <w:rsid w:val="4AA80BD0"/>
    <w:rsid w:val="4E9A6B42"/>
    <w:rsid w:val="4FC0348D"/>
    <w:rsid w:val="50E33898"/>
    <w:rsid w:val="51FA7785"/>
    <w:rsid w:val="53484562"/>
    <w:rsid w:val="538A6088"/>
    <w:rsid w:val="54D71B34"/>
    <w:rsid w:val="558636C1"/>
    <w:rsid w:val="575C11CA"/>
    <w:rsid w:val="57C51086"/>
    <w:rsid w:val="5A3203AE"/>
    <w:rsid w:val="5EF33294"/>
    <w:rsid w:val="602A37A0"/>
    <w:rsid w:val="609229C3"/>
    <w:rsid w:val="618528DD"/>
    <w:rsid w:val="61EC77DF"/>
    <w:rsid w:val="623251DF"/>
    <w:rsid w:val="62C40281"/>
    <w:rsid w:val="63B75454"/>
    <w:rsid w:val="685C1E23"/>
    <w:rsid w:val="693A0DC0"/>
    <w:rsid w:val="6AC00F08"/>
    <w:rsid w:val="6AD5029E"/>
    <w:rsid w:val="6B4B322B"/>
    <w:rsid w:val="6FE713CB"/>
    <w:rsid w:val="70746E88"/>
    <w:rsid w:val="713820A0"/>
    <w:rsid w:val="71F90C46"/>
    <w:rsid w:val="73F47604"/>
    <w:rsid w:val="74283E20"/>
    <w:rsid w:val="75DC31CD"/>
    <w:rsid w:val="78AC6FD9"/>
    <w:rsid w:val="7A4F4F66"/>
    <w:rsid w:val="7CFA3218"/>
    <w:rsid w:val="7E434DFB"/>
    <w:rsid w:val="7FBA2C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TotalTime>0</TotalTime>
  <ScaleCrop>false</ScaleCrop>
  <LinksUpToDate>false</LinksUpToDate>
  <CharactersWithSpaces>21156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Administrator</cp:lastModifiedBy>
  <cp:lastPrinted>2021-06-29T01:50:00Z</cp:lastPrinted>
  <dcterms:modified xsi:type="dcterms:W3CDTF">2023-04-19T03:23:10Z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817AF8C7B59242279B52D0053B9B4BDC</vt:lpwstr>
  </property>
</Properties>
</file>