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方正小标宋简体" w:hAnsi="方正小标宋简体" w:eastAsia="方正小标宋简体" w:cs="方正小标宋简体"/>
          <w:b w:val="0"/>
          <w:i w:val="0"/>
          <w:caps w:val="0"/>
          <w:color w:val="000000"/>
          <w:spacing w:val="0"/>
          <w:kern w:val="0"/>
          <w:sz w:val="44"/>
          <w:szCs w:val="44"/>
          <w:shd w:val="clear" w:fill="FFFFFF"/>
          <w:vertAlign w:val="baseline"/>
          <w:lang w:val="en-US" w:eastAsia="zh-CN" w:bidi="ar"/>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vertAlign w:val="baseline"/>
          <w:lang w:val="en-US" w:eastAsia="zh-CN" w:bidi="ar"/>
        </w:rPr>
        <w:t>三亚市吉阳区人民政府办公室（信访局、外事办公室、海防办公室）责任清单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3900" w:firstLineChars="1300"/>
        <w:jc w:val="both"/>
        <w:textAlignment w:val="baseline"/>
        <w:rPr>
          <w:rFonts w:ascii="黑体" w:hAnsi="宋体" w:eastAsia="黑体" w:cs="黑体"/>
          <w:b w:val="0"/>
          <w:i w:val="0"/>
          <w:caps w:val="0"/>
          <w:color w:val="000000"/>
          <w:spacing w:val="0"/>
          <w:kern w:val="0"/>
          <w:sz w:val="30"/>
          <w:szCs w:val="30"/>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3900" w:firstLineChars="1300"/>
        <w:jc w:val="both"/>
        <w:textAlignment w:val="baseline"/>
        <w:rPr>
          <w:rFonts w:ascii="黑体" w:hAnsi="宋体" w:eastAsia="黑体" w:cs="黑体"/>
          <w:b w:val="0"/>
          <w:i w:val="0"/>
          <w:caps w:val="0"/>
          <w:color w:val="000000"/>
          <w:spacing w:val="0"/>
          <w:kern w:val="0"/>
          <w:sz w:val="30"/>
          <w:szCs w:val="30"/>
          <w:shd w:val="clear" w:fill="FFFFFF"/>
          <w:vertAlign w:val="baseline"/>
          <w:lang w:val="en-US" w:eastAsia="zh-CN" w:bidi="ar"/>
        </w:rPr>
      </w:pPr>
      <w:r>
        <w:rPr>
          <w:rFonts w:ascii="黑体" w:hAnsi="宋体" w:eastAsia="黑体" w:cs="黑体"/>
          <w:b w:val="0"/>
          <w:i w:val="0"/>
          <w:caps w:val="0"/>
          <w:color w:val="000000"/>
          <w:spacing w:val="0"/>
          <w:kern w:val="0"/>
          <w:sz w:val="30"/>
          <w:szCs w:val="30"/>
          <w:shd w:val="clear" w:fill="FFFFFF"/>
          <w:vertAlign w:val="baseline"/>
          <w:lang w:val="en-US" w:eastAsia="zh-CN" w:bidi="ar"/>
        </w:rPr>
        <w:t>目</w:t>
      </w:r>
      <w:r>
        <w:rPr>
          <w:rFonts w:hint="eastAsia" w:ascii="黑体" w:hAnsi="宋体" w:eastAsia="黑体" w:cs="黑体"/>
          <w:b w:val="0"/>
          <w:i w:val="0"/>
          <w:caps w:val="0"/>
          <w:color w:val="000000"/>
          <w:spacing w:val="0"/>
          <w:kern w:val="0"/>
          <w:sz w:val="30"/>
          <w:szCs w:val="30"/>
          <w:shd w:val="clear" w:fill="FFFFFF"/>
          <w:vertAlign w:val="baseline"/>
          <w:lang w:val="en-US" w:eastAsia="zh-CN" w:bidi="ar"/>
        </w:rPr>
        <w:t xml:space="preserve"> </w:t>
      </w:r>
      <w:r>
        <w:rPr>
          <w:rFonts w:ascii="黑体" w:hAnsi="宋体" w:eastAsia="黑体" w:cs="黑体"/>
          <w:b w:val="0"/>
          <w:i w:val="0"/>
          <w:caps w:val="0"/>
          <w:color w:val="000000"/>
          <w:spacing w:val="0"/>
          <w:kern w:val="0"/>
          <w:sz w:val="30"/>
          <w:szCs w:val="30"/>
          <w:shd w:val="clear" w:fill="FFFFFF"/>
          <w:vertAlign w:val="baseline"/>
          <w:lang w:val="en-US" w:eastAsia="zh-CN" w:bidi="ar"/>
        </w:rPr>
        <w:t xml:space="preserve"> </w:t>
      </w:r>
      <w:r>
        <w:rPr>
          <w:rFonts w:hint="eastAsia" w:ascii="黑体" w:hAnsi="宋体" w:eastAsia="黑体" w:cs="黑体"/>
          <w:b w:val="0"/>
          <w:i w:val="0"/>
          <w:caps w:val="0"/>
          <w:color w:val="000000"/>
          <w:spacing w:val="0"/>
          <w:kern w:val="0"/>
          <w:sz w:val="30"/>
          <w:szCs w:val="30"/>
          <w:shd w:val="clear" w:fill="FFFFFF"/>
          <w:vertAlign w:val="baseline"/>
          <w:lang w:val="en-US" w:eastAsia="zh-CN" w:bidi="ar"/>
        </w:rPr>
        <w:t xml:space="preserve"> </w:t>
      </w:r>
      <w:r>
        <w:rPr>
          <w:rFonts w:ascii="黑体" w:hAnsi="宋体" w:eastAsia="黑体" w:cs="黑体"/>
          <w:b w:val="0"/>
          <w:i w:val="0"/>
          <w:caps w:val="0"/>
          <w:color w:val="000000"/>
          <w:spacing w:val="0"/>
          <w:kern w:val="0"/>
          <w:sz w:val="30"/>
          <w:szCs w:val="30"/>
          <w:shd w:val="clear" w:fill="FFFFFF"/>
          <w:vertAlign w:val="baseline"/>
          <w:lang w:val="en-US" w:eastAsia="zh-CN" w:bidi="ar"/>
        </w:rPr>
        <w:t>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00"/>
        <w:jc w:val="center"/>
        <w:textAlignment w:val="baseline"/>
        <w:rPr>
          <w:rFonts w:hint="eastAsia" w:ascii="黑体" w:hAnsi="宋体" w:eastAsia="黑体" w:cs="黑体"/>
          <w:b w:val="0"/>
          <w:i w:val="0"/>
          <w:caps w:val="0"/>
          <w:color w:val="000000"/>
          <w:spacing w:val="0"/>
          <w:kern w:val="0"/>
          <w:sz w:val="30"/>
          <w:szCs w:val="30"/>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left"/>
        <w:textAlignment w:val="baseline"/>
        <w:rPr>
          <w:rFonts w:hint="eastAsia" w:ascii="微软雅黑" w:hAnsi="微软雅黑" w:eastAsia="微软雅黑" w:cs="微软雅黑"/>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一、部门职责登记表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left"/>
        <w:textAlignment w:val="baseline"/>
        <w:rPr>
          <w:rFonts w:hint="eastAsia" w:ascii="微软雅黑" w:hAnsi="微软雅黑" w:eastAsia="微软雅黑" w:cs="微软雅黑"/>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二、与相关部门的职责边界登记表（无）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left"/>
        <w:textAlignment w:val="baseline"/>
        <w:rPr>
          <w:rFonts w:hint="default"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三、事中事后监管制度(无)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left"/>
        <w:textAlignment w:val="baseline"/>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四、公共服务事项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pStyle w:val="2"/>
        <w:rPr>
          <w:rFonts w:hint="eastAsia"/>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center"/>
        <w:textAlignment w:val="baseline"/>
        <w:rPr>
          <w:rFonts w:hint="default"/>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一、部门职责登记表</w:t>
      </w:r>
    </w:p>
    <w:tbl>
      <w:tblPr>
        <w:tblStyle w:val="9"/>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3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2530"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主要职责</w:t>
            </w:r>
          </w:p>
        </w:tc>
        <w:tc>
          <w:tcPr>
            <w:tcW w:w="5935"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530" w:type="dxa"/>
            <w:vMerge w:val="restart"/>
            <w:vAlign w:val="center"/>
          </w:tcPr>
          <w:p>
            <w:pPr>
              <w:spacing w:line="578" w:lineRule="exact"/>
              <w:jc w:val="both"/>
              <w:rPr>
                <w:rFonts w:hint="default" w:ascii="Times New Roman" w:hAnsi="Times New Roman" w:eastAsia="宋体" w:cs="Times New Roman"/>
                <w:sz w:val="21"/>
                <w:szCs w:val="24"/>
              </w:rPr>
            </w:pPr>
            <w:r>
              <w:rPr>
                <w:rFonts w:hint="default" w:ascii="Times New Roman" w:hAnsi="Times New Roman" w:eastAsia="仿宋_GB2312" w:cs="Times New Roman"/>
                <w:b w:val="0"/>
                <w:bCs w:val="0"/>
                <w:sz w:val="24"/>
                <w:szCs w:val="24"/>
                <w:vertAlign w:val="baseline"/>
                <w:lang w:val="en-US" w:eastAsia="zh-CN"/>
              </w:rPr>
              <w:t>贯彻落实党和国家、省市的方针政策、法律法规，执行市委市政府、区委区政府的决策部署和中国(海南)自由贸易试验区、中国特色自由贸易港的政策措施。</w:t>
            </w:r>
          </w:p>
        </w:tc>
        <w:tc>
          <w:tcPr>
            <w:tcW w:w="5935" w:type="dxa"/>
            <w:vAlign w:val="center"/>
          </w:tcPr>
          <w:p>
            <w:pPr>
              <w:spacing w:line="578" w:lineRule="exact"/>
              <w:jc w:val="both"/>
              <w:rPr>
                <w:rFonts w:hint="default" w:ascii="Times New Roman" w:hAnsi="Times New Roman" w:eastAsia="宋体" w:cs="Times New Roman"/>
                <w:sz w:val="21"/>
                <w:szCs w:val="24"/>
              </w:rPr>
            </w:pPr>
            <w:r>
              <w:rPr>
                <w:rFonts w:hint="default" w:ascii="Times New Roman" w:hAnsi="Times New Roman" w:eastAsia="仿宋_GB2312" w:cs="Times New Roman"/>
                <w:b w:val="0"/>
                <w:bCs w:val="0"/>
                <w:sz w:val="24"/>
                <w:szCs w:val="24"/>
                <w:vertAlign w:val="baseline"/>
                <w:lang w:val="en-US" w:eastAsia="zh-CN"/>
              </w:rPr>
              <w:t>强化创新理论武装，树牢“四个意识”，坚定“四个自信”，坚决做到“两个维护”，贯彻落实党和国家、省市的方针政策、法律法规，执行市委</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市政府</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区委</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区政府的决策部署。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宋体" w:cs="Times New Roman"/>
                <w:sz w:val="21"/>
                <w:szCs w:val="24"/>
              </w:rPr>
            </w:pPr>
          </w:p>
        </w:tc>
        <w:tc>
          <w:tcPr>
            <w:tcW w:w="5935" w:type="dxa"/>
            <w:vAlign w:val="center"/>
          </w:tcPr>
          <w:p>
            <w:pPr>
              <w:spacing w:line="578" w:lineRule="exact"/>
              <w:jc w:val="both"/>
              <w:rPr>
                <w:rFonts w:hint="default" w:ascii="Times New Roman" w:hAnsi="Times New Roman" w:eastAsia="宋体" w:cs="Times New Roman"/>
                <w:sz w:val="21"/>
                <w:szCs w:val="24"/>
              </w:rPr>
            </w:pPr>
            <w:r>
              <w:rPr>
                <w:rFonts w:hint="default" w:ascii="Times New Roman" w:hAnsi="Times New Roman" w:eastAsia="仿宋_GB2312" w:cs="Times New Roman"/>
                <w:b w:val="0"/>
                <w:bCs w:val="0"/>
                <w:sz w:val="24"/>
                <w:szCs w:val="24"/>
                <w:vertAlign w:val="baseline"/>
                <w:lang w:val="en-US" w:eastAsia="zh-CN"/>
              </w:rPr>
              <w:t>督促协调各部门严格落实中国(海南)自由贸易试验区、中国特色自由贸易港的政策措施</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全面建设服务型政府、法制型政府，深化我区“放管服”改革，全面优化营商环境。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530" w:type="dxa"/>
            <w:vMerge w:val="restart"/>
            <w:vAlign w:val="center"/>
          </w:tcPr>
          <w:p>
            <w:pPr>
              <w:spacing w:line="578" w:lineRule="exact"/>
              <w:jc w:val="both"/>
              <w:rPr>
                <w:rFonts w:hint="default" w:ascii="Times New Roman" w:hAnsi="Times New Roman" w:eastAsia="宋体" w:cs="Times New Roman"/>
                <w:sz w:val="21"/>
                <w:szCs w:val="24"/>
              </w:rPr>
            </w:pPr>
            <w:r>
              <w:rPr>
                <w:rFonts w:hint="default" w:ascii="Times New Roman" w:hAnsi="Times New Roman" w:eastAsia="仿宋_GB2312" w:cs="Times New Roman"/>
                <w:b w:val="0"/>
                <w:bCs w:val="0"/>
                <w:color w:val="auto"/>
                <w:sz w:val="24"/>
                <w:szCs w:val="24"/>
                <w:vertAlign w:val="baseline"/>
                <w:lang w:val="en-US" w:eastAsia="zh-CN"/>
              </w:rPr>
              <w:t>围绕区政府的工作部署，开展调研、收集信息、反映情况、提出建议</w:t>
            </w:r>
            <w:r>
              <w:rPr>
                <w:rFonts w:hint="eastAsia"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当好区政府领导同志的参谋和助手。</w:t>
            </w:r>
          </w:p>
        </w:tc>
        <w:tc>
          <w:tcPr>
            <w:tcW w:w="5935" w:type="dxa"/>
            <w:vAlign w:val="center"/>
          </w:tcPr>
          <w:p>
            <w:pPr>
              <w:spacing w:line="578" w:lineRule="exact"/>
              <w:jc w:val="both"/>
              <w:rPr>
                <w:rFonts w:hint="default" w:ascii="Times New Roman" w:hAnsi="Times New Roman" w:eastAsia="宋体" w:cs="Times New Roman"/>
                <w:sz w:val="21"/>
                <w:szCs w:val="24"/>
              </w:rPr>
            </w:pPr>
            <w:r>
              <w:rPr>
                <w:rFonts w:hint="default" w:ascii="Times New Roman" w:hAnsi="Times New Roman" w:eastAsia="仿宋_GB2312" w:cs="Times New Roman"/>
                <w:b w:val="0"/>
                <w:bCs w:val="0"/>
                <w:color w:val="auto"/>
                <w:sz w:val="24"/>
                <w:szCs w:val="24"/>
                <w:vertAlign w:val="baseline"/>
                <w:lang w:val="en-US" w:eastAsia="zh-CN"/>
              </w:rPr>
              <w:t>围绕区政府工作部署，负责对各项工作进行梳理研究，创建并完善利于高效协同的管理体系。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宋体" w:cs="Times New Roman"/>
                <w:sz w:val="21"/>
                <w:szCs w:val="24"/>
              </w:rPr>
            </w:pPr>
          </w:p>
        </w:tc>
        <w:tc>
          <w:tcPr>
            <w:tcW w:w="5935" w:type="dxa"/>
            <w:vAlign w:val="center"/>
          </w:tcPr>
          <w:p>
            <w:pPr>
              <w:spacing w:line="578" w:lineRule="exact"/>
              <w:jc w:val="both"/>
              <w:rPr>
                <w:rFonts w:hint="default" w:ascii="Times New Roman" w:hAnsi="Times New Roman" w:eastAsia="宋体" w:cs="Times New Roman"/>
                <w:sz w:val="21"/>
                <w:szCs w:val="24"/>
              </w:rPr>
            </w:pPr>
            <w:r>
              <w:rPr>
                <w:rFonts w:hint="default" w:ascii="Times New Roman" w:hAnsi="Times New Roman" w:eastAsia="仿宋_GB2312" w:cs="Times New Roman"/>
                <w:b w:val="0"/>
                <w:bCs w:val="0"/>
                <w:color w:val="auto"/>
                <w:sz w:val="24"/>
                <w:szCs w:val="24"/>
                <w:vertAlign w:val="baseline"/>
                <w:lang w:val="en-US" w:eastAsia="zh-CN"/>
              </w:rPr>
              <w:t>围绕区政府的重大决策、重要改革、重点工作开展专题调研，客观公正地掌握各项工作运行状态，落实信息报送细则，规范信息上报程序，做好信息工作。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宋体" w:cs="Times New Roman"/>
                <w:sz w:val="21"/>
                <w:szCs w:val="24"/>
              </w:rPr>
            </w:pPr>
          </w:p>
        </w:tc>
        <w:tc>
          <w:tcPr>
            <w:tcW w:w="5935" w:type="dxa"/>
            <w:vAlign w:val="center"/>
          </w:tcPr>
          <w:p>
            <w:pPr>
              <w:spacing w:line="578" w:lineRule="exact"/>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提出贯彻落实、促进改革、推进工作的政策措施，为区政府领导提供决策参考。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宋体" w:cs="Times New Roman"/>
                <w:sz w:val="21"/>
                <w:szCs w:val="24"/>
              </w:rPr>
            </w:pPr>
          </w:p>
        </w:tc>
        <w:tc>
          <w:tcPr>
            <w:tcW w:w="5935" w:type="dxa"/>
            <w:vAlign w:val="center"/>
          </w:tcPr>
          <w:p>
            <w:pPr>
              <w:spacing w:line="578" w:lineRule="exact"/>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负责</w:t>
            </w:r>
            <w:r>
              <w:rPr>
                <w:rFonts w:hint="eastAsia" w:eastAsia="仿宋_GB2312" w:cs="Times New Roman"/>
                <w:b w:val="0"/>
                <w:bCs w:val="0"/>
                <w:color w:val="auto"/>
                <w:sz w:val="24"/>
                <w:szCs w:val="24"/>
                <w:vertAlign w:val="baseline"/>
                <w:lang w:val="en-US" w:eastAsia="zh-CN"/>
              </w:rPr>
              <w:t>区长、副区长</w:t>
            </w:r>
            <w:r>
              <w:rPr>
                <w:rFonts w:hint="eastAsia" w:ascii="Times New Roman" w:hAnsi="Times New Roman" w:eastAsia="仿宋_GB2312" w:cs="Times New Roman"/>
                <w:b w:val="0"/>
                <w:bCs w:val="0"/>
                <w:color w:val="auto"/>
                <w:sz w:val="24"/>
                <w:szCs w:val="24"/>
                <w:vertAlign w:val="baseline"/>
                <w:lang w:val="en-US" w:eastAsia="zh-CN"/>
              </w:rPr>
              <w:t>的文电办理</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日常工作</w:t>
            </w:r>
            <w:r>
              <w:rPr>
                <w:rFonts w:hint="eastAsia" w:eastAsia="仿宋_GB2312" w:cs="Times New Roman"/>
                <w:b w:val="0"/>
                <w:bCs w:val="0"/>
                <w:color w:val="auto"/>
                <w:sz w:val="24"/>
                <w:szCs w:val="24"/>
                <w:vertAlign w:val="baseline"/>
                <w:lang w:val="en-US" w:eastAsia="zh-CN"/>
              </w:rPr>
              <w:t>、和调研</w:t>
            </w:r>
            <w:r>
              <w:rPr>
                <w:rFonts w:hint="eastAsia" w:ascii="Times New Roman" w:hAnsi="Times New Roman" w:eastAsia="仿宋_GB2312" w:cs="Times New Roman"/>
                <w:b w:val="0"/>
                <w:bCs w:val="0"/>
                <w:color w:val="auto"/>
                <w:sz w:val="24"/>
                <w:szCs w:val="24"/>
                <w:vertAlign w:val="baseline"/>
                <w:lang w:val="en-US" w:eastAsia="zh-CN"/>
              </w:rPr>
              <w:t>的服务协调安排工作</w:t>
            </w:r>
            <w:r>
              <w:rPr>
                <w:rFonts w:hint="eastAsia" w:eastAsia="仿宋_GB2312" w:cs="Times New Roman"/>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宋体" w:cs="Times New Roman"/>
                <w:sz w:val="21"/>
                <w:szCs w:val="24"/>
              </w:rPr>
            </w:pPr>
          </w:p>
        </w:tc>
        <w:tc>
          <w:tcPr>
            <w:tcW w:w="5935" w:type="dxa"/>
            <w:vAlign w:val="center"/>
          </w:tcPr>
          <w:p>
            <w:pPr>
              <w:spacing w:line="578" w:lineRule="exact"/>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完成</w:t>
            </w:r>
            <w:r>
              <w:rPr>
                <w:rFonts w:hint="eastAsia" w:eastAsia="仿宋_GB2312" w:cs="Times New Roman"/>
                <w:b w:val="0"/>
                <w:bCs w:val="0"/>
                <w:color w:val="auto"/>
                <w:sz w:val="24"/>
                <w:szCs w:val="24"/>
                <w:vertAlign w:val="baseline"/>
                <w:lang w:val="en-US" w:eastAsia="zh-CN"/>
              </w:rPr>
              <w:t>区长、副区长</w:t>
            </w:r>
            <w:r>
              <w:rPr>
                <w:rFonts w:hint="eastAsia" w:ascii="Times New Roman" w:hAnsi="Times New Roman" w:eastAsia="仿宋_GB2312" w:cs="Times New Roman"/>
                <w:b w:val="0"/>
                <w:bCs w:val="0"/>
                <w:color w:val="auto"/>
                <w:sz w:val="24"/>
                <w:szCs w:val="24"/>
                <w:vertAlign w:val="baseline"/>
                <w:lang w:val="en-US" w:eastAsia="zh-CN"/>
              </w:rPr>
              <w:t>交办的其他工作任务。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530" w:type="dxa"/>
            <w:vMerge w:val="restart"/>
            <w:vAlign w:val="center"/>
          </w:tcPr>
          <w:p>
            <w:pPr>
              <w:spacing w:line="578" w:lineRule="exact"/>
              <w:jc w:val="both"/>
              <w:rPr>
                <w:rFonts w:hint="default" w:ascii="Times New Roman" w:hAnsi="Times New Roman" w:eastAsia="宋体" w:cs="Times New Roman"/>
                <w:sz w:val="21"/>
                <w:szCs w:val="24"/>
              </w:rPr>
            </w:pPr>
            <w:r>
              <w:rPr>
                <w:rFonts w:hint="default" w:ascii="Times New Roman" w:hAnsi="Times New Roman" w:eastAsia="仿宋_GB2312" w:cs="Times New Roman"/>
                <w:b w:val="0"/>
                <w:bCs w:val="0"/>
                <w:sz w:val="24"/>
                <w:szCs w:val="24"/>
                <w:vertAlign w:val="baseline"/>
                <w:lang w:val="en-US" w:eastAsia="zh-CN"/>
              </w:rPr>
              <w:t>负责区政府各类会议的会务工作，协助区政府领导同志组织实施会议决定事项。</w:t>
            </w:r>
          </w:p>
        </w:tc>
        <w:tc>
          <w:tcPr>
            <w:tcW w:w="5935" w:type="dxa"/>
            <w:vAlign w:val="center"/>
          </w:tcPr>
          <w:p>
            <w:pPr>
              <w:spacing w:line="578" w:lineRule="exact"/>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w:t>
            </w:r>
            <w:r>
              <w:rPr>
                <w:rFonts w:hint="eastAsia" w:cs="Times New Roman"/>
                <w:b w:val="0"/>
                <w:bCs w:val="0"/>
                <w:sz w:val="24"/>
                <w:szCs w:val="24"/>
                <w:vertAlign w:val="baseline"/>
                <w:lang w:val="en-US" w:eastAsia="zh-CN"/>
              </w:rPr>
              <w:t>协调</w:t>
            </w:r>
            <w:r>
              <w:rPr>
                <w:rFonts w:hint="default" w:ascii="Times New Roman" w:hAnsi="Times New Roman" w:eastAsia="仿宋_GB2312" w:cs="Times New Roman"/>
                <w:b w:val="0"/>
                <w:bCs w:val="0"/>
                <w:sz w:val="24"/>
                <w:szCs w:val="24"/>
                <w:vertAlign w:val="baseline"/>
                <w:lang w:val="en-US" w:eastAsia="zh-CN"/>
              </w:rPr>
              <w:t>区政府领导参加全市、全区性会议</w:t>
            </w:r>
            <w:r>
              <w:rPr>
                <w:rFonts w:hint="eastAsia"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lang w:val="en-US" w:eastAsia="zh-CN"/>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eastAsia" w:eastAsia="仿宋_GB2312" w:cs="Times New Roman"/>
                <w:b w:val="0"/>
                <w:bCs w:val="0"/>
                <w:sz w:val="24"/>
                <w:szCs w:val="24"/>
                <w:vertAlign w:val="baseline"/>
                <w:lang w:val="en-US" w:eastAsia="zh-CN"/>
              </w:rPr>
              <w:t>负责</w:t>
            </w:r>
            <w:r>
              <w:rPr>
                <w:rFonts w:hint="default" w:ascii="Times New Roman" w:hAnsi="Times New Roman" w:eastAsia="仿宋_GB2312" w:cs="Times New Roman"/>
                <w:b w:val="0"/>
                <w:bCs w:val="0"/>
                <w:sz w:val="24"/>
                <w:szCs w:val="24"/>
                <w:vertAlign w:val="baseline"/>
                <w:lang w:val="en-US" w:eastAsia="zh-CN"/>
              </w:rPr>
              <w:t>区政府党组会议、区政府常务会议、区政府全体会议、区长办公会</w:t>
            </w:r>
            <w:r>
              <w:rPr>
                <w:rFonts w:hint="eastAsia" w:cs="Times New Roman"/>
                <w:b w:val="0"/>
                <w:bCs w:val="0"/>
                <w:sz w:val="24"/>
                <w:szCs w:val="24"/>
                <w:vertAlign w:val="baseline"/>
                <w:lang w:val="en-US" w:eastAsia="zh-CN"/>
              </w:rPr>
              <w:t>和</w:t>
            </w:r>
            <w:r>
              <w:rPr>
                <w:rFonts w:hint="default" w:ascii="Times New Roman" w:hAnsi="Times New Roman" w:eastAsia="仿宋_GB2312" w:cs="Times New Roman"/>
                <w:b w:val="0"/>
                <w:bCs w:val="0"/>
                <w:sz w:val="24"/>
                <w:szCs w:val="24"/>
                <w:vertAlign w:val="baseline"/>
                <w:lang w:val="en-US" w:eastAsia="zh-CN"/>
              </w:rPr>
              <w:t>现场调研会等多类会议的会务工作。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宋体" w:cs="Times New Roman"/>
                <w:sz w:val="21"/>
                <w:szCs w:val="24"/>
              </w:rPr>
            </w:pPr>
          </w:p>
        </w:tc>
        <w:tc>
          <w:tcPr>
            <w:tcW w:w="5935" w:type="dxa"/>
            <w:vAlign w:val="center"/>
          </w:tcPr>
          <w:p>
            <w:pPr>
              <w:spacing w:line="578" w:lineRule="exact"/>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cs="Times New Roman"/>
                <w:b w:val="0"/>
                <w:bCs w:val="0"/>
                <w:sz w:val="24"/>
                <w:szCs w:val="24"/>
                <w:vertAlign w:val="baseline"/>
                <w:lang w:val="en-US" w:eastAsia="zh-CN"/>
              </w:rPr>
              <w:t>编制印发会议纪要，做好相关会议记录，并对</w:t>
            </w:r>
            <w:r>
              <w:rPr>
                <w:rFonts w:hint="default" w:ascii="Times New Roman" w:hAnsi="Times New Roman" w:eastAsia="仿宋_GB2312" w:cs="Times New Roman"/>
                <w:b w:val="0"/>
                <w:bCs w:val="0"/>
                <w:sz w:val="24"/>
                <w:szCs w:val="24"/>
                <w:vertAlign w:val="baseline"/>
                <w:lang w:val="en-US" w:eastAsia="zh-CN"/>
              </w:rPr>
              <w:t>会议研究事宜、决定事项</w:t>
            </w:r>
            <w:r>
              <w:rPr>
                <w:rFonts w:hint="eastAsia" w:cs="Times New Roman"/>
                <w:b w:val="0"/>
                <w:bCs w:val="0"/>
                <w:sz w:val="24"/>
                <w:szCs w:val="24"/>
                <w:vertAlign w:val="baseline"/>
                <w:lang w:val="en-US" w:eastAsia="zh-CN"/>
              </w:rPr>
              <w:t>进行跟踪督办</w:t>
            </w:r>
            <w:r>
              <w:rPr>
                <w:rFonts w:hint="default" w:ascii="Times New Roman" w:hAnsi="Times New Roman" w:eastAsia="仿宋_GB2312"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530" w:type="dxa"/>
            <w:vMerge w:val="restart"/>
            <w:vAlign w:val="center"/>
          </w:tcPr>
          <w:p>
            <w:pPr>
              <w:spacing w:line="578" w:lineRule="exact"/>
              <w:jc w:val="both"/>
              <w:rPr>
                <w:rFonts w:hint="default" w:ascii="Times New Roman" w:hAnsi="Times New Roman" w:eastAsia="宋体" w:cs="Times New Roman"/>
                <w:sz w:val="21"/>
                <w:szCs w:val="24"/>
              </w:rPr>
            </w:pPr>
            <w:r>
              <w:rPr>
                <w:rFonts w:hint="default" w:ascii="Times New Roman" w:hAnsi="Times New Roman" w:eastAsia="仿宋_GB2312" w:cs="Times New Roman"/>
                <w:b w:val="0"/>
                <w:bCs w:val="0"/>
                <w:sz w:val="24"/>
                <w:szCs w:val="24"/>
                <w:vertAlign w:val="baseline"/>
                <w:lang w:val="en-US" w:eastAsia="zh-CN"/>
              </w:rPr>
              <w:t>协助区政府领导同志组织起草或审核以区政府、区政府办公室名义发布的公文。</w:t>
            </w:r>
          </w:p>
        </w:tc>
        <w:tc>
          <w:tcPr>
            <w:tcW w:w="5935" w:type="dxa"/>
            <w:vAlign w:val="center"/>
          </w:tcPr>
          <w:p>
            <w:pPr>
              <w:spacing w:line="578" w:lineRule="exact"/>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承办区政府及其办公室公文和领导文稿的起草、审核工作，办理各类公文的受理、拟办、运转、印发、报备、归档、清理工作。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lang w:val="en-US" w:eastAsia="zh-CN"/>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负责管理</w:t>
            </w:r>
            <w:r>
              <w:rPr>
                <w:rFonts w:hint="eastAsia" w:eastAsia="仿宋_GB2312" w:cs="Times New Roman"/>
                <w:b w:val="0"/>
                <w:bCs w:val="0"/>
                <w:sz w:val="24"/>
                <w:szCs w:val="24"/>
                <w:vertAlign w:val="baseline"/>
                <w:lang w:val="en-US" w:eastAsia="zh-CN"/>
              </w:rPr>
              <w:t>区</w:t>
            </w:r>
            <w:r>
              <w:rPr>
                <w:rFonts w:hint="eastAsia" w:ascii="Times New Roman" w:hAnsi="Times New Roman" w:eastAsia="仿宋_GB2312" w:cs="Times New Roman"/>
                <w:b w:val="0"/>
                <w:bCs w:val="0"/>
                <w:sz w:val="24"/>
                <w:szCs w:val="24"/>
                <w:vertAlign w:val="baseline"/>
                <w:lang w:val="en-US" w:eastAsia="zh-CN"/>
              </w:rPr>
              <w:t>政府、</w:t>
            </w:r>
            <w:r>
              <w:rPr>
                <w:rFonts w:hint="eastAsia" w:eastAsia="仿宋_GB2312" w:cs="Times New Roman"/>
                <w:b w:val="0"/>
                <w:bCs w:val="0"/>
                <w:sz w:val="24"/>
                <w:szCs w:val="24"/>
                <w:vertAlign w:val="baseline"/>
                <w:lang w:val="en-US" w:eastAsia="zh-CN"/>
              </w:rPr>
              <w:t>区</w:t>
            </w:r>
            <w:r>
              <w:rPr>
                <w:rFonts w:hint="eastAsia" w:ascii="Times New Roman" w:hAnsi="Times New Roman" w:eastAsia="仿宋_GB2312" w:cs="Times New Roman"/>
                <w:b w:val="0"/>
                <w:bCs w:val="0"/>
                <w:sz w:val="24"/>
                <w:szCs w:val="24"/>
                <w:vertAlign w:val="baseline"/>
                <w:lang w:val="en-US" w:eastAsia="zh-CN"/>
              </w:rPr>
              <w:t>政府办公室印章</w:t>
            </w:r>
            <w:r>
              <w:rPr>
                <w:rFonts w:hint="eastAsia" w:eastAsia="仿宋_GB2312"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宋体" w:cs="Times New Roman"/>
                <w:sz w:val="21"/>
                <w:szCs w:val="24"/>
              </w:rPr>
            </w:pPr>
          </w:p>
        </w:tc>
        <w:tc>
          <w:tcPr>
            <w:tcW w:w="5935" w:type="dxa"/>
            <w:vAlign w:val="center"/>
          </w:tcPr>
          <w:p>
            <w:pPr>
              <w:spacing w:line="578" w:lineRule="exact"/>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负责区政府各部门文秘工作人员的业务培训工作。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530" w:type="dxa"/>
            <w:vMerge w:val="restart"/>
            <w:vAlign w:val="center"/>
          </w:tcPr>
          <w:p>
            <w:pPr>
              <w:spacing w:line="578" w:lineRule="exact"/>
              <w:jc w:val="both"/>
              <w:rPr>
                <w:rFonts w:hint="default" w:ascii="Times New Roman" w:hAnsi="Times New Roman" w:eastAsia="宋体" w:cs="Times New Roman"/>
                <w:sz w:val="21"/>
                <w:szCs w:val="24"/>
              </w:rPr>
            </w:pPr>
            <w:r>
              <w:rPr>
                <w:rFonts w:hint="default" w:ascii="Times New Roman" w:hAnsi="Times New Roman" w:eastAsia="仿宋_GB2312" w:cs="Times New Roman"/>
                <w:b w:val="0"/>
                <w:bCs w:val="0"/>
                <w:sz w:val="24"/>
                <w:szCs w:val="24"/>
                <w:vertAlign w:val="baseline"/>
                <w:lang w:val="en-US" w:eastAsia="zh-CN"/>
              </w:rPr>
              <w:t>研究区政府各部门请示区政府的事项，提出审核意见</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报区政府审批。</w:t>
            </w:r>
          </w:p>
        </w:tc>
        <w:tc>
          <w:tcPr>
            <w:tcW w:w="5935" w:type="dxa"/>
            <w:vAlign w:val="center"/>
          </w:tcPr>
          <w:p>
            <w:pPr>
              <w:spacing w:line="578" w:lineRule="exact"/>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研究审核区政府各部门、各村</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社区</w:t>
            </w:r>
            <w:r>
              <w:rPr>
                <w:rFonts w:hint="eastAsia" w:cs="Times New Roman"/>
                <w:b w:val="0"/>
                <w:bCs w:val="0"/>
                <w:sz w:val="24"/>
                <w:szCs w:val="24"/>
                <w:vertAlign w:val="baseline"/>
                <w:lang w:val="en-US" w:eastAsia="zh-CN"/>
              </w:rPr>
              <w:t>）、居</w:t>
            </w:r>
            <w:r>
              <w:rPr>
                <w:rFonts w:hint="default" w:ascii="Times New Roman" w:hAnsi="Times New Roman" w:eastAsia="仿宋_GB2312" w:cs="Times New Roman"/>
                <w:b w:val="0"/>
                <w:bCs w:val="0"/>
                <w:sz w:val="24"/>
                <w:szCs w:val="24"/>
                <w:vertAlign w:val="baseline"/>
                <w:lang w:val="en-US" w:eastAsia="zh-CN"/>
              </w:rPr>
              <w:t>向区政府请示、报告的事项。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宋体" w:cs="Times New Roman"/>
                <w:sz w:val="21"/>
                <w:szCs w:val="24"/>
              </w:rPr>
            </w:pPr>
          </w:p>
        </w:tc>
        <w:tc>
          <w:tcPr>
            <w:tcW w:w="5935" w:type="dxa"/>
            <w:vAlign w:val="center"/>
          </w:tcPr>
          <w:p>
            <w:pPr>
              <w:spacing w:line="578" w:lineRule="exact"/>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协助区政府领导协调、督促区政府重要事项的落实，并提出拟办意见，报区政府领导审批。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530" w:type="dxa"/>
            <w:vMerge w:val="restart"/>
            <w:vAlign w:val="center"/>
          </w:tcPr>
          <w:p>
            <w:pPr>
              <w:spacing w:line="578" w:lineRule="exact"/>
              <w:jc w:val="both"/>
              <w:rPr>
                <w:rFonts w:hint="default" w:ascii="Times New Roman" w:hAnsi="Times New Roman" w:eastAsia="宋体" w:cs="Times New Roman"/>
                <w:sz w:val="21"/>
                <w:szCs w:val="24"/>
              </w:rPr>
            </w:pPr>
            <w:r>
              <w:rPr>
                <w:rFonts w:hint="default" w:ascii="Times New Roman" w:hAnsi="Times New Roman" w:eastAsia="仿宋_GB2312" w:cs="Times New Roman"/>
                <w:b w:val="0"/>
                <w:bCs w:val="0"/>
                <w:sz w:val="24"/>
                <w:szCs w:val="24"/>
                <w:vertAlign w:val="baseline"/>
                <w:lang w:val="en-US" w:eastAsia="zh-CN"/>
              </w:rPr>
              <w:t>督促检查区政府各部门对上级和区政府公文、会议决定事项及区政府领导同志有关指示和中国(海南)自由贸易试验区、中国特色自由贸易港政策的贯彻落实情况</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并跟踪调研，及时向区政府报告。</w:t>
            </w:r>
          </w:p>
        </w:tc>
        <w:tc>
          <w:tcPr>
            <w:tcW w:w="5935" w:type="dxa"/>
            <w:vAlign w:val="center"/>
          </w:tcPr>
          <w:p>
            <w:pPr>
              <w:spacing w:line="578" w:lineRule="exact"/>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负责督办落实省委、省政府，市委、市政府及区委领导批示事项及转办事项</w:t>
            </w:r>
            <w:r>
              <w:rPr>
                <w:rFonts w:hint="eastAsia" w:eastAsia="仿宋_GB2312"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5"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围绕服务国家重大战略、推动海南自由贸易港建设政策落实落细，总结建设进展情况，及时回复及跟踪上报区政府。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530" w:type="dxa"/>
            <w:vMerge w:val="restart"/>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负责省人大、省政协，市人大、市政协和区人大交区政府的有关建议、提案的办理工作。</w:t>
            </w: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负责上级和本级人大建议、政协提案的交办、督办工作。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lang w:val="en-US" w:eastAsia="zh-CN"/>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负责督促区政府各部门做好</w:t>
            </w:r>
            <w:r>
              <w:rPr>
                <w:rFonts w:hint="eastAsia" w:eastAsia="仿宋_GB2312" w:cs="Times New Roman"/>
                <w:b w:val="0"/>
                <w:bCs w:val="0"/>
                <w:sz w:val="24"/>
                <w:szCs w:val="24"/>
                <w:vertAlign w:val="baseline"/>
                <w:lang w:val="en-US" w:eastAsia="zh-CN"/>
              </w:rPr>
              <w:t>上级和本级</w:t>
            </w:r>
            <w:r>
              <w:rPr>
                <w:rFonts w:hint="eastAsia" w:ascii="Times New Roman" w:hAnsi="Times New Roman" w:eastAsia="仿宋_GB2312" w:cs="Times New Roman"/>
                <w:b w:val="0"/>
                <w:bCs w:val="0"/>
                <w:sz w:val="24"/>
                <w:szCs w:val="24"/>
                <w:vertAlign w:val="baseline"/>
                <w:lang w:val="en-US" w:eastAsia="zh-CN"/>
              </w:rPr>
              <w:t>人大建议、政协提案的办理工作</w:t>
            </w:r>
            <w:r>
              <w:rPr>
                <w:rFonts w:hint="eastAsia"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配合做好市人大、市政协</w:t>
            </w:r>
            <w:r>
              <w:rPr>
                <w:rFonts w:hint="eastAsia" w:eastAsia="仿宋_GB2312" w:cs="Times New Roman"/>
                <w:b w:val="0"/>
                <w:bCs w:val="0"/>
                <w:sz w:val="24"/>
                <w:szCs w:val="24"/>
                <w:vertAlign w:val="baseline"/>
                <w:lang w:val="en-US" w:eastAsia="zh-CN"/>
              </w:rPr>
              <w:t>和区人大</w:t>
            </w:r>
            <w:r>
              <w:rPr>
                <w:rFonts w:hint="eastAsia" w:ascii="Times New Roman" w:hAnsi="Times New Roman" w:eastAsia="仿宋_GB2312" w:cs="Times New Roman"/>
                <w:b w:val="0"/>
                <w:bCs w:val="0"/>
                <w:sz w:val="24"/>
                <w:szCs w:val="24"/>
                <w:vertAlign w:val="baseline"/>
                <w:lang w:val="en-US" w:eastAsia="zh-CN"/>
              </w:rPr>
              <w:t>机关组织的各类视察、调研工作。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530" w:type="dxa"/>
            <w:vMerge w:val="restart"/>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负责全区国民经济、社会发展中全局性、战略性、长期性问题研究和区政府领导同志交办的专题调研，提供区政府决策的参考方案和政策性建议，负责区政府和社会研究力量的联系和组织协调。</w:t>
            </w: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负责起草和审核</w:t>
            </w:r>
            <w:r>
              <w:rPr>
                <w:rFonts w:hint="eastAsia" w:eastAsia="仿宋_GB2312" w:cs="Times New Roman"/>
                <w:b w:val="0"/>
                <w:bCs w:val="0"/>
                <w:sz w:val="24"/>
                <w:szCs w:val="24"/>
                <w:vertAlign w:val="baseline"/>
                <w:lang w:val="en-US" w:eastAsia="zh-CN"/>
              </w:rPr>
              <w:t>区政府和区</w:t>
            </w:r>
            <w:r>
              <w:rPr>
                <w:rFonts w:hint="eastAsia" w:ascii="Times New Roman" w:hAnsi="Times New Roman" w:eastAsia="仿宋_GB2312" w:cs="Times New Roman"/>
                <w:b w:val="0"/>
                <w:bCs w:val="0"/>
                <w:sz w:val="24"/>
                <w:szCs w:val="24"/>
                <w:vertAlign w:val="baseline"/>
                <w:lang w:val="en-US" w:eastAsia="zh-CN"/>
              </w:rPr>
              <w:t>政府办公室有关综合性文件</w:t>
            </w:r>
            <w:r>
              <w:rPr>
                <w:rFonts w:hint="eastAsia" w:cs="Times New Roman"/>
                <w:b w:val="0"/>
                <w:bCs w:val="0"/>
                <w:sz w:val="24"/>
                <w:szCs w:val="24"/>
                <w:vertAlign w:val="baseline"/>
                <w:lang w:val="en-US" w:eastAsia="zh-CN"/>
              </w:rPr>
              <w:t>及</w:t>
            </w:r>
            <w:r>
              <w:rPr>
                <w:rFonts w:hint="eastAsia" w:ascii="Times New Roman" w:hAnsi="Times New Roman" w:eastAsia="仿宋_GB2312" w:cs="Times New Roman"/>
                <w:b w:val="0"/>
                <w:bCs w:val="0"/>
                <w:sz w:val="24"/>
                <w:szCs w:val="24"/>
                <w:vertAlign w:val="baseline"/>
                <w:lang w:val="en-US" w:eastAsia="zh-CN"/>
              </w:rPr>
              <w:t>重要报告</w:t>
            </w:r>
            <w:r>
              <w:rPr>
                <w:rFonts w:hint="eastAsia" w:eastAsia="仿宋_GB2312"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lang w:val="en-US" w:eastAsia="zh-CN"/>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组织起草</w:t>
            </w:r>
            <w:r>
              <w:rPr>
                <w:rFonts w:hint="eastAsia" w:ascii="Times New Roman" w:hAnsi="Times New Roman" w:eastAsia="仿宋_GB2312" w:cs="Times New Roman"/>
                <w:b w:val="0"/>
                <w:bCs w:val="0"/>
                <w:sz w:val="24"/>
                <w:szCs w:val="24"/>
                <w:vertAlign w:val="baseline"/>
                <w:lang w:val="en-US" w:eastAsia="zh-CN"/>
              </w:rPr>
              <w:t>年度政府工作报告</w:t>
            </w:r>
            <w:r>
              <w:rPr>
                <w:rFonts w:hint="eastAsia" w:eastAsia="仿宋_GB2312"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lang w:val="en-US" w:eastAsia="zh-CN"/>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w:t>
            </w:r>
            <w:r>
              <w:rPr>
                <w:rFonts w:hint="eastAsia" w:cs="Times New Roman"/>
                <w:b w:val="0"/>
                <w:bCs w:val="0"/>
                <w:sz w:val="24"/>
                <w:szCs w:val="24"/>
                <w:vertAlign w:val="baseline"/>
                <w:lang w:val="en-US" w:eastAsia="zh-CN"/>
              </w:rPr>
              <w:t>区政府相关</w:t>
            </w:r>
            <w:r>
              <w:rPr>
                <w:rFonts w:hint="default" w:ascii="Times New Roman" w:hAnsi="Times New Roman" w:eastAsia="仿宋_GB2312" w:cs="Times New Roman"/>
                <w:b w:val="0"/>
                <w:bCs w:val="0"/>
                <w:sz w:val="24"/>
                <w:szCs w:val="24"/>
                <w:vertAlign w:val="baseline"/>
                <w:lang w:val="en-US" w:eastAsia="zh-CN"/>
              </w:rPr>
              <w:t>问题研究和专题调研，有目的地组织学习和开展研究工作，积累研究经验，持续推进研究工作有步骤</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有计划进行。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收集整理中央文献、指导思想等核心综述材料，为区政府提出研究假设、研究方向和研究问题。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多方听取专家学者意见、学习借鉴先进地区经验做法，积极谋划我区改革发展新思路，提出科学性建议措施。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530" w:type="dxa"/>
            <w:vMerge w:val="restart"/>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负责区政府值班工作，及时报告重要情况，传达和督促落实区政府领导同志指示</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协助处理区部门向区政府反映的重要问题。</w:t>
            </w: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eastAsia" w:eastAsia="仿宋_GB2312" w:cs="Times New Roman"/>
                <w:b w:val="0"/>
                <w:bCs w:val="0"/>
                <w:sz w:val="24"/>
                <w:szCs w:val="24"/>
                <w:vertAlign w:val="baseline"/>
                <w:lang w:val="en-US" w:eastAsia="zh-CN"/>
              </w:rPr>
              <w:t>负责区</w:t>
            </w:r>
            <w:r>
              <w:rPr>
                <w:rFonts w:hint="eastAsia" w:ascii="Times New Roman" w:hAnsi="Times New Roman" w:eastAsia="仿宋_GB2312" w:cs="Times New Roman"/>
                <w:b w:val="0"/>
                <w:bCs w:val="0"/>
                <w:sz w:val="24"/>
                <w:szCs w:val="24"/>
                <w:vertAlign w:val="baseline"/>
                <w:lang w:val="en-US" w:eastAsia="zh-CN"/>
              </w:rPr>
              <w:t>政府</w:t>
            </w:r>
            <w:r>
              <w:rPr>
                <w:rFonts w:hint="eastAsia" w:cs="Times New Roman"/>
                <w:b w:val="0"/>
                <w:bCs w:val="0"/>
                <w:sz w:val="24"/>
                <w:szCs w:val="24"/>
                <w:vertAlign w:val="baseline"/>
                <w:lang w:val="en-US" w:eastAsia="zh-CN"/>
              </w:rPr>
              <w:t>24小时</w:t>
            </w:r>
            <w:r>
              <w:rPr>
                <w:rFonts w:hint="eastAsia" w:ascii="Times New Roman" w:hAnsi="Times New Roman" w:eastAsia="仿宋_GB2312" w:cs="Times New Roman"/>
                <w:b w:val="0"/>
                <w:bCs w:val="0"/>
                <w:sz w:val="24"/>
                <w:szCs w:val="24"/>
                <w:vertAlign w:val="baseline"/>
                <w:lang w:val="en-US" w:eastAsia="zh-CN"/>
              </w:rPr>
              <w:t>值班工作</w:t>
            </w:r>
            <w:r>
              <w:rPr>
                <w:rFonts w:hint="eastAsia" w:eastAsia="仿宋_GB2312" w:cs="Times New Roman"/>
                <w:b w:val="0"/>
                <w:bCs w:val="0"/>
                <w:sz w:val="24"/>
                <w:szCs w:val="24"/>
                <w:vertAlign w:val="baseline"/>
                <w:lang w:val="en-US" w:eastAsia="zh-CN"/>
              </w:rPr>
              <w:t>，并</w:t>
            </w:r>
            <w:r>
              <w:rPr>
                <w:rFonts w:hint="default" w:ascii="Times New Roman" w:hAnsi="Times New Roman" w:eastAsia="仿宋_GB2312" w:cs="Times New Roman"/>
                <w:b w:val="0"/>
                <w:bCs w:val="0"/>
                <w:sz w:val="24"/>
                <w:szCs w:val="24"/>
                <w:vertAlign w:val="baseline"/>
                <w:lang w:val="en-US" w:eastAsia="zh-CN"/>
              </w:rPr>
              <w:t>及时接报突发事件信息，传达、督促</w:t>
            </w:r>
            <w:r>
              <w:rPr>
                <w:rFonts w:hint="eastAsia" w:eastAsia="仿宋_GB2312" w:cs="Times New Roman"/>
                <w:b w:val="0"/>
                <w:bCs w:val="0"/>
                <w:sz w:val="24"/>
                <w:szCs w:val="24"/>
                <w:vertAlign w:val="baseline"/>
                <w:lang w:val="en-US" w:eastAsia="zh-CN"/>
              </w:rPr>
              <w:t>相关单位</w:t>
            </w:r>
            <w:r>
              <w:rPr>
                <w:rFonts w:hint="default" w:ascii="Times New Roman" w:hAnsi="Times New Roman" w:eastAsia="仿宋_GB2312" w:cs="Times New Roman"/>
                <w:b w:val="0"/>
                <w:bCs w:val="0"/>
                <w:sz w:val="24"/>
                <w:szCs w:val="24"/>
                <w:vertAlign w:val="baseline"/>
                <w:lang w:val="en-US" w:eastAsia="zh-CN"/>
              </w:rPr>
              <w:t>落实好区政府领导对突发事件信息的批示（指示）事项。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负责综合分析处理区</w:t>
            </w:r>
            <w:r>
              <w:rPr>
                <w:rFonts w:hint="eastAsia" w:cs="Times New Roman"/>
                <w:b w:val="0"/>
                <w:bCs w:val="0"/>
                <w:sz w:val="24"/>
                <w:szCs w:val="24"/>
                <w:vertAlign w:val="baseline"/>
                <w:lang w:val="en-US" w:eastAsia="zh-CN"/>
              </w:rPr>
              <w:t>政府各单位</w:t>
            </w:r>
            <w:r>
              <w:rPr>
                <w:rFonts w:hint="default" w:ascii="Times New Roman" w:hAnsi="Times New Roman" w:eastAsia="仿宋_GB2312" w:cs="Times New Roman"/>
                <w:b w:val="0"/>
                <w:bCs w:val="0"/>
                <w:sz w:val="24"/>
                <w:szCs w:val="24"/>
                <w:vertAlign w:val="baseline"/>
                <w:lang w:val="en-US" w:eastAsia="zh-CN"/>
              </w:rPr>
              <w:t>、各村（社区）、居向区政府反映的问题，协调驻点和分管的领导同志准备相关材料，上会研究并督促落实会议通过的研究方案。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承担区政府日常工作运转的服务保障工作。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530" w:type="dxa"/>
            <w:vMerge w:val="restart"/>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负责全区政务公开日常工作</w:t>
            </w:r>
            <w:r>
              <w:rPr>
                <w:rFonts w:hint="eastAsia"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负责指导、监督全区政府信息公开工作</w:t>
            </w:r>
            <w:r>
              <w:rPr>
                <w:rFonts w:hint="eastAsia"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负责推进、协调、指导、督促检査全区政务公开和政府信息公开工作，推进电子政务工作</w:t>
            </w:r>
            <w:r>
              <w:rPr>
                <w:rFonts w:hint="eastAsia"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负责区政府门户网站和政务新媒体管理工作</w:t>
            </w:r>
            <w:r>
              <w:rPr>
                <w:rFonts w:hint="eastAsia"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highlight w:val="none"/>
                <w:vertAlign w:val="baseline"/>
                <w:lang w:val="en-US" w:eastAsia="zh-CN"/>
              </w:rPr>
              <w:t>负责区政府办公室电子政务建设。</w:t>
            </w: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负责全区政务公开日常工作，通过三亚市人民政府网站吉阳区信息公开专栏、三亚市吉阳区人民政府网站等平台上传发布本级政务信息（包括基础信息公开、重点领域信息公开），开展政策解读，回应社会关切，提供互动交流、办事服务，开展网站平台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负责指导、监督全区政府信息公开工作，推动区政府各单位在三亚市人民政务网站开设区级信息公开专栏，督促各专栏管理单位定期更新专栏信息，发布本单位政务信息，同时加强对区政府各单位政务信息公开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负责三亚市吉阳区人民政府网站的开发、建设、管理、维护工作，</w:t>
            </w:r>
            <w:r>
              <w:rPr>
                <w:rFonts w:hint="eastAsia" w:cs="Times New Roman"/>
                <w:b w:val="0"/>
                <w:bCs w:val="0"/>
                <w:color w:val="auto"/>
                <w:sz w:val="24"/>
                <w:szCs w:val="24"/>
                <w:vertAlign w:val="baseline"/>
                <w:lang w:val="en-US" w:eastAsia="zh-CN"/>
              </w:rPr>
              <w:t>安排</w:t>
            </w:r>
            <w:r>
              <w:rPr>
                <w:rFonts w:hint="default" w:ascii="Times New Roman" w:hAnsi="Times New Roman" w:eastAsia="仿宋_GB2312" w:cs="Times New Roman"/>
                <w:b w:val="0"/>
                <w:bCs w:val="0"/>
                <w:color w:val="auto"/>
                <w:sz w:val="24"/>
                <w:szCs w:val="24"/>
                <w:vertAlign w:val="baseline"/>
                <w:lang w:val="en-US" w:eastAsia="zh-CN"/>
              </w:rPr>
              <w:t>专人负责每日更新</w:t>
            </w:r>
            <w:r>
              <w:rPr>
                <w:rFonts w:hint="eastAsia"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负责协调、指导、督促、检查全区政务新媒体管理工作，定期督促各政务新媒体管理单位更新内容，规范内容发布，常态化检查政务新媒体发布内容。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highlight w:val="none"/>
                <w:vertAlign w:val="baseline"/>
                <w:lang w:val="en-US" w:eastAsia="zh-CN"/>
              </w:rPr>
              <w:t>负责三亚市吉阳区党政办公系统的建设、升级、管理和维护工作，指导全区各部门安装及使用系统，对人员进行操作培训，实现全区无纸化办公。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cs="Times New Roman"/>
                <w:b w:val="0"/>
                <w:bCs w:val="0"/>
                <w:color w:val="auto"/>
                <w:sz w:val="24"/>
                <w:szCs w:val="24"/>
                <w:highlight w:val="none"/>
                <w:vertAlign w:val="baseline"/>
                <w:lang w:val="en-US" w:eastAsia="zh-CN"/>
              </w:rPr>
              <w:t>组织编撰辖区年鉴工作。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530" w:type="dxa"/>
            <w:vMerge w:val="restart"/>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负责全区国防动员综合计划、组织协调、文秘服务等工作。</w:t>
            </w: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组织协调国防动员建设规划、计划的制定和国防动员理论研究。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贯彻党和国家有关国防动员的方针、政策，总结交流国防动员工作经验，督促国防动员工作落实。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根据上级国防动员委员会的指示，组织协调有关部门，提出本单位加强国防动员建设的意见和建议。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承办区国防动员工作方面军地有关部门之间、国防动员委员会各办公室之间需要进行综合协调的工作。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530" w:type="dxa"/>
            <w:vMerge w:val="restart"/>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研究拟订并组织实施全区信访工作的规划和措施</w:t>
            </w:r>
            <w:r>
              <w:rPr>
                <w:rFonts w:hint="default" w:ascii="Times New Roman" w:hAnsi="Times New Roman"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负责受理群众来信、网上信访，接待群众来访</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协调处理信访问题</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负责应由本级政府复查复核信访事项的办理</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负责指导全区各机关的信访工作</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负责指导全区信访系统电子政务工作</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负责全区信访工作的宣传教育和培训工作</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对违反群众工作纪律和信访工作纪律的党员干部落实责任追究提出建议和意见。</w:t>
            </w: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根据国家、省、市信访局关于信访工作的方针政策、决策指示和总体部署，结合我区实际工作，提出贯彻落实、促进改革、推进工作的信访工作规划，为区委区政府提供决策参考。大力推进</w:t>
            </w:r>
            <w:r>
              <w:rPr>
                <w:rFonts w:hint="default" w:ascii="Times New Roman" w:hAnsi="Times New Roman"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阳光信访</w:t>
            </w:r>
            <w:r>
              <w:rPr>
                <w:rFonts w:hint="default" w:ascii="Times New Roman" w:hAnsi="Times New Roman"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法治信访</w:t>
            </w:r>
            <w:r>
              <w:rPr>
                <w:rFonts w:hint="default" w:ascii="Times New Roman" w:hAnsi="Times New Roman"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责任信访</w:t>
            </w:r>
            <w:r>
              <w:rPr>
                <w:rFonts w:hint="default" w:ascii="Times New Roman" w:hAnsi="Times New Roman"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，并着力开展区领导接访下访活动。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负责接访上访群众，登记录入来信、来访、网上信访的信访件，并转送至各单位，协调监督各单位解决上访群众的信访诉求。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numPr>
                <w:ilvl w:val="0"/>
                <w:numId w:val="0"/>
              </w:num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接待群众复查申请，负责复查申请受理工作，组织职能部门答辩，出具复查意见书。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负责指导全区信访代理员在海南省网上信访信息系统的系统登录使用、信访件登记录入、受理、答复、汇报等环节的使用工作。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负责印制和发放信访宣传和教育相关资料，举办信访基础业务知识工作相关培训。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负责收集违反群众工作纪律和信访工作纪律的党员干部的信访件，转送至区纪委监察委，并提出建议和意见。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530" w:type="dxa"/>
            <w:vMerge w:val="restart"/>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highlight w:val="none"/>
                <w:shd w:val="clear" w:color="auto" w:fill="auto"/>
                <w:vertAlign w:val="baseline"/>
                <w:lang w:val="en-US" w:eastAsia="zh-CN"/>
              </w:rPr>
              <w:t>研究拟订并组织实施全区外事工作的规划和措施</w:t>
            </w:r>
            <w:r>
              <w:rPr>
                <w:rFonts w:hint="eastAsia" w:cs="Times New Roman"/>
                <w:b w:val="0"/>
                <w:bCs w:val="0"/>
                <w:color w:val="auto"/>
                <w:sz w:val="24"/>
                <w:szCs w:val="24"/>
                <w:highlight w:val="none"/>
                <w:shd w:val="clear" w:color="auto" w:fill="auto"/>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研究推进外事工作改革，研究提出中国(海南)自由贸易试验区、中国特色自由贸易港外事工作方面的意见和建议</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负责全区国际交流事务</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承办区级领导对外交往事务</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配合做好外事宣传工作</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提供外事宣传材料和统一对外表态口径</w:t>
            </w:r>
            <w:r>
              <w:rPr>
                <w:rFonts w:hint="eastAsia" w:cs="Times New Roman"/>
                <w:b w:val="0"/>
                <w:bCs w:val="0"/>
                <w:sz w:val="24"/>
                <w:szCs w:val="24"/>
                <w:vertAlign w:val="baseline"/>
                <w:lang w:val="en-US" w:eastAsia="zh-CN"/>
              </w:rPr>
              <w:t>。</w:t>
            </w: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承办</w:t>
            </w:r>
            <w:r>
              <w:rPr>
                <w:rFonts w:hint="default" w:ascii="Times New Roman" w:hAnsi="Times New Roman" w:eastAsia="仿宋_GB2312" w:cs="Times New Roman"/>
                <w:b w:val="0"/>
                <w:bCs w:val="0"/>
                <w:sz w:val="24"/>
                <w:szCs w:val="24"/>
                <w:highlight w:val="none"/>
                <w:vertAlign w:val="baseline"/>
                <w:lang w:val="en-US" w:eastAsia="zh-CN"/>
              </w:rPr>
              <w:t>外事工作会议，传达学习中央、省、市关于外事工作的方针政策、决策指示和总体部署。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highlight w:val="none"/>
                <w:vertAlign w:val="baseline"/>
                <w:lang w:val="en-US" w:eastAsia="zh-CN"/>
              </w:rPr>
              <w:t>每年制定外事工作要点和计划。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定期收集各涉外部门的外事工作和涉外活动。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1"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做好外事调研工作，为区政府的对外工作决策提供意见和建议。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审核全区各部门报请区政府审批的外事文件。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jc w:val="center"/>
        </w:trPr>
        <w:tc>
          <w:tcPr>
            <w:tcW w:w="828" w:type="dxa"/>
            <w:vMerge w:val="restart"/>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2530" w:type="dxa"/>
            <w:vMerge w:val="restart"/>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研究拟订并组织实施全区海防工作的规划和措施</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负责海防管理相关数据的统计和综合分析</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完善通报制度</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负责组织、协调、监督全区海防成员依法履行职责，协调、指导各相关单位开展海防安全工作</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负责全区海防工作的宣传教育和培训工作。</w:t>
            </w: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承办</w:t>
            </w:r>
            <w:r>
              <w:rPr>
                <w:rFonts w:hint="default" w:ascii="Times New Roman" w:hAnsi="Times New Roman" w:eastAsia="仿宋_GB2312" w:cs="Times New Roman"/>
                <w:b w:val="0"/>
                <w:bCs w:val="0"/>
                <w:sz w:val="24"/>
                <w:szCs w:val="24"/>
                <w:vertAlign w:val="baseline"/>
                <w:lang w:val="en-US" w:eastAsia="zh-CN"/>
              </w:rPr>
              <w:t>海防工作会议，传达学习中央、省、市关于海防工作的方针政策、法律法规。根据上级海防工作部署，每年</w:t>
            </w:r>
            <w:r>
              <w:rPr>
                <w:rFonts w:hint="default" w:ascii="Times New Roman" w:hAnsi="Times New Roman" w:eastAsia="仿宋_GB2312" w:cs="Times New Roman"/>
                <w:b w:val="0"/>
                <w:bCs w:val="0"/>
                <w:color w:val="auto"/>
                <w:sz w:val="24"/>
                <w:szCs w:val="24"/>
                <w:vertAlign w:val="baseline"/>
                <w:lang w:val="en-US" w:eastAsia="zh-CN"/>
              </w:rPr>
              <w:t>拟制</w:t>
            </w:r>
            <w:r>
              <w:rPr>
                <w:rFonts w:hint="default" w:ascii="Times New Roman" w:hAnsi="Times New Roman" w:eastAsia="仿宋_GB2312" w:cs="Times New Roman"/>
                <w:b w:val="0"/>
                <w:bCs w:val="0"/>
                <w:sz w:val="24"/>
                <w:szCs w:val="24"/>
                <w:vertAlign w:val="baseline"/>
                <w:lang w:val="en-US" w:eastAsia="zh-CN"/>
              </w:rPr>
              <w:t>边海防委员</w:t>
            </w:r>
            <w:r>
              <w:rPr>
                <w:rFonts w:hint="eastAsia" w:cs="Times New Roman"/>
                <w:b w:val="0"/>
                <w:bCs w:val="0"/>
                <w:sz w:val="24"/>
                <w:szCs w:val="24"/>
                <w:vertAlign w:val="baseline"/>
                <w:lang w:val="en-US" w:eastAsia="zh-CN"/>
              </w:rPr>
              <w:t>会</w:t>
            </w:r>
            <w:r>
              <w:rPr>
                <w:rFonts w:hint="default" w:ascii="Times New Roman" w:hAnsi="Times New Roman" w:eastAsia="仿宋_GB2312" w:cs="Times New Roman"/>
                <w:b w:val="0"/>
                <w:bCs w:val="0"/>
                <w:sz w:val="24"/>
                <w:szCs w:val="24"/>
                <w:vertAlign w:val="baseline"/>
                <w:lang w:val="en-US" w:eastAsia="zh-CN"/>
              </w:rPr>
              <w:t>的工作要点。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根据上级海防工作规划，</w:t>
            </w:r>
            <w:r>
              <w:rPr>
                <w:rFonts w:hint="default" w:ascii="Times New Roman" w:hAnsi="Times New Roman" w:eastAsia="仿宋_GB2312" w:cs="Times New Roman"/>
                <w:b w:val="0"/>
                <w:bCs w:val="0"/>
                <w:color w:val="auto"/>
                <w:sz w:val="24"/>
                <w:szCs w:val="24"/>
                <w:vertAlign w:val="baseline"/>
                <w:lang w:val="en-US" w:eastAsia="zh-CN"/>
              </w:rPr>
              <w:t>制定</w:t>
            </w:r>
            <w:r>
              <w:rPr>
                <w:rFonts w:hint="default" w:ascii="Times New Roman" w:hAnsi="Times New Roman" w:eastAsia="仿宋_GB2312" w:cs="Times New Roman"/>
                <w:b w:val="0"/>
                <w:bCs w:val="0"/>
                <w:sz w:val="24"/>
                <w:szCs w:val="24"/>
                <w:vertAlign w:val="baseline"/>
                <w:lang w:val="en-US" w:eastAsia="zh-CN"/>
              </w:rPr>
              <w:t>区海防工作规划。每年制定海防工作计划。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负责</w:t>
            </w:r>
            <w:r>
              <w:rPr>
                <w:rFonts w:hint="eastAsia" w:cs="Times New Roman"/>
                <w:b w:val="0"/>
                <w:bCs w:val="0"/>
                <w:sz w:val="24"/>
                <w:szCs w:val="24"/>
                <w:vertAlign w:val="baseline"/>
                <w:lang w:val="en-US" w:eastAsia="zh-CN"/>
              </w:rPr>
              <w:t>辖区</w:t>
            </w:r>
            <w:r>
              <w:rPr>
                <w:rFonts w:hint="default" w:ascii="Times New Roman" w:hAnsi="Times New Roman" w:eastAsia="仿宋_GB2312" w:cs="Times New Roman"/>
                <w:b w:val="0"/>
                <w:bCs w:val="0"/>
                <w:sz w:val="24"/>
                <w:szCs w:val="24"/>
                <w:vertAlign w:val="baseline"/>
                <w:lang w:val="en-US" w:eastAsia="zh-CN"/>
              </w:rPr>
              <w:t>海防工作的指导协调。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组成联合工作组，检查、监督海防各单位依法履行职责情况。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印制和发放全区海防宣传和教育相关资料，举办海防工作相关培训。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Merge w:val="continue"/>
            <w:vAlign w:val="center"/>
          </w:tcPr>
          <w:p>
            <w:pPr>
              <w:spacing w:line="578" w:lineRule="exact"/>
              <w:jc w:val="center"/>
              <w:rPr>
                <w:rFonts w:hint="eastAsia" w:ascii="仿宋_GB2312" w:hAnsi="仿宋_GB2312" w:eastAsia="仿宋_GB2312" w:cs="仿宋_GB2312"/>
                <w:sz w:val="24"/>
                <w:szCs w:val="24"/>
              </w:rPr>
            </w:pPr>
          </w:p>
        </w:tc>
        <w:tc>
          <w:tcPr>
            <w:tcW w:w="2530" w:type="dxa"/>
            <w:vMerge w:val="continue"/>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适时组织海防工作调研，掌握海防工作动态，解决协调边海防重大事务。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vAlign w:val="center"/>
          </w:tcPr>
          <w:p>
            <w:pPr>
              <w:spacing w:line="578"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530"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完成区委、区政府和上级部门交办的其他工作任务。</w:t>
            </w:r>
          </w:p>
        </w:tc>
        <w:tc>
          <w:tcPr>
            <w:tcW w:w="5935" w:type="dxa"/>
            <w:vAlign w:val="center"/>
          </w:tcPr>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对</w:t>
            </w:r>
            <w:r>
              <w:rPr>
                <w:rFonts w:hint="eastAsia" w:cs="Times New Roman"/>
                <w:b w:val="0"/>
                <w:bCs w:val="0"/>
                <w:sz w:val="24"/>
                <w:szCs w:val="24"/>
                <w:vertAlign w:val="baseline"/>
                <w:lang w:val="en-US" w:eastAsia="zh-CN"/>
              </w:rPr>
              <w:t>区委、区政府和上级部门</w:t>
            </w:r>
            <w:r>
              <w:rPr>
                <w:rFonts w:hint="default" w:ascii="Times New Roman" w:hAnsi="Times New Roman" w:eastAsia="仿宋_GB2312" w:cs="Times New Roman"/>
                <w:b w:val="0"/>
                <w:bCs w:val="0"/>
                <w:sz w:val="24"/>
                <w:szCs w:val="24"/>
                <w:vertAlign w:val="baseline"/>
                <w:lang w:val="en-US" w:eastAsia="zh-CN"/>
              </w:rPr>
              <w:t>交办的任务</w:t>
            </w:r>
            <w:r>
              <w:rPr>
                <w:rFonts w:hint="eastAsia"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坚持做到依法依规、反应迅速，以负责、高效、扎实的工作作风完成工作。</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lang w:val="en-US" w:eastAsia="zh-CN"/>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二、与相关部门的职责边界登记表（无）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jc w:val="both"/>
        <w:textAlignment w:val="baseline"/>
        <w:rPr>
          <w:rFonts w:hint="default" w:ascii="Times New Roman" w:hAnsi="Times New Roman" w:eastAsia="黑体" w:cs="Times New Roman"/>
          <w:bCs/>
          <w:color w:val="FF0000"/>
          <w:kern w:val="0"/>
          <w:szCs w:val="32"/>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三、</w:t>
      </w:r>
      <w:r>
        <w:rPr>
          <w:rFonts w:hint="default" w:ascii="黑体" w:hAnsi="宋体" w:eastAsia="黑体" w:cs="黑体"/>
          <w:b w:val="0"/>
          <w:i w:val="0"/>
          <w:caps w:val="0"/>
          <w:color w:val="000000"/>
          <w:spacing w:val="0"/>
          <w:kern w:val="0"/>
          <w:sz w:val="32"/>
          <w:szCs w:val="32"/>
          <w:shd w:val="clear" w:fill="FFFFFF"/>
          <w:vertAlign w:val="baseline"/>
          <w:lang w:val="en-US" w:eastAsia="zh-CN" w:bidi="ar"/>
        </w:rPr>
        <w:t>事中事后监管制度</w:t>
      </w:r>
      <w:r>
        <w:rPr>
          <w:rFonts w:hint="eastAsia" w:ascii="黑体" w:hAnsi="宋体" w:eastAsia="黑体" w:cs="黑体"/>
          <w:b w:val="0"/>
          <w:i w:val="0"/>
          <w:caps w:val="0"/>
          <w:color w:val="000000"/>
          <w:spacing w:val="0"/>
          <w:kern w:val="0"/>
          <w:sz w:val="32"/>
          <w:szCs w:val="32"/>
          <w:shd w:val="clear" w:fill="FFFFFF"/>
          <w:vertAlign w:val="baseline"/>
          <w:lang w:val="en-US" w:eastAsia="zh-CN" w:bidi="ar"/>
        </w:rPr>
        <w:t>（无）</w:t>
      </w: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eastAsia" w:ascii="黑体" w:hAnsi="黑体" w:eastAsia="黑体" w:cs="黑体"/>
          <w:sz w:val="32"/>
          <w:szCs w:val="32"/>
          <w:lang w:eastAsia="zh-CN"/>
        </w:rPr>
      </w:pPr>
    </w:p>
    <w:p>
      <w:pPr>
        <w:spacing w:line="578" w:lineRule="exact"/>
        <w:jc w:val="center"/>
        <w:rPr>
          <w:rFonts w:hint="default" w:ascii="Times New Roman" w:hAnsi="Times New Roman" w:eastAsia="楷体_GB2312" w:cs="Times New Roman"/>
          <w:b/>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公共服务事项</w:t>
      </w:r>
    </w:p>
    <w:tbl>
      <w:tblPr>
        <w:tblStyle w:val="9"/>
        <w:tblW w:w="8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521"/>
        <w:gridCol w:w="2042"/>
        <w:gridCol w:w="2010"/>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130"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1521"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服务事项</w:t>
            </w:r>
          </w:p>
        </w:tc>
        <w:tc>
          <w:tcPr>
            <w:tcW w:w="2042"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主要内容</w:t>
            </w:r>
          </w:p>
        </w:tc>
        <w:tc>
          <w:tcPr>
            <w:tcW w:w="2010"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承办机构</w:t>
            </w:r>
          </w:p>
        </w:tc>
        <w:tc>
          <w:tcPr>
            <w:tcW w:w="2068"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0" w:type="dxa"/>
            <w:vAlign w:val="center"/>
          </w:tcPr>
          <w:p>
            <w:pPr>
              <w:spacing w:line="578" w:lineRule="exact"/>
              <w:jc w:val="center"/>
              <w:rPr>
                <w:rFonts w:hint="eastAsia" w:ascii="仿宋_GB2312" w:hAnsi="仿宋_GB2312" w:eastAsia="仿宋_GB2312" w:cs="仿宋_GB2312"/>
                <w:sz w:val="21"/>
                <w:szCs w:val="24"/>
              </w:rPr>
            </w:pPr>
            <w:r>
              <w:rPr>
                <w:rFonts w:hint="eastAsia" w:ascii="仿宋_GB2312" w:hAnsi="仿宋_GB2312" w:eastAsia="仿宋_GB2312" w:cs="仿宋_GB2312"/>
                <w:kern w:val="0"/>
                <w:sz w:val="24"/>
                <w:szCs w:val="24"/>
              </w:rPr>
              <w:t>1</w:t>
            </w:r>
          </w:p>
        </w:tc>
        <w:tc>
          <w:tcPr>
            <w:tcW w:w="1521" w:type="dxa"/>
            <w:vAlign w:val="center"/>
          </w:tcPr>
          <w:p>
            <w:pPr>
              <w:spacing w:line="578"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政府信息</w:t>
            </w:r>
          </w:p>
          <w:p>
            <w:pPr>
              <w:spacing w:line="578"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4"/>
                <w:szCs w:val="24"/>
              </w:rPr>
              <w:t>依申请公开</w:t>
            </w:r>
          </w:p>
        </w:tc>
        <w:tc>
          <w:tcPr>
            <w:tcW w:w="2042" w:type="dxa"/>
            <w:vAlign w:val="center"/>
          </w:tcPr>
          <w:p>
            <w:pPr>
              <w:spacing w:line="578"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负责推进、指导、协调、监督全区政府信息公开和政务公开工作，承办区政府、区政府办公室政府信息主动公开工作，受理向区政府、区政府办公室提出的政府信息公开申请。</w:t>
            </w:r>
          </w:p>
        </w:tc>
        <w:tc>
          <w:tcPr>
            <w:tcW w:w="2010" w:type="dxa"/>
            <w:vAlign w:val="center"/>
          </w:tcPr>
          <w:p>
            <w:pPr>
              <w:spacing w:line="578"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吉阳区人民政府</w:t>
            </w:r>
          </w:p>
          <w:p>
            <w:pPr>
              <w:spacing w:line="578"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办公室</w:t>
            </w:r>
          </w:p>
        </w:tc>
        <w:tc>
          <w:tcPr>
            <w:tcW w:w="2068" w:type="dxa"/>
            <w:vAlign w:val="center"/>
          </w:tcPr>
          <w:p>
            <w:pPr>
              <w:spacing w:line="578"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4"/>
                <w:szCs w:val="24"/>
                <w:lang w:val="en-US" w:eastAsia="zh-CN"/>
              </w:rPr>
              <w:t>88713</w:t>
            </w:r>
            <w:bookmarkStart w:id="0" w:name="_GoBack"/>
            <w:bookmarkEnd w:id="0"/>
            <w:r>
              <w:rPr>
                <w:rFonts w:hint="eastAsia" w:ascii="仿宋_GB2312" w:hAnsi="仿宋_GB2312" w:eastAsia="仿宋_GB2312" w:cs="仿宋_GB2312"/>
                <w:kern w:val="0"/>
                <w:sz w:val="24"/>
                <w:szCs w:val="24"/>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0" w:type="dxa"/>
            <w:textDirection w:val="lrTb"/>
            <w:vAlign w:val="center"/>
          </w:tcPr>
          <w:p>
            <w:pPr>
              <w:spacing w:line="578"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w:t>
            </w:r>
          </w:p>
        </w:tc>
        <w:tc>
          <w:tcPr>
            <w:tcW w:w="1521" w:type="dxa"/>
            <w:textDirection w:val="lrTb"/>
            <w:vAlign w:val="center"/>
          </w:tcPr>
          <w:p>
            <w:pPr>
              <w:spacing w:line="578"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群众来访、来信、网上信访工作</w:t>
            </w:r>
          </w:p>
        </w:tc>
        <w:tc>
          <w:tcPr>
            <w:tcW w:w="2042" w:type="dxa"/>
            <w:textDirection w:val="lrTb"/>
            <w:vAlign w:val="center"/>
          </w:tcPr>
          <w:p>
            <w:pPr>
              <w:spacing w:line="578"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负责接待群众来访，协调处理群众上访问题，受理群众来信、网上信访件的登记、转办工作。</w:t>
            </w:r>
          </w:p>
        </w:tc>
        <w:tc>
          <w:tcPr>
            <w:tcW w:w="2010" w:type="dxa"/>
            <w:textDirection w:val="lrTb"/>
            <w:vAlign w:val="center"/>
          </w:tcPr>
          <w:p>
            <w:pPr>
              <w:spacing w:line="578"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吉阳区信访局</w:t>
            </w:r>
          </w:p>
        </w:tc>
        <w:tc>
          <w:tcPr>
            <w:tcW w:w="2068" w:type="dxa"/>
            <w:textDirection w:val="lrTb"/>
            <w:vAlign w:val="center"/>
          </w:tcPr>
          <w:p>
            <w:pPr>
              <w:spacing w:line="578"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88671887</w:t>
            </w:r>
          </w:p>
        </w:tc>
      </w:tr>
    </w:tbl>
    <w:p>
      <w:pPr>
        <w:pStyle w:val="2"/>
        <w:spacing w:line="578" w:lineRule="exact"/>
        <w:rPr>
          <w:rFonts w:hint="default" w:ascii="Times New Roman" w:hAnsi="Times New Roman" w:eastAsia="黑体" w:cs="Times New Roman"/>
          <w:color w:val="000000"/>
          <w:szCs w:val="32"/>
        </w:rPr>
      </w:pPr>
    </w:p>
    <w:p>
      <w:pPr>
        <w:spacing w:line="0" w:lineRule="atLeast"/>
        <w:jc w:val="left"/>
        <w:rPr>
          <w:rFonts w:hint="default" w:ascii="Times New Roman" w:hAnsi="Times New Roman" w:cs="Times New Roma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305BE"/>
    <w:rsid w:val="00086ED0"/>
    <w:rsid w:val="005B307E"/>
    <w:rsid w:val="01546A5A"/>
    <w:rsid w:val="038C1C4C"/>
    <w:rsid w:val="04046400"/>
    <w:rsid w:val="04D84057"/>
    <w:rsid w:val="05F97E29"/>
    <w:rsid w:val="066B1319"/>
    <w:rsid w:val="06970489"/>
    <w:rsid w:val="08CA3AA6"/>
    <w:rsid w:val="08EF55B8"/>
    <w:rsid w:val="0BB005D6"/>
    <w:rsid w:val="0CB60742"/>
    <w:rsid w:val="0F2D4D57"/>
    <w:rsid w:val="0F8324E3"/>
    <w:rsid w:val="0F94230F"/>
    <w:rsid w:val="1053615B"/>
    <w:rsid w:val="115C410F"/>
    <w:rsid w:val="11F4550F"/>
    <w:rsid w:val="12F81701"/>
    <w:rsid w:val="13F7405B"/>
    <w:rsid w:val="151B71AD"/>
    <w:rsid w:val="18A5188D"/>
    <w:rsid w:val="19006D44"/>
    <w:rsid w:val="197E3E32"/>
    <w:rsid w:val="19CC140B"/>
    <w:rsid w:val="19FB65B5"/>
    <w:rsid w:val="1A124D2B"/>
    <w:rsid w:val="1A7E6B05"/>
    <w:rsid w:val="1A8C7D9E"/>
    <w:rsid w:val="1A8D452A"/>
    <w:rsid w:val="1ABB268D"/>
    <w:rsid w:val="1CDE3D9A"/>
    <w:rsid w:val="1D9C4C7C"/>
    <w:rsid w:val="1E14315F"/>
    <w:rsid w:val="1EC53339"/>
    <w:rsid w:val="1F3C201F"/>
    <w:rsid w:val="1F576EA3"/>
    <w:rsid w:val="20FB6386"/>
    <w:rsid w:val="22942EFB"/>
    <w:rsid w:val="23082725"/>
    <w:rsid w:val="2460127B"/>
    <w:rsid w:val="26125CFE"/>
    <w:rsid w:val="270B799B"/>
    <w:rsid w:val="27B6002E"/>
    <w:rsid w:val="2879640A"/>
    <w:rsid w:val="2A153C94"/>
    <w:rsid w:val="2B4757D2"/>
    <w:rsid w:val="2C6B4C8A"/>
    <w:rsid w:val="2C74066E"/>
    <w:rsid w:val="2C91543E"/>
    <w:rsid w:val="2D9C2201"/>
    <w:rsid w:val="2DBE7648"/>
    <w:rsid w:val="307916BF"/>
    <w:rsid w:val="30CC260A"/>
    <w:rsid w:val="31054F6A"/>
    <w:rsid w:val="3289357E"/>
    <w:rsid w:val="34CB4172"/>
    <w:rsid w:val="34F71425"/>
    <w:rsid w:val="36934425"/>
    <w:rsid w:val="39706BE3"/>
    <w:rsid w:val="39B74A3D"/>
    <w:rsid w:val="3AEB2DD4"/>
    <w:rsid w:val="3F1B39EB"/>
    <w:rsid w:val="3FB201A8"/>
    <w:rsid w:val="415F09FC"/>
    <w:rsid w:val="421E6750"/>
    <w:rsid w:val="424372E0"/>
    <w:rsid w:val="42BD2B79"/>
    <w:rsid w:val="4380532D"/>
    <w:rsid w:val="46645C30"/>
    <w:rsid w:val="46BC1914"/>
    <w:rsid w:val="47D66A32"/>
    <w:rsid w:val="47F836C2"/>
    <w:rsid w:val="487F5122"/>
    <w:rsid w:val="48CF2C82"/>
    <w:rsid w:val="4968669E"/>
    <w:rsid w:val="4AA80BD0"/>
    <w:rsid w:val="4B702489"/>
    <w:rsid w:val="4C8C325B"/>
    <w:rsid w:val="4DB006D9"/>
    <w:rsid w:val="4FC0348D"/>
    <w:rsid w:val="50E33898"/>
    <w:rsid w:val="51EE3A50"/>
    <w:rsid w:val="53484562"/>
    <w:rsid w:val="53570750"/>
    <w:rsid w:val="536E1A03"/>
    <w:rsid w:val="538A6088"/>
    <w:rsid w:val="545835A9"/>
    <w:rsid w:val="558636C1"/>
    <w:rsid w:val="55AD31AA"/>
    <w:rsid w:val="5632798F"/>
    <w:rsid w:val="57C51086"/>
    <w:rsid w:val="58426498"/>
    <w:rsid w:val="589511B6"/>
    <w:rsid w:val="597B20A5"/>
    <w:rsid w:val="5A3203AE"/>
    <w:rsid w:val="5C206596"/>
    <w:rsid w:val="5EF33294"/>
    <w:rsid w:val="602A37A0"/>
    <w:rsid w:val="613830AB"/>
    <w:rsid w:val="61D3001B"/>
    <w:rsid w:val="61EC77DF"/>
    <w:rsid w:val="62C40281"/>
    <w:rsid w:val="63A16978"/>
    <w:rsid w:val="63B75454"/>
    <w:rsid w:val="64C42006"/>
    <w:rsid w:val="651A6D68"/>
    <w:rsid w:val="652E7DA7"/>
    <w:rsid w:val="65C56D53"/>
    <w:rsid w:val="66544771"/>
    <w:rsid w:val="66AC75C6"/>
    <w:rsid w:val="68274543"/>
    <w:rsid w:val="685C1E23"/>
    <w:rsid w:val="6AC00F08"/>
    <w:rsid w:val="6E636E45"/>
    <w:rsid w:val="6EC37CD4"/>
    <w:rsid w:val="70746E88"/>
    <w:rsid w:val="713820A0"/>
    <w:rsid w:val="73F47604"/>
    <w:rsid w:val="74283E20"/>
    <w:rsid w:val="743E7064"/>
    <w:rsid w:val="753120DB"/>
    <w:rsid w:val="75DC31CD"/>
    <w:rsid w:val="766C255F"/>
    <w:rsid w:val="772A7D5F"/>
    <w:rsid w:val="77822008"/>
    <w:rsid w:val="78370EFE"/>
    <w:rsid w:val="78AC6FD9"/>
    <w:rsid w:val="7A4F4F66"/>
    <w:rsid w:val="7A547026"/>
    <w:rsid w:val="7CFA3218"/>
    <w:rsid w:val="7DAC7985"/>
    <w:rsid w:val="7E434DFB"/>
    <w:rsid w:val="7F0279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7">
    <w:name w:val="FollowedHyperlink"/>
    <w:basedOn w:val="6"/>
    <w:qFormat/>
    <w:uiPriority w:val="0"/>
    <w:rPr>
      <w:rFonts w:ascii="微软雅黑" w:hAnsi="微软雅黑" w:eastAsia="微软雅黑" w:cs="微软雅黑"/>
      <w:color w:val="3E3E3E"/>
      <w:u w:val="single"/>
    </w:rPr>
  </w:style>
  <w:style w:type="character" w:styleId="8">
    <w:name w:val="Hyperlink"/>
    <w:basedOn w:val="6"/>
    <w:qFormat/>
    <w:uiPriority w:val="0"/>
    <w:rPr>
      <w:rFonts w:hint="eastAsia" w:ascii="微软雅黑" w:hAnsi="微软雅黑" w:eastAsia="微软雅黑" w:cs="微软雅黑"/>
      <w:color w:val="3E3E3E"/>
      <w:u w:val="single"/>
    </w:rPr>
  </w:style>
  <w:style w:type="paragraph" w:customStyle="1" w:styleId="1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11">
    <w:name w:val="bshare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ScaleCrop>false</ScaleCrop>
  <LinksUpToDate>false</LinksUpToDate>
  <CharactersWithSpaces>21156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Administrator</cp:lastModifiedBy>
  <cp:lastPrinted>2021-07-05T07:38:00Z</cp:lastPrinted>
  <dcterms:modified xsi:type="dcterms:W3CDTF">2021-09-03T08:19:44Z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