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bCs/>
          <w:color w:val="000000" w:themeColor="text1"/>
          <w:kern w:val="0"/>
          <w:sz w:val="44"/>
          <w:szCs w:val="44"/>
        </w:rPr>
      </w:pPr>
      <w:r>
        <w:rPr>
          <w:rFonts w:hint="eastAsia" w:eastAsia="方正小标宋简体" w:cs="Times New Roman"/>
          <w:bCs/>
          <w:color w:val="000000" w:themeColor="text1"/>
          <w:kern w:val="0"/>
          <w:sz w:val="44"/>
          <w:szCs w:val="44"/>
          <w:lang w:val="en-US" w:eastAsia="zh-CN"/>
        </w:rPr>
        <w:t>三亚市</w:t>
      </w:r>
      <w:r>
        <w:rPr>
          <w:rFonts w:hint="eastAsia" w:eastAsia="方正小标宋简体" w:cs="Times New Roman"/>
          <w:bCs/>
          <w:color w:val="000000" w:themeColor="text1"/>
          <w:kern w:val="0"/>
          <w:sz w:val="44"/>
          <w:szCs w:val="44"/>
          <w:lang w:eastAsia="zh-CN"/>
        </w:rPr>
        <w:t>吉阳区妇</w:t>
      </w:r>
      <w:r>
        <w:rPr>
          <w:rFonts w:hint="eastAsia" w:eastAsia="方正小标宋简体" w:cs="Times New Roman"/>
          <w:bCs/>
          <w:color w:val="000000" w:themeColor="text1"/>
          <w:kern w:val="0"/>
          <w:sz w:val="44"/>
          <w:szCs w:val="44"/>
          <w:lang w:val="en-US" w:eastAsia="zh-CN"/>
        </w:rPr>
        <w:t>女联合会</w:t>
      </w:r>
      <w:r>
        <w:rPr>
          <w:rFonts w:hint="default" w:ascii="Times New Roman" w:hAnsi="Times New Roman" w:eastAsia="方正小标宋简体" w:cs="Times New Roman"/>
          <w:bCs/>
          <w:color w:val="000000" w:themeColor="text1"/>
          <w:kern w:val="0"/>
          <w:sz w:val="44"/>
          <w:szCs w:val="44"/>
        </w:rPr>
        <w:t>责任清单</w:t>
      </w:r>
    </w:p>
    <w:p>
      <w:pPr>
        <w:spacing w:line="578" w:lineRule="exact"/>
        <w:jc w:val="center"/>
        <w:rPr>
          <w:rFonts w:hint="eastAsia" w:eastAsia="方正小标宋简体" w:cs="Times New Roman"/>
          <w:bCs/>
          <w:color w:val="000000" w:themeColor="text1"/>
          <w:kern w:val="0"/>
          <w:sz w:val="30"/>
          <w:szCs w:val="30"/>
          <w:lang w:val="en-US" w:eastAsia="zh-CN"/>
        </w:rPr>
      </w:pPr>
      <w:r>
        <w:rPr>
          <w:rFonts w:hint="eastAsia" w:eastAsia="方正小标宋简体" w:cs="Times New Roman"/>
          <w:bCs/>
          <w:color w:val="000000" w:themeColor="text1"/>
          <w:kern w:val="0"/>
          <w:sz w:val="30"/>
          <w:szCs w:val="30"/>
          <w:lang w:val="en-US" w:eastAsia="zh-CN"/>
        </w:rPr>
        <w:t xml:space="preserve"> </w:t>
      </w:r>
    </w:p>
    <w:p>
      <w:pPr>
        <w:spacing w:line="578" w:lineRule="exact"/>
        <w:jc w:val="center"/>
        <w:rPr>
          <w:rFonts w:hint="default" w:ascii="Times New Roman" w:hAnsi="Times New Roman" w:eastAsia="黑体" w:cs="Times New Roman"/>
          <w:bCs/>
          <w:color w:val="000000" w:themeColor="text1"/>
          <w:kern w:val="0"/>
          <w:sz w:val="30"/>
          <w:szCs w:val="30"/>
        </w:rPr>
      </w:pPr>
      <w:r>
        <w:rPr>
          <w:rFonts w:hint="default" w:ascii="Times New Roman" w:hAnsi="Times New Roman" w:eastAsia="黑体" w:cs="Times New Roman"/>
          <w:bCs/>
          <w:color w:val="000000" w:themeColor="text1"/>
          <w:kern w:val="0"/>
          <w:sz w:val="30"/>
          <w:szCs w:val="30"/>
        </w:rPr>
        <w:t>目    录</w:t>
      </w:r>
    </w:p>
    <w:p>
      <w:pPr>
        <w:spacing w:line="578" w:lineRule="exact"/>
        <w:rPr>
          <w:rFonts w:hint="default" w:ascii="Times New Roman" w:hAnsi="Times New Roman" w:cs="Times New Roman"/>
          <w:bCs/>
          <w:color w:val="000000" w:themeColor="text1"/>
          <w:kern w:val="0"/>
          <w:szCs w:val="32"/>
        </w:rPr>
      </w:pPr>
      <w:r>
        <w:rPr>
          <w:rFonts w:hint="default" w:ascii="Times New Roman" w:hAnsi="Times New Roman" w:cs="Times New Roman"/>
          <w:bCs/>
          <w:color w:val="000000" w:themeColor="text1"/>
          <w:kern w:val="0"/>
          <w:szCs w:val="32"/>
        </w:rPr>
        <w:t xml:space="preserve">   </w:t>
      </w:r>
    </w:p>
    <w:p>
      <w:pPr>
        <w:spacing w:line="578" w:lineRule="exact"/>
        <w:rPr>
          <w:rFonts w:hint="eastAsia" w:ascii="仿宋_GB2312" w:hAnsi="仿宋_GB2312" w:eastAsia="仿宋_GB2312" w:cs="仿宋_GB2312"/>
          <w:bCs/>
          <w:color w:val="000000" w:themeColor="text1"/>
          <w:kern w:val="0"/>
          <w:sz w:val="30"/>
          <w:szCs w:val="30"/>
        </w:rPr>
      </w:pPr>
      <w:r>
        <w:rPr>
          <w:rFonts w:hint="eastAsia" w:ascii="仿宋_GB2312" w:hAnsi="仿宋_GB2312" w:eastAsia="仿宋_GB2312" w:cs="仿宋_GB2312"/>
          <w:bCs/>
          <w:color w:val="000000" w:themeColor="text1"/>
          <w:kern w:val="0"/>
          <w:sz w:val="30"/>
          <w:szCs w:val="30"/>
        </w:rPr>
        <w:t>一、部门职责登记表</w:t>
      </w:r>
    </w:p>
    <w:p>
      <w:pPr>
        <w:spacing w:line="578" w:lineRule="exact"/>
        <w:rPr>
          <w:rFonts w:hint="eastAsia" w:ascii="仿宋_GB2312" w:hAnsi="仿宋_GB2312" w:eastAsia="仿宋_GB2312" w:cs="仿宋_GB2312"/>
          <w:bCs/>
          <w:color w:val="000000" w:themeColor="text1"/>
          <w:kern w:val="0"/>
          <w:sz w:val="30"/>
          <w:szCs w:val="30"/>
        </w:rPr>
      </w:pPr>
      <w:r>
        <w:rPr>
          <w:rFonts w:hint="eastAsia" w:ascii="仿宋_GB2312" w:hAnsi="仿宋_GB2312" w:eastAsia="仿宋_GB2312" w:cs="仿宋_GB2312"/>
          <w:bCs/>
          <w:color w:val="000000" w:themeColor="text1"/>
          <w:kern w:val="0"/>
          <w:sz w:val="30"/>
          <w:szCs w:val="30"/>
        </w:rPr>
        <w:t>二、与相关部门的职责边界</w:t>
      </w:r>
      <w:r>
        <w:rPr>
          <w:rFonts w:hint="eastAsia" w:ascii="仿宋_GB2312" w:hAnsi="仿宋_GB2312" w:cs="仿宋_GB2312"/>
          <w:bCs/>
          <w:color w:val="000000" w:themeColor="text1"/>
          <w:kern w:val="0"/>
          <w:sz w:val="30"/>
          <w:szCs w:val="30"/>
          <w:lang w:val="en-US" w:eastAsia="zh-CN"/>
        </w:rPr>
        <w:t>登记</w:t>
      </w:r>
      <w:r>
        <w:rPr>
          <w:rFonts w:hint="eastAsia" w:ascii="仿宋_GB2312" w:hAnsi="仿宋_GB2312" w:eastAsia="仿宋_GB2312" w:cs="仿宋_GB2312"/>
          <w:bCs/>
          <w:color w:val="000000" w:themeColor="text1"/>
          <w:kern w:val="0"/>
          <w:sz w:val="30"/>
          <w:szCs w:val="30"/>
        </w:rPr>
        <w:t>表</w:t>
      </w:r>
      <w:r>
        <w:rPr>
          <w:rFonts w:hint="eastAsia" w:ascii="仿宋_GB2312" w:hAnsi="仿宋_GB2312" w:eastAsia="仿宋_GB2312" w:cs="仿宋_GB2312"/>
          <w:bCs/>
          <w:color w:val="000000" w:themeColor="text1"/>
          <w:kern w:val="0"/>
          <w:sz w:val="30"/>
          <w:szCs w:val="30"/>
          <w:lang w:eastAsia="zh-CN"/>
        </w:rPr>
        <w:t>（无）</w:t>
      </w:r>
    </w:p>
    <w:p>
      <w:pPr>
        <w:spacing w:line="578" w:lineRule="exact"/>
        <w:rPr>
          <w:rFonts w:hint="eastAsia" w:ascii="仿宋_GB2312" w:hAnsi="仿宋_GB2312" w:eastAsia="仿宋_GB2312" w:cs="仿宋_GB2312"/>
          <w:bCs/>
          <w:color w:val="000000" w:themeColor="text1"/>
          <w:kern w:val="0"/>
          <w:sz w:val="30"/>
          <w:szCs w:val="30"/>
        </w:rPr>
      </w:pPr>
      <w:r>
        <w:rPr>
          <w:rFonts w:hint="eastAsia" w:ascii="仿宋_GB2312" w:hAnsi="仿宋_GB2312" w:eastAsia="仿宋_GB2312" w:cs="仿宋_GB2312"/>
          <w:bCs/>
          <w:color w:val="000000" w:themeColor="text1"/>
          <w:kern w:val="0"/>
          <w:sz w:val="30"/>
          <w:szCs w:val="30"/>
        </w:rPr>
        <w:t>三、事中事后监管制度</w:t>
      </w:r>
      <w:r>
        <w:rPr>
          <w:rFonts w:hint="eastAsia" w:ascii="仿宋_GB2312" w:hAnsi="仿宋_GB2312" w:eastAsia="仿宋_GB2312" w:cs="仿宋_GB2312"/>
          <w:bCs/>
          <w:color w:val="000000" w:themeColor="text1"/>
          <w:kern w:val="0"/>
          <w:sz w:val="30"/>
          <w:szCs w:val="30"/>
          <w:lang w:eastAsia="zh-CN"/>
        </w:rPr>
        <w:t>（无）</w:t>
      </w:r>
    </w:p>
    <w:p>
      <w:pPr>
        <w:spacing w:line="578" w:lineRule="exact"/>
        <w:rPr>
          <w:rFonts w:hint="eastAsia" w:ascii="仿宋_GB2312" w:hAnsi="仿宋_GB2312" w:eastAsia="仿宋_GB2312" w:cs="仿宋_GB2312"/>
          <w:sz w:val="30"/>
          <w:szCs w:val="30"/>
          <w:lang w:val="en-US" w:eastAsia="zh-CN"/>
        </w:rPr>
        <w:sectPr>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pPr>
      <w:r>
        <w:rPr>
          <w:rFonts w:hint="eastAsia" w:ascii="仿宋_GB2312" w:hAnsi="仿宋_GB2312" w:eastAsia="仿宋_GB2312" w:cs="仿宋_GB2312"/>
          <w:bCs/>
          <w:color w:val="000000" w:themeColor="text1"/>
          <w:kern w:val="0"/>
          <w:sz w:val="30"/>
          <w:szCs w:val="30"/>
        </w:rPr>
        <w:t>四、公共服务事项</w:t>
      </w:r>
    </w:p>
    <w:p>
      <w:pPr>
        <w:spacing w:line="578"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部门职责登记表</w:t>
      </w:r>
    </w:p>
    <w:p>
      <w:pPr>
        <w:spacing w:line="578" w:lineRule="exact"/>
        <w:jc w:val="center"/>
        <w:rPr>
          <w:rFonts w:hint="default" w:ascii="Times New Roman" w:hAnsi="Times New Roman" w:eastAsia="方正小标宋简体" w:cs="Times New Roman"/>
          <w:sz w:val="36"/>
          <w:szCs w:val="36"/>
        </w:rPr>
      </w:pPr>
    </w:p>
    <w:tbl>
      <w:tblPr>
        <w:tblStyle w:val="7"/>
        <w:tblW w:w="9431" w:type="dxa"/>
        <w:jc w:val="center"/>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888"/>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2888"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主要职责</w:t>
            </w:r>
          </w:p>
        </w:tc>
        <w:tc>
          <w:tcPr>
            <w:tcW w:w="5521"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2"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888"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none"/>
                <w:lang w:eastAsia="zh-CN"/>
              </w:rPr>
              <w:t>贯彻执行中央及省、市有关妇女儿童工作的方针、政策，依法拟定并组织实施本区妇女儿童工作的规划和措施。</w:t>
            </w: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参与有关妇女儿童政策、法规的拟定，牵头制定三亚市吉阳区妇女发展规划三亚市吉阳区儿童发展规划工作，并组织实施。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rPr>
            </w:pPr>
          </w:p>
        </w:tc>
        <w:tc>
          <w:tcPr>
            <w:tcW w:w="2888"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参与有关维护妇女合法权益政策和法律草案的拟定与修改。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rPr>
            </w:pPr>
          </w:p>
        </w:tc>
        <w:tc>
          <w:tcPr>
            <w:tcW w:w="2888"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参与制定实施家庭和儿童相关法规、政策。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2"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2</w:t>
            </w:r>
          </w:p>
        </w:tc>
        <w:tc>
          <w:tcPr>
            <w:tcW w:w="2888"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团结、动员全区妇女积极投身改革开放和中国特色社会主义建设，促进经济发展和社会进步。</w:t>
            </w: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auto"/>
                <w:spacing w:val="0"/>
                <w:sz w:val="24"/>
                <w:szCs w:val="24"/>
              </w:rPr>
              <w:t>组</w:t>
            </w:r>
            <w:r>
              <w:rPr>
                <w:rFonts w:hint="default" w:ascii="Times New Roman" w:hAnsi="Times New Roman" w:eastAsia="仿宋_GB2312" w:cs="Times New Roman"/>
                <w:sz w:val="24"/>
                <w:szCs w:val="24"/>
                <w:lang w:val="en-US" w:eastAsia="zh-CN"/>
              </w:rPr>
              <w:t>织引导妇女学习贯彻习近平新时代中国特色社会主义思想和党的路线方针政策,用中国特色社会主义共同理想凝聚妇女。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rPr>
            </w:pPr>
          </w:p>
        </w:tc>
        <w:tc>
          <w:tcPr>
            <w:tcW w:w="2888"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组织引领妇女为维护改革发展稳定大局服务，团结动员妇女投身社会主义经济建设。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5" w:hRule="atLeast"/>
          <w:jc w:val="center"/>
        </w:trPr>
        <w:tc>
          <w:tcPr>
            <w:tcW w:w="1022"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160" w:leftChars="50" w:right="0" w:right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p>
        </w:tc>
        <w:tc>
          <w:tcPr>
            <w:tcW w:w="2888"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指导全区妇女组织的宣传舆论工作。教育、引导广大妇女增强自尊、自信、自立、自强精神，开展多层次的妇女干部培训和妇女职业技术培训，宣传表彰优秀妇女典型，全面提高妇女素质，促进妇女人才健康成长。</w:t>
            </w: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宣传马克思主义妇女观和男女平等基本国策，教育、引导广大妇女增强自尊、自信、自立、自强的精神，促进家庭文明建设。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p>
        </w:tc>
        <w:tc>
          <w:tcPr>
            <w:tcW w:w="2888"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sz w:val="24"/>
                <w:szCs w:val="24"/>
                <w:lang w:val="en-US" w:eastAsia="zh-CN"/>
              </w:rPr>
              <w:t>表彰各类妇女先进典型。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p>
        </w:tc>
        <w:tc>
          <w:tcPr>
            <w:tcW w:w="2888"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提高妇女素质，促进妇女人才成长，开展多层次的妇女干部培训和妇女职业技术培训。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2"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做好调查研究，及时发现全区妇女和儿童工作中的新情况、新问题，向党和政府反映并提出建议。</w:t>
            </w: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做好妇女儿童调查研究工作，及时向党和政府反映社情民意并提出意见和建议，从源头上维护妇女儿童合法权益。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022"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160" w:leftChars="50" w:right="0" w:right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2888"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highlight w:val="none"/>
                <w:lang w:eastAsia="zh-CN"/>
              </w:rPr>
              <w:t>代表妇女参与国家和社会事务的民主管理和民主监督，参与研究制定有关妇女儿童的法律、法规和政策，参与社会管理和公共服务，推动保障妇女权益法律政策和妇女、儿童发展纲要（规划）的实施。</w:t>
            </w: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代表妇女参政议政，积极推动有关方面逐步提高女性在各级人大代表、政协委员及人大、政协常委中的比例。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p>
        </w:tc>
        <w:tc>
          <w:tcPr>
            <w:tcW w:w="2888"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拓宽妇女参与决策和管理的渠道，在制定涉及公共利益和妇女权益的重大方针政策时，充分听取妇女群众意见和建议。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p>
        </w:tc>
        <w:tc>
          <w:tcPr>
            <w:tcW w:w="2888"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参与制定三亚市吉阳区妇女、儿童发展规划纲要，并推动保障措施实施。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jc w:val="center"/>
        </w:trPr>
        <w:tc>
          <w:tcPr>
            <w:tcW w:w="1022"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160" w:leftChars="5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2888"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为妇女儿童服务，加强与社会各界的联系，协调和推动各界为妇女儿童办实事、办好事；建立与各族各界妇女的联系，巩固妇女的大团结。</w:t>
            </w: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sz w:val="24"/>
                <w:szCs w:val="24"/>
                <w:lang w:val="en-US" w:eastAsia="zh-CN"/>
              </w:rPr>
              <w:t>协调推动全社会为妇女儿童办实事、办好事，促进妇女儿童事业发展。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2"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p>
        </w:tc>
        <w:tc>
          <w:tcPr>
            <w:tcW w:w="288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sz w:val="24"/>
                <w:szCs w:val="24"/>
                <w:lang w:val="en-US" w:eastAsia="zh-CN"/>
              </w:rPr>
              <w:t>加强与各族各界妇女的联系，促进友谊，加强合作，巩固推动妇女团结。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022"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w:t>
            </w:r>
          </w:p>
        </w:tc>
        <w:tc>
          <w:tcPr>
            <w:tcW w:w="2888"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highlight w:val="none"/>
                <w:lang w:eastAsia="zh-CN"/>
              </w:rPr>
              <w:t>指导各级妇联组织依据《中华全国妇女联合会章程》和妇女代表大会的决议，开展妇女儿童工作；联系团体会员并给予业务指导。</w:t>
            </w:r>
          </w:p>
        </w:tc>
        <w:tc>
          <w:tcPr>
            <w:tcW w:w="5521" w:type="dxa"/>
            <w:vAlign w:val="center"/>
          </w:tcPr>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服务妇女儿童和基层，</w:t>
            </w:r>
            <w:r>
              <w:rPr>
                <w:rFonts w:hint="default" w:ascii="Times New Roman" w:hAnsi="Times New Roman" w:eastAsia="仿宋_GB2312" w:cs="Times New Roman"/>
                <w:sz w:val="24"/>
                <w:szCs w:val="24"/>
                <w:lang w:val="en-US" w:eastAsia="zh-CN"/>
              </w:rPr>
              <w:t>检查指导</w:t>
            </w:r>
            <w:r>
              <w:rPr>
                <w:rFonts w:hint="eastAsia" w:ascii="Times New Roman" w:hAnsi="Times New Roman" w:cs="Times New Roman"/>
                <w:sz w:val="24"/>
                <w:szCs w:val="24"/>
                <w:lang w:val="en-US" w:eastAsia="zh-CN"/>
              </w:rPr>
              <w:t>各</w:t>
            </w:r>
            <w:r>
              <w:rPr>
                <w:rFonts w:hint="default" w:ascii="Times New Roman" w:hAnsi="Times New Roman" w:eastAsia="仿宋_GB2312" w:cs="Times New Roman"/>
                <w:sz w:val="24"/>
                <w:szCs w:val="24"/>
                <w:lang w:val="en-US" w:eastAsia="zh-CN"/>
              </w:rPr>
              <w:t>村（社区）妇联开展妇女儿童工作</w:t>
            </w:r>
            <w:r>
              <w:rPr>
                <w:rFonts w:hint="eastAsia"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p>
        </w:tc>
        <w:tc>
          <w:tcPr>
            <w:tcW w:w="2888"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highlight w:val="none"/>
                <w:lang w:eastAsia="zh-CN"/>
              </w:rPr>
            </w:pP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指导妇联团体会员开展妇女儿童工作。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2"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highlight w:val="none"/>
                <w:lang w:eastAsia="zh-CN"/>
              </w:rPr>
              <w:t>负责区政府妇女儿童工作委员会的日常工作。</w:t>
            </w: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负责组织、协调实施、落实区政府妇女儿童工作委员会决定的各项任务。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2"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w:t>
            </w:r>
          </w:p>
        </w:tc>
        <w:tc>
          <w:tcPr>
            <w:tcW w:w="2888"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highlight w:val="none"/>
                <w:lang w:eastAsia="zh-CN"/>
              </w:rPr>
              <w:t>承办区委、区政府及上级妇女联合会交办的工作。</w:t>
            </w: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负责组织、协调实施、落实区委、区政府决定的各项工作任务。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p>
        </w:tc>
        <w:tc>
          <w:tcPr>
            <w:tcW w:w="2888" w:type="dxa"/>
            <w:vMerge w:val="continue"/>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eastAsia="zh-CN"/>
              </w:rPr>
            </w:pPr>
          </w:p>
        </w:tc>
        <w:tc>
          <w:tcPr>
            <w:tcW w:w="552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向区委、区政府以及上级妇联及时汇报有关吉阳区妇女儿童发展的相关问题并提出相关建议。</w:t>
            </w:r>
          </w:p>
        </w:tc>
      </w:tr>
    </w:tbl>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rPr>
          <w:rFonts w:hint="eastAsia" w:ascii="仿宋_GB2312" w:hAnsi="仿宋_GB2312" w:eastAsia="仿宋_GB2312" w:cs="仿宋_GB2312"/>
          <w:sz w:val="24"/>
          <w:szCs w:val="24"/>
          <w:lang w:val="en-US" w:eastAsia="zh-CN"/>
        </w:rPr>
        <w:sectPr>
          <w:footerReference r:id="rId5" w:type="default"/>
          <w:pgSz w:w="11906" w:h="16838"/>
          <w:pgMar w:top="2098" w:right="1474" w:bottom="1984" w:left="1587" w:header="851" w:footer="992" w:gutter="0"/>
          <w:pgNumType w:fmt="decimal"/>
          <w:cols w:space="425" w:num="1"/>
          <w:docGrid w:type="lines" w:linePitch="312" w:charSpace="0"/>
        </w:sectPr>
      </w:pPr>
    </w:p>
    <w:p>
      <w:pPr>
        <w:spacing w:line="578"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与相关部门的职责边界登记表</w:t>
      </w:r>
      <w:r>
        <w:rPr>
          <w:rFonts w:hint="eastAsia" w:ascii="黑体" w:hAnsi="黑体" w:eastAsia="黑体" w:cs="黑体"/>
          <w:sz w:val="32"/>
          <w:szCs w:val="32"/>
          <w:lang w:eastAsia="zh-CN"/>
        </w:rPr>
        <w:t>（无）</w:t>
      </w:r>
    </w:p>
    <w:p>
      <w:pPr>
        <w:spacing w:line="578"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事中事后监管制度（</w:t>
      </w:r>
      <w:r>
        <w:rPr>
          <w:rFonts w:hint="eastAsia" w:ascii="黑体" w:hAnsi="黑体" w:eastAsia="黑体" w:cs="黑体"/>
          <w:sz w:val="32"/>
          <w:szCs w:val="32"/>
          <w:lang w:eastAsia="zh-CN"/>
        </w:rPr>
        <w:t>无</w:t>
      </w:r>
      <w:r>
        <w:rPr>
          <w:rFonts w:hint="eastAsia" w:ascii="黑体" w:hAnsi="黑体" w:eastAsia="黑体" w:cs="黑体"/>
          <w:sz w:val="32"/>
          <w:szCs w:val="32"/>
        </w:rPr>
        <w:t>）</w:t>
      </w: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lang w:val="en-US" w:eastAsia="zh-CN"/>
        </w:rPr>
      </w:pPr>
    </w:p>
    <w:p>
      <w:pPr>
        <w:spacing w:line="578" w:lineRule="exact"/>
        <w:jc w:val="center"/>
        <w:rPr>
          <w:rFonts w:hint="eastAsia" w:ascii="黑体" w:hAnsi="黑体" w:eastAsia="黑体" w:cs="黑体"/>
          <w:sz w:val="32"/>
          <w:szCs w:val="32"/>
        </w:rPr>
      </w:pPr>
      <w:bookmarkStart w:id="0" w:name="_GoBack"/>
      <w:bookmarkEnd w:id="0"/>
      <w:r>
        <w:rPr>
          <w:rFonts w:hint="eastAsia" w:ascii="黑体" w:hAnsi="黑体" w:eastAsia="黑体" w:cs="黑体"/>
          <w:sz w:val="32"/>
          <w:szCs w:val="32"/>
          <w:lang w:val="en-US" w:eastAsia="zh-CN"/>
        </w:rPr>
        <w:t>四、</w:t>
      </w:r>
      <w:r>
        <w:rPr>
          <w:rFonts w:hint="eastAsia" w:ascii="黑体" w:hAnsi="黑体" w:eastAsia="黑体" w:cs="黑体"/>
          <w:sz w:val="32"/>
          <w:szCs w:val="32"/>
        </w:rPr>
        <w:t>公共服务事项</w:t>
      </w:r>
    </w:p>
    <w:p>
      <w:pPr>
        <w:pStyle w:val="2"/>
        <w:rPr>
          <w:rFonts w:hint="default"/>
        </w:rPr>
      </w:pPr>
    </w:p>
    <w:tbl>
      <w:tblPr>
        <w:tblStyle w:val="7"/>
        <w:tblW w:w="8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485"/>
        <w:gridCol w:w="3609"/>
        <w:gridCol w:w="156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79"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1485"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服务事项</w:t>
            </w:r>
          </w:p>
        </w:tc>
        <w:tc>
          <w:tcPr>
            <w:tcW w:w="3609"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主要内容</w:t>
            </w:r>
          </w:p>
        </w:tc>
        <w:tc>
          <w:tcPr>
            <w:tcW w:w="1568"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承办机构</w:t>
            </w:r>
          </w:p>
        </w:tc>
        <w:tc>
          <w:tcPr>
            <w:tcW w:w="1408" w:type="dxa"/>
            <w:vAlign w:val="center"/>
          </w:tcPr>
          <w:p>
            <w:pPr>
              <w:spacing w:line="578" w:lineRule="exact"/>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吉阳区”妇女儿童之家“阵地建设公益服务项目</w:t>
            </w:r>
          </w:p>
        </w:tc>
        <w:tc>
          <w:tcPr>
            <w:tcW w:w="3609"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充分发挥村、社区妇女儿童之家的阵地作用，凝聚社会力量，为社区妇女儿童和家庭提供更加专业、精准的服务，满足多元化、个性化需求。2、开展兴趣培养、安全教育、绿色环保、科学探索等服务活动，拓展视野，培养儿童兴趣爱好，促进他们健康成长。3、为妇女儿童及其家庭开展亲子绘本阅读活动，促进家庭成员之间进行有效沟通，改善亲子关系，共建和谐幸福家庭。4、推进“儿童之家”项目化专业化服务和规范化管理。</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吉阳区妇联</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88703450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社会性服务</w:t>
            </w:r>
          </w:p>
        </w:tc>
        <w:tc>
          <w:tcPr>
            <w:tcW w:w="3609"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1.搭建妇女学习平台，倡导妇女终身教育。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2.开展妇女职业技术培训和多层次的妇女干部培训。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3.接待处理妇女群众来信来访，接受妇女投诉，参与社会综合治理、维稳工作和对重大典型信访案件专项调查，为受害妇女提供法律援助和社会服务。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4.搭建社会公益平台，关注关爱特殊困难妇女儿童群体，协调和推动社会各界为妇女儿童办实事好事。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5.开展困境儿童、农村留守儿童等关爱帮扶工作。</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吉阳区妇联</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88703450</w:t>
            </w:r>
          </w:p>
        </w:tc>
      </w:tr>
    </w:tbl>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default" w:ascii="Times New Roman" w:hAnsi="Times New Roman" w:eastAsia="仿宋_GB2312"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default" w:ascii="Times New Roman" w:hAnsi="Times New Roman" w:eastAsia="仿宋_GB2312" w:cs="Times New Roman"/>
          <w:kern w:val="0"/>
          <w:sz w:val="24"/>
          <w:szCs w:val="24"/>
        </w:rPr>
      </w:pPr>
    </w:p>
    <w:sectPr>
      <w:footerReference r:id="rId6"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05" o:spid="_x0000_s4105" o:spt="202" type="#_x0000_t202" style="position:absolute;left:0pt;margin-top:-38.2pt;height:144pt;width:144pt;mso-position-horizontal:outside;mso-position-horizontal-relative:margin;mso-wrap-style:none;z-index:25170022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04" o:spid="_x0000_s4104" o:spt="202" type="#_x0000_t202" style="position:absolute;left:0pt;margin-top:-38.1pt;height:144pt;width:144pt;mso-position-horizontal:outside;mso-position-horizontal-relative:margin;mso-wrap-style:none;z-index:25169920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03" o:spid="_x0000_s4103" o:spt="202" type="#_x0000_t202" style="position:absolute;left:0pt;margin-top:-38.2pt;height:144pt;width:144pt;mso-position-horizontal:outside;mso-position-horizontal-relative:margin;mso-wrap-style:none;z-index:25169817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t xml:space="preserve">— </w:t>
                </w: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4</w:t>
                </w:r>
                <w:r>
                  <w:rPr>
                    <w:rFonts w:hint="eastAsia" w:asciiTheme="minorEastAsia" w:hAnsiTheme="minorEastAsia" w:eastAsiaTheme="minorEastAsia" w:cstheme="minorEastAsia"/>
                    <w:sz w:val="28"/>
                    <w:szCs w:val="40"/>
                    <w:lang w:eastAsia="zh-CN"/>
                  </w:rPr>
                  <w:fldChar w:fldCharType="end"/>
                </w:r>
                <w:r>
                  <w:rPr>
                    <w:rFonts w:hint="eastAsia" w:asciiTheme="minorEastAsia" w:hAnsiTheme="minorEastAsia" w:eastAsiaTheme="minorEastAsia" w:cstheme="minorEastAsia"/>
                    <w:sz w:val="28"/>
                    <w:szCs w:val="40"/>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307E"/>
    <w:rsid w:val="000305BE"/>
    <w:rsid w:val="005B307E"/>
    <w:rsid w:val="01546A5A"/>
    <w:rsid w:val="023E75EA"/>
    <w:rsid w:val="038C1C4C"/>
    <w:rsid w:val="04046400"/>
    <w:rsid w:val="040C4DCA"/>
    <w:rsid w:val="04430482"/>
    <w:rsid w:val="04D84057"/>
    <w:rsid w:val="050D1832"/>
    <w:rsid w:val="05F97E29"/>
    <w:rsid w:val="066B1319"/>
    <w:rsid w:val="06970489"/>
    <w:rsid w:val="06D5130F"/>
    <w:rsid w:val="0796211B"/>
    <w:rsid w:val="08CD7558"/>
    <w:rsid w:val="08EF55B8"/>
    <w:rsid w:val="09830079"/>
    <w:rsid w:val="0BB005D6"/>
    <w:rsid w:val="0F200D3F"/>
    <w:rsid w:val="11036126"/>
    <w:rsid w:val="115C410F"/>
    <w:rsid w:val="12F81701"/>
    <w:rsid w:val="167F66A6"/>
    <w:rsid w:val="17470CCD"/>
    <w:rsid w:val="19006D44"/>
    <w:rsid w:val="19CC140B"/>
    <w:rsid w:val="19FB65B5"/>
    <w:rsid w:val="1A7E6B05"/>
    <w:rsid w:val="1ABB268D"/>
    <w:rsid w:val="1D3A6632"/>
    <w:rsid w:val="1D9C4C7C"/>
    <w:rsid w:val="1E14315F"/>
    <w:rsid w:val="1EC53339"/>
    <w:rsid w:val="1F576EA3"/>
    <w:rsid w:val="23045369"/>
    <w:rsid w:val="23082725"/>
    <w:rsid w:val="23DC081D"/>
    <w:rsid w:val="24712AE2"/>
    <w:rsid w:val="25B41227"/>
    <w:rsid w:val="26125CFE"/>
    <w:rsid w:val="263647AA"/>
    <w:rsid w:val="279727EA"/>
    <w:rsid w:val="27B6002E"/>
    <w:rsid w:val="2879640A"/>
    <w:rsid w:val="29B67742"/>
    <w:rsid w:val="2A153C94"/>
    <w:rsid w:val="2B37631B"/>
    <w:rsid w:val="2B4757D2"/>
    <w:rsid w:val="2C74066E"/>
    <w:rsid w:val="2D9C2201"/>
    <w:rsid w:val="2DBC6B8B"/>
    <w:rsid w:val="2E032FB7"/>
    <w:rsid w:val="2E8A5A97"/>
    <w:rsid w:val="307916BF"/>
    <w:rsid w:val="307E2783"/>
    <w:rsid w:val="308908AA"/>
    <w:rsid w:val="30BF04C9"/>
    <w:rsid w:val="31054F6A"/>
    <w:rsid w:val="31197A7E"/>
    <w:rsid w:val="3289357E"/>
    <w:rsid w:val="34180593"/>
    <w:rsid w:val="34191179"/>
    <w:rsid w:val="34F71425"/>
    <w:rsid w:val="35635833"/>
    <w:rsid w:val="36934425"/>
    <w:rsid w:val="37552F30"/>
    <w:rsid w:val="37C83039"/>
    <w:rsid w:val="3AEB2DD4"/>
    <w:rsid w:val="3D567D5A"/>
    <w:rsid w:val="3E0F667A"/>
    <w:rsid w:val="3E1E1F11"/>
    <w:rsid w:val="3E541EC0"/>
    <w:rsid w:val="3F961CCC"/>
    <w:rsid w:val="3FE94CF1"/>
    <w:rsid w:val="415F09FC"/>
    <w:rsid w:val="424372E0"/>
    <w:rsid w:val="4246623C"/>
    <w:rsid w:val="44AC2AA8"/>
    <w:rsid w:val="44FB4F25"/>
    <w:rsid w:val="450C6CBA"/>
    <w:rsid w:val="46645C30"/>
    <w:rsid w:val="46AE0301"/>
    <w:rsid w:val="47D37156"/>
    <w:rsid w:val="48CF2C82"/>
    <w:rsid w:val="4968669E"/>
    <w:rsid w:val="4984481B"/>
    <w:rsid w:val="4A622D85"/>
    <w:rsid w:val="4AA80BD0"/>
    <w:rsid w:val="4EF6277D"/>
    <w:rsid w:val="4FC0348D"/>
    <w:rsid w:val="50006E5A"/>
    <w:rsid w:val="50E33898"/>
    <w:rsid w:val="51441ACB"/>
    <w:rsid w:val="51FA7785"/>
    <w:rsid w:val="53484562"/>
    <w:rsid w:val="538A6088"/>
    <w:rsid w:val="54D71B34"/>
    <w:rsid w:val="558636C1"/>
    <w:rsid w:val="56187086"/>
    <w:rsid w:val="566F41E3"/>
    <w:rsid w:val="569C6729"/>
    <w:rsid w:val="57C51086"/>
    <w:rsid w:val="5A3203AE"/>
    <w:rsid w:val="5E565517"/>
    <w:rsid w:val="5EF33294"/>
    <w:rsid w:val="5F192D0C"/>
    <w:rsid w:val="602A37A0"/>
    <w:rsid w:val="605C5CFE"/>
    <w:rsid w:val="61EC77DF"/>
    <w:rsid w:val="62C40281"/>
    <w:rsid w:val="62E83B83"/>
    <w:rsid w:val="63B75454"/>
    <w:rsid w:val="650675C9"/>
    <w:rsid w:val="685C1E23"/>
    <w:rsid w:val="69485D4B"/>
    <w:rsid w:val="69BA5C78"/>
    <w:rsid w:val="6AC00F08"/>
    <w:rsid w:val="6FE713CB"/>
    <w:rsid w:val="70746E88"/>
    <w:rsid w:val="713820A0"/>
    <w:rsid w:val="72006D18"/>
    <w:rsid w:val="72CC2DD7"/>
    <w:rsid w:val="73F47604"/>
    <w:rsid w:val="74283E20"/>
    <w:rsid w:val="75DC31CD"/>
    <w:rsid w:val="77BF676D"/>
    <w:rsid w:val="789628D2"/>
    <w:rsid w:val="78AC6FD9"/>
    <w:rsid w:val="7A3C6972"/>
    <w:rsid w:val="7A4F4F66"/>
    <w:rsid w:val="7AC10656"/>
    <w:rsid w:val="7CFA3218"/>
    <w:rsid w:val="7DB46174"/>
    <w:rsid w:val="7E434DFB"/>
    <w:rsid w:val="7F5109DC"/>
    <w:rsid w:val="7F8D2B7C"/>
    <w:rsid w:val="7FAC58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8">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5" textRotate="1"/>
    <customShpInfo spid="_x0000_s4104" textRotate="1"/>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ScaleCrop>false</ScaleCrop>
  <LinksUpToDate>false</LinksUpToDate>
  <CharactersWithSpaces>21156</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Administrator</cp:lastModifiedBy>
  <cp:lastPrinted>2021-05-10T03:02:00Z</cp:lastPrinted>
  <dcterms:modified xsi:type="dcterms:W3CDTF">2021-09-07T07:37:19Z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