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妇女联合会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</w:t>
      </w:r>
      <w:r>
        <w:rPr>
          <w:rFonts w:hint="eastAsia" w:cs="Times New Roman"/>
          <w:szCs w:val="32"/>
          <w:lang w:eastAsia="zh-CN"/>
        </w:rPr>
        <w:t>吉阳区</w:t>
      </w:r>
      <w:r>
        <w:rPr>
          <w:rFonts w:hint="eastAsia" w:cs="Times New Roman"/>
          <w:szCs w:val="32"/>
          <w:lang w:val="en-US" w:eastAsia="zh-CN"/>
        </w:rPr>
        <w:t>妇女联合会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编委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40A1C"/>
    <w:rsid w:val="170311D6"/>
    <w:rsid w:val="175E04CC"/>
    <w:rsid w:val="20640A1C"/>
    <w:rsid w:val="59CA16C6"/>
    <w:rsid w:val="73336AD9"/>
    <w:rsid w:val="73DE4D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2021-07-12T07:27:00Z</dcterms:created>
  <dc:creator>Lenovo</dc:creator>
  <cp:lastModifiedBy>Administrator</cp:lastModifiedBy>
  <dcterms:modified xsi:type="dcterms:W3CDTF">2021-09-06T09:33:18Z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