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090" w:tblpY="24"/>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335"/>
        <w:gridCol w:w="210"/>
        <w:gridCol w:w="3285"/>
        <w:gridCol w:w="268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10095" w:type="dxa"/>
            <w:gridSpan w:val="6"/>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2" w:lineRule="exact"/>
              <w:contextualSpacing/>
              <w:jc w:val="left"/>
              <w:textAlignment w:val="auto"/>
              <w:rPr>
                <w:rFonts w:hint="default" w:ascii="Times New Roman" w:hAnsi="Times New Roman" w:eastAsia="黑体" w:cs="Times New Roman"/>
                <w:b w:val="0"/>
                <w:bCs/>
                <w:color w:val="auto"/>
                <w:sz w:val="32"/>
                <w:szCs w:val="32"/>
                <w:lang w:val="en-US" w:eastAsia="zh-CN"/>
              </w:rPr>
            </w:pPr>
            <w:bookmarkStart w:id="0" w:name="_GoBack"/>
            <w:r>
              <w:rPr>
                <w:rFonts w:hint="default" w:ascii="Times New Roman" w:hAnsi="Times New Roman" w:eastAsia="黑体" w:cs="Times New Roman"/>
                <w:b w:val="0"/>
                <w:bCs/>
                <w:color w:val="auto"/>
                <w:sz w:val="32"/>
                <w:szCs w:val="32"/>
                <w:lang w:eastAsia="zh-CN"/>
              </w:rPr>
              <w:t>附件</w:t>
            </w:r>
            <w:r>
              <w:rPr>
                <w:rFonts w:hint="default" w:ascii="Times New Roman" w:hAnsi="Times New Roman" w:eastAsia="黑体" w:cs="Times New Roman"/>
                <w:b w:val="0"/>
                <w:bCs/>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82" w:lineRule="exact"/>
              <w:contextualSpacing/>
              <w:jc w:val="left"/>
              <w:textAlignment w:val="auto"/>
              <w:rPr>
                <w:rFonts w:hint="default" w:ascii="Times New Roman" w:hAnsi="Times New Roman" w:eastAsia="黑体" w:cs="Times New Roman"/>
                <w:b w:val="0"/>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blHeader/>
        </w:trPr>
        <w:tc>
          <w:tcPr>
            <w:tcW w:w="10095" w:type="dxa"/>
            <w:gridSpan w:val="6"/>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2" w:lineRule="exact"/>
              <w:contextualSpacing/>
              <w:jc w:val="center"/>
              <w:textAlignment w:val="auto"/>
              <w:rPr>
                <w:rFonts w:hint="default" w:ascii="Times New Roman" w:hAnsi="Times New Roman" w:cs="Times New Roman" w:eastAsiaTheme="minorEastAsia"/>
                <w:b/>
                <w:bCs w:val="0"/>
                <w:color w:val="auto"/>
                <w:sz w:val="36"/>
                <w:szCs w:val="36"/>
                <w:lang w:eastAsia="zh-CN"/>
              </w:rPr>
            </w:pPr>
            <w:r>
              <w:rPr>
                <w:rFonts w:hint="default" w:ascii="Times New Roman" w:hAnsi="Times New Roman" w:eastAsia="方正小标宋简体" w:cs="Times New Roman"/>
                <w:b w:val="0"/>
                <w:bCs/>
                <w:color w:val="auto"/>
                <w:sz w:val="44"/>
                <w:szCs w:val="44"/>
                <w:lang w:eastAsia="zh-CN"/>
              </w:rPr>
              <w:t>健康医院建设标准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blHeader/>
        </w:trPr>
        <w:tc>
          <w:tcPr>
            <w:tcW w:w="1440"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一级指标</w:t>
            </w:r>
          </w:p>
        </w:tc>
        <w:tc>
          <w:tcPr>
            <w:tcW w:w="1335"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二级指标</w:t>
            </w:r>
          </w:p>
        </w:tc>
        <w:tc>
          <w:tcPr>
            <w:tcW w:w="3495" w:type="dxa"/>
            <w:gridSpan w:val="2"/>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内涵要求</w:t>
            </w:r>
          </w:p>
        </w:tc>
        <w:tc>
          <w:tcPr>
            <w:tcW w:w="2685"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支撑材料</w:t>
            </w:r>
          </w:p>
        </w:tc>
        <w:tc>
          <w:tcPr>
            <w:tcW w:w="1140"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lang w:eastAsia="zh-CN"/>
              </w:rPr>
            </w:pPr>
            <w:r>
              <w:rPr>
                <w:rFonts w:hint="default" w:ascii="Times New Roman" w:hAnsi="Times New Roman" w:cs="Times New Roman" w:eastAsiaTheme="minorEastAsia"/>
                <w:b/>
                <w:bCs w:val="0"/>
                <w:color w:val="auto"/>
                <w:sz w:val="21"/>
                <w:szCs w:val="21"/>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6" w:hRule="atLeast"/>
        </w:trPr>
        <w:tc>
          <w:tcPr>
            <w:tcW w:w="1440" w:type="dxa"/>
            <w:vMerge w:val="restart"/>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一、组织管理</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335"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组织机构</w:t>
            </w:r>
          </w:p>
        </w:tc>
        <w:tc>
          <w:tcPr>
            <w:tcW w:w="3495" w:type="dxa"/>
            <w:gridSpan w:val="2"/>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将健康医院工作纳入医院重点工作，所需经费在医院公用经费中列支。成立健康医院工作领导小组，院长或分管院长是第一责任人，明确相关职能部门职责；领导小组每季度召开2次工作例会。</w:t>
            </w:r>
          </w:p>
        </w:tc>
        <w:tc>
          <w:tcPr>
            <w:tcW w:w="2685"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1、有成立领导小组的相关文件或通知，主要负责人任组长，成立办公室，有职责分工；</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2、将健康医院列入医院发展目标之一，在发展规划、计划等文件中有相关描述</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3、经费支付有明细账目；</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4、有研究健康医院建设的会议记录，至少每半年一次；领导小组每季度召开2次工作例会。</w:t>
            </w:r>
          </w:p>
        </w:tc>
        <w:tc>
          <w:tcPr>
            <w:tcW w:w="114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9"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承诺和动员</w:t>
            </w:r>
          </w:p>
        </w:tc>
        <w:tc>
          <w:tcPr>
            <w:tcW w:w="34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医院公开承诺开展健康医院建设，宣传健康促进理念。动员全体员工广泛参加健康医院建设，主动促进自身健康。给员工提供参与医院管理的机会，定期听取意见和建议。</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rPr>
              <w:t>1、在医院公开会上把健康医院建设的发展规划明确提出；有书面承诺，包括规划、计划或申报请示等</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2、倡导全体职工参与健康医院建设；</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3、通过职工代表大会等形式，接受职工对健康医院建设的建议。</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1"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制度建设</w:t>
            </w:r>
          </w:p>
        </w:tc>
        <w:tc>
          <w:tcPr>
            <w:tcW w:w="34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院充分考虑健康因素，制定一系列促进员工及患者的健康政策、规章制度和管理措施。包括医院内全面禁烟；针对患者及社区居民开展健康教育工作纳入医护人员绩效考核；制定全体员工定期接受健康教育或专题培训制度；全体员工定期体检，接受健康管理；禁用违禁药物；突发事件应急预案；困难员工帮扶等内容。</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1、健康医院建设制度齐全；</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2、有考核制度和奖惩措施。</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1"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组织实施</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固定的科室和人员负责全院健康与健康教育工作的组织管理和技术指导。每个临床和医技科室有人专/兼职负责本科室的健康教育工作。设有控烟监督和巡查员。每年制定健康医院工作年度计划。包括医院健康资源和健康问题评估、工作目标、任务分工、时间进度等。定期开展员工健康医院建设培训，开展控烟培训。每年全面总结健康医院工作，总结经验和问题，接受上级部门的考核评估。</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1、有健康医院组织实施方案；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2、有健康和健康教育工作的科室和人员，负责健康医院创建工作，有各科室联络员名册，有网络图；</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3、负责人有参加培训的记录、图片、学习材料等</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4、实施健康医院工作有计划、总结、培训、考核等材料，完善档案资料。</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保障措施</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有健康与健康教育必备的场所、宣传阵地和设备。保证健康与健康教育专项工作经费。</w:t>
            </w:r>
          </w:p>
        </w:tc>
        <w:tc>
          <w:tcPr>
            <w:tcW w:w="2685"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保证健康与健康教育场地、设施及专项工作经费；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经费支付有明细账目。</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14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二、健康环境</w:t>
            </w: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整体环境</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医院整体环境优美，绿化美化好</w:t>
            </w:r>
            <w:r>
              <w:rPr>
                <w:rFonts w:hint="default" w:ascii="Times New Roman" w:hAnsi="Times New Roman" w:cs="Times New Roman" w:eastAsiaTheme="minorEastAsia"/>
                <w:bCs/>
                <w:color w:val="auto"/>
                <w:sz w:val="21"/>
                <w:szCs w:val="21"/>
                <w:lang w:eastAsia="zh-CN"/>
              </w:rPr>
              <w:t>。</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1、医院内布局合理，环境整洁；</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2、有绿化美化管理制度，有专人负责。</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门诊环境</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医院设咨询台，设置导医标识，方便患者就诊。门诊噪音符合国家相关规定。</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进一步优化设施，配备服务人员，方便群众。</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候诊环境</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候诊区提供与就诊人数相匹配的候诊座椅及其他基本设施，候诊环境安静。</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进一步提升候诊区的环境质量</w:t>
            </w:r>
            <w:r>
              <w:rPr>
                <w:rFonts w:hint="default" w:ascii="Times New Roman" w:hAnsi="Times New Roman" w:cs="Times New Roman" w:eastAsiaTheme="minorEastAsia"/>
                <w:bCs/>
                <w:color w:val="auto"/>
                <w:sz w:val="21"/>
                <w:szCs w:val="21"/>
                <w:lang w:eastAsia="zh-CN"/>
              </w:rPr>
              <w:t>。</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就诊环境</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为患者提供安全、私密的就诊环境。病房、手术室噪音符合国家相关规定。</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进一步优化就诊环境，提供必要服务设施。</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无烟环境</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建设无烟环境，医院室内完全禁止吸烟，所有室内场所没有烟头，没有吸烟者。医院主要建筑物入口处、电梯、公共厕所、会议室等区域有明显的无烟标识。医院内无烟草广告和促销。领导干部、医务人员要发挥在控烟方面的引领作用；鼓励单位出台室内全面无烟政策，为员工营造无烟工作环境，为吸烟员工戒烟提供必要的帮助。</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1、有控烟（禁烟）领导小组，指定专、兼职控烟巡查员（监督员），有巡查照片存档（2-3张）；</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2、有控烟（禁烟）工作制度，有明确的奖惩措施；</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3、有控烟工作计划和工作总结，根据本单位实际撰写，不得雷同；</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4、规范设置禁烟标识和禁烟警语。在入口处、大厅、卫生间、楼梯间、电梯间、餐厅、休息室、办公室等位置规范张贴禁烟标识，主要入口处有禁烟警语。有照片存档；</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5、规范设置室外吸烟区。有近景和远景照片存档；</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6、举办控烟知识讲座，有通知、签到、讲义、照片和小结；</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7、有开展无烟医院创建活动资料，通过考评的应存档通报文件并挂牌。</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安全饮水</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加强水质卫生管理，确保饮用水安全</w:t>
            </w:r>
            <w:r>
              <w:rPr>
                <w:rFonts w:hint="default" w:ascii="Times New Roman" w:hAnsi="Times New Roman" w:cs="Times New Roman" w:eastAsiaTheme="minorEastAsia"/>
                <w:bCs/>
                <w:color w:val="auto"/>
                <w:sz w:val="21"/>
                <w:szCs w:val="21"/>
                <w:lang w:eastAsia="zh-CN"/>
              </w:rPr>
              <w:t>。</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1、持续保持供水充足，设施完备并定期清理、维护、检修；</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2、有定期水质检测记录；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3、有方便医患的饮用水取水设施。</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垃圾废物处理</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生活垃圾和医疗废物排放和贮存、运输、处理符合国家、地方相关标准和要求。生活垃圾和医疗废物分类收集，处置及时。辐射安全、医疗废弃物等标识清晰、明显；积极实施垃圾分类。</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1、有垃圾收集处理制度和医疗垃圾管理制度；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2、积极响应垃圾分类号召，提供必要的分类设施</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3、垃圾清运及时，保证日产日清；</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4、加强对医疗废弃物统一管理处理，医疗垃圾处理有记录。辐射安全、医疗废弃物等有明显标识。</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厕所管理</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按照《关于开展医疗卫生机构厕所整洁专项行动的通知》，按照数量充足、方便可及、干净整洁、管护有序的要求进行厕所管理</w:t>
            </w:r>
            <w:r>
              <w:rPr>
                <w:rFonts w:hint="default" w:ascii="Times New Roman" w:hAnsi="Times New Roman" w:cs="Times New Roman" w:eastAsiaTheme="minorEastAsia"/>
                <w:bCs/>
                <w:color w:val="auto"/>
                <w:sz w:val="21"/>
                <w:szCs w:val="21"/>
                <w:lang w:eastAsia="zh-CN"/>
              </w:rPr>
              <w:t>。</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1、厕所数量满足需求，方便使用，设施齐全；</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2、厕所设施符合医院厕所管理要求；</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3、建立健全厕所卫生长效管理机制。有专人负责管理，达到无害化卫生厕所要求。</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病媒生物</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密度控制</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开展病媒生物防制，鼠、蚊、蝇、蟑螂等病媒生物密度得到有效控制，符合国家卫生标准和要求。</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有落实病媒防治措施、经费保证、工作记录、相关设施，达到相应标准。</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各医院、区爱卫办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人文环境</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医务人员对待患者和蔼和亲，使用文明礼貌用语。考虑残疾人、老年人、孕产妇等特殊人群的需求，如绿色通道、优先窗口等。</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1、有加强医学人文关怀制度与措施；</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2、人文关怀和基础设施到位；</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3、服务与管理人性化。</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14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三、健康社会</w:t>
            </w: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医院治安</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加强医院治安管理工作，建立健全医院安全保卫管理制度并有专人或兼职人员负责。</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1、有治安管理负责人，有相关制度、总结和工作记录等；</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2、有相关的宣传版面、资料、活动等。</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安全保障</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制订平时的和紧急情况下的安全管理方案，并定期检查；有对高压力系统、手术室、放射室、配电室等高危设备与区域的特殊安全管理措施；配备必要的消防设备；有剧毒、麻醉、精神药品管理制度，并严格执行；照明系统发生意外情况时，有安全的替代光源，保证应急的需要。</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1、有安全制度保障措施及应急预案；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2、执行安全保障措施考核记录；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3、责任管理部门出具的无事故证明。</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8"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消防及安全预防演练</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定期开展医院安全与健康危险因素评估；不定期开展食物中毒、火灾、地震灾害和传染病等应急培训和演练。</w:t>
            </w:r>
          </w:p>
        </w:tc>
        <w:tc>
          <w:tcPr>
            <w:tcW w:w="2685"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有消防安全相关管理制度，定期开展消防检查，消防设施和通道符合要求，有相关部门出具的合格证明材料。醒目位置悬挂消防合格标志</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定期开展食物中毒、火灾等灾害和传染病应急培训和演练；有方案、照片和演练视频。</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社会保障</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规范医院劳动用工管理，依法与劳动者签订劳动合同，明确劳动条件、劳动保护和职业健康危害防护措施等内容，按时足额缴纳各类社会保险。鼓励医院为员工投保大病保险。对困难职工有必要帮扶。建立职工定期休假制度。</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1、依法与劳动者签订劳动合同，按时足额缴纳各类社会保险；有支出及职工明细</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2、制订困难职工帮扶制度，开展针对性地帮扶。有记录、有照片等资料</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3、执行职工定期休假制度。</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饮食安全</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提供安全合理的营养膳食，医院食堂卫生标准达到国家要求。近3年无发生食品安全事故。</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1、加大食品安全宣传教育，确保本医院职工及患者无出现食品安全事故</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2、医院食堂满足医患需求，能提供患者特殊用餐需求，食品安全卫生；工作人员符合健康安全标准；有宣传健康饮食的标语等宣传内容；</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3、医院食堂卫生标准达到国家要求；</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4、有相关部门出具的无食品安全事故证明。</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医院基础设施</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完善医院基础设施，按照有关标准和要求，病床数量、病房每床单元必备设施、每床建筑面积、设施设备达到国家要求；工作及作业环境、设备设施应符合工效学要求和健康需求。工作场所采光、照明、通风、保温、隔热、隔声、污染物控制，手术室一般照明及工作面积综合照明等方面符合国家、地方相关标准和要求；设专人或兼职人员对全院设备进行管理。有医疗设备保管、使用、保养、定期维修制度，保障医疗工作的需要。对重要设备建立档案；医院建筑符合卫生学要求，对旧建筑有维修制度，对不合理建筑有改造计划。不得使用危房，尤其不得在危房中从事医疗活动。</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1、医院位置、建筑、布局、结构、面积、设备、人员等与医院等级相匹配；</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2、医院的病床数量、病房每床单元必备设施符合国家相关要求</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3、工作环境与基础配套设施符合要求。</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信息安全</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按卫生部《卫生统计工作制度（试行）》的规定配合综合信息管理专（兼）职人员。对信息及时收集、储存、分析、反馈与利用，保障患者及医院信息安全。</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1、建立医疗信息安全制度；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2、严格保障信息安全，防止信息泄露；</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3、使用信息管理手段开展疾病诊治与医院管理；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4、病案信息管理规范。</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健身活动</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广泛开展全员健身活动，完善体育设施，有数量足够的健身场地。</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1、有固定的场所开展健身活动。配备健身设施，并做好定期维护；</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2、经常组织开展文体活动，倡导开展健身活动。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trPr>
        <w:tc>
          <w:tcPr>
            <w:tcW w:w="14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四、健康服务</w:t>
            </w:r>
          </w:p>
        </w:tc>
        <w:tc>
          <w:tcPr>
            <w:tcW w:w="1545"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中医药服务</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医院能够提高中医药服务。</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1、具备提供中医药服务的条件和能力；</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2、运用中医技术和方法，为人民提供一定的中医药诊疗和预防保健服务。有服务记录。</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医院要设置治未病科室（其中中医医院设置治未病科室比例达到90%）</w:t>
            </w:r>
            <w:r>
              <w:rPr>
                <w:rFonts w:hint="default" w:ascii="Times New Roman" w:hAnsi="Times New Roman" w:cs="Times New Roman" w:eastAsiaTheme="minorEastAsia"/>
                <w:bCs/>
                <w:color w:val="auto"/>
                <w:sz w:val="21"/>
                <w:szCs w:val="21"/>
                <w:lang w:eastAsia="zh-CN"/>
              </w:rPr>
              <w:t>。</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医院有设置治未病科室（有对中医院设置治未病科室的统计报告）</w:t>
            </w:r>
            <w:r>
              <w:rPr>
                <w:rFonts w:hint="default" w:ascii="Times New Roman" w:hAnsi="Times New Roman" w:cs="Times New Roman" w:eastAsiaTheme="minorEastAsia"/>
                <w:bCs/>
                <w:color w:val="auto"/>
                <w:sz w:val="21"/>
                <w:szCs w:val="21"/>
                <w:lang w:eastAsia="zh-CN"/>
              </w:rPr>
              <w:t>。</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老年医</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学科</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二级以上综合性医院设老年医学科比例不断提高</w:t>
            </w:r>
            <w:r>
              <w:rPr>
                <w:rFonts w:hint="default" w:ascii="Times New Roman" w:hAnsi="Times New Roman" w:cs="Times New Roman" w:eastAsiaTheme="minorEastAsia"/>
                <w:bCs/>
                <w:color w:val="auto"/>
                <w:sz w:val="21"/>
                <w:szCs w:val="21"/>
                <w:lang w:eastAsia="zh-CN"/>
              </w:rPr>
              <w:t>。</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鼓励二级以上综合性医院设老年医学科</w:t>
            </w:r>
            <w:r>
              <w:rPr>
                <w:rFonts w:hint="default" w:ascii="Times New Roman" w:hAnsi="Times New Roman" w:cs="Times New Roman" w:eastAsiaTheme="minorEastAsia"/>
                <w:bCs/>
                <w:color w:val="auto"/>
                <w:sz w:val="21"/>
                <w:szCs w:val="21"/>
                <w:lang w:eastAsia="zh-CN"/>
              </w:rPr>
              <w:t>。</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患者健康服务</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为患者提供优质的医疗服务以及一定的公共卫生服务。有全院性控制感染方案。患者治愈率不断提升，死亡率不断下降。治疗效果不断提升。</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1、除提供必要的医疗服务外，还要提供一定的公共卫生服务与健康教育；</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2、有医疗安全管理制度，院内感染控制达到要求；</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3、提高患者治愈率，降低死亡率</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4、有改善医疗质量和服务的措施。</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医务人员</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健康服务</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建立医务人员健康档案，定期为医务人员提供体检。</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1、定期为医院职工提供健康体检；</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2、建立职工健康档案。档案内容齐全，全面真实，记录完整，整理规范；</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3、体检报告有其它问题出现的时候。</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社区健康服务</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居民高血压、糖尿病知识知晓率持续提高，高血压、糖尿病患者规范管理率≥65%，且逐年提高。成年人高血压患病率≤18.1%，且呈明显下降趋势。</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1、对不同类型的高血压、糖尿病患者要进行分类干预。对所有的患者开展有针对性的健康教育；</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2、可给患者发放高血压、糖尿病防治指南手册，对高血压、糖尿病患者进行规范的健康管理；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3、积极应用中医药方法，开展高血压、糖尿病患者健康管理服务；</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4、及时将每次服务信息记入患者的健康档案。</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传染病及突发公共卫生事件报告和处理</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传染病疫情、突发公共卫生事件报告率、及时率分别达到100%。近3年未发生因防控措施不力导致的甲、乙类传染病暴发流行。</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1、配合做好传染病及突发公共卫生事件处理；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2、建立传染病人的报告制度。疫情报告率、及时率达到100%。有记录；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3、做好传染病人的诊疗与管理，避免交叉感染；</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4、相关部门出具的无传染病暴发流行的证明。</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五、健康人群</w:t>
            </w: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健康状况及健康体质</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医务人员高血压、糖尿病的发病率逐年下降及知晓率、规范管理率逐年升高。医务人员体质达到《国民体质测定标准》的合格人数比例逐年上升。医务人员与工作有关疾病发病率逐年下降。</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1、医务人员高血压、糖尿病的发病率占比逐年下降；</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2、医务人员体质检测与达标情况；</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3、对医务人员开展健康知识知晓率和健康行为形成率问卷调查。有原始调查卷存档，有改卷、统计和分析评价。</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健康行为</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务人员养成良好的健康行为习惯。吸烟率低，且逐年下降。医务人员经常参加体育锻炼（每周参加体育锻炼频度3次及以上，每次体育锻炼持续时间30分钟及以上，每次体育锻炼的运动强度达到中等及以上）人数比例达到37%及以上，且比例不断提高。</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1、近三年医务人员吸烟率统计；</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2、医务人员经常参加体育锻炼比例。</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健康素养水平</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患者及医务人员健康素养水平在原有基础上均提高。</w:t>
            </w:r>
          </w:p>
        </w:tc>
        <w:tc>
          <w:tcPr>
            <w:tcW w:w="2685"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单位干部职工每人发放1册《中国公民健康素养—基本知识与技能》和一种以上控烟宣传资料及其它健康教育宣传资料，有签领记录</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定期开展健康素质水平监测</w:t>
            </w:r>
            <w:r>
              <w:rPr>
                <w:rFonts w:hint="default" w:ascii="Times New Roman" w:hAnsi="Times New Roman" w:cs="Times New Roman" w:eastAsiaTheme="minorEastAsia"/>
                <w:bCs/>
                <w:color w:val="auto"/>
                <w:sz w:val="21"/>
                <w:szCs w:val="21"/>
                <w:lang w:eastAsia="zh-CN"/>
              </w:rPr>
              <w:t>。</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六、健康文化</w:t>
            </w: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健康宣传</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设置健康教育宣传栏，每月更换一次。</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医院内设立健康教育宣传栏，每个栏目至少每2个月更换1期内容（每年至少含1期禁烟专题）。有实景照片存档。</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科室健康教育与促进</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各科室制定门诊和健康教育工作流程和要点。</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有健康教育、控烟和健康处方等资料领取（印制）和发放记录，每种资料均有存底，每年发放的宣传资料不少于20种，健康教育处方不少于15种。</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各科室制定住院患者在住院期间和出院后的健康教育工作流程和要点。</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1、有针对患者健康教育工作流程和要点；</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2、健康教育有讲义、照片和小结。</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每个临床科室开展健康教育服务，有针对不同病种的健康教育档案记录。</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有健康教育工作计划和工作总结。根据本单位实际撰写，不得雷同。</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5"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患者健康教育与促进</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集中候诊区、治疗区（如输液室）、门诊科室、住院科室合理使用健康传播材料（如摆放健康教育资料，张贴健康海报或健康提示，播放健康视频等）。</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1、有针对患者健康教育的宣传计划和方案；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2、在集中候诊区、治疗区（如输液室）、门诊科室、住院科室合理使用健康传播材料（如摆放健康教育资料，张贴健康海报或健康提示，播放健康视频等）。</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6"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社区健康教育与促进</w:t>
            </w: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建立医疗机构和医务人员开展健康教育和健康促进的绩效考核机制。制定针对社区居民的健康教育工作流程和健康教育要点。</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1、制订医疗机构和医务人员开展健康教育和健康促进的绩效考核机制办法</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2、有针对患者健康教育工作流程和要点；</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3、有开展健康教育相关工作与活动开支凭证（发票）存档。</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开展面向社区的健康讲座、健康咨询、义诊、健康训练营、健康生活方式倡导等健康活动。</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有开展健康教育公众宣传咨询和义诊活动资料。每年至少有5次咨询，1次义诊</w:t>
            </w:r>
            <w:r>
              <w:rPr>
                <w:rFonts w:hint="default" w:ascii="Times New Roman" w:hAnsi="Times New Roman" w:cs="Times New Roman" w:eastAsiaTheme="minorEastAsia"/>
                <w:bCs/>
                <w:color w:val="auto"/>
                <w:sz w:val="21"/>
                <w:szCs w:val="21"/>
                <w:lang w:eastAsia="zh-CN"/>
              </w:rPr>
              <w:t>。</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14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545"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2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通过广播、电视、报纸、网站和新媒体对公众开展健康教育。</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有健康教育的宣传记录、图片、报道等资料。</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各医院</w:t>
            </w:r>
          </w:p>
        </w:tc>
      </w:tr>
      <w:bookmarkEnd w:id="0"/>
    </w:tbl>
    <w:p/>
    <w:sectPr>
      <w:footerReference r:id="rId3"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5D638"/>
    <w:multiLevelType w:val="singleLevel"/>
    <w:tmpl w:val="FBF5D638"/>
    <w:lvl w:ilvl="0" w:tentative="0">
      <w:start w:val="1"/>
      <w:numFmt w:val="decimal"/>
      <w:suff w:val="nothing"/>
      <w:lvlText w:val="%1、"/>
      <w:lvlJc w:val="left"/>
    </w:lvl>
  </w:abstractNum>
  <w:abstractNum w:abstractNumId="1">
    <w:nsid w:val="299511B9"/>
    <w:multiLevelType w:val="singleLevel"/>
    <w:tmpl w:val="299511B9"/>
    <w:lvl w:ilvl="0" w:tentative="0">
      <w:start w:val="1"/>
      <w:numFmt w:val="decimal"/>
      <w:suff w:val="nothing"/>
      <w:lvlText w:val="%1、"/>
      <w:lvlJc w:val="left"/>
    </w:lvl>
  </w:abstractNum>
  <w:abstractNum w:abstractNumId="2">
    <w:nsid w:val="7941504B"/>
    <w:multiLevelType w:val="singleLevel"/>
    <w:tmpl w:val="7941504B"/>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B07E0"/>
    <w:rsid w:val="10726894"/>
    <w:rsid w:val="17D36EB9"/>
    <w:rsid w:val="27364550"/>
    <w:rsid w:val="2BDF6A65"/>
    <w:rsid w:val="2FBF4169"/>
    <w:rsid w:val="32C91C70"/>
    <w:rsid w:val="37A80A89"/>
    <w:rsid w:val="42493112"/>
    <w:rsid w:val="46F33594"/>
    <w:rsid w:val="4DBA508D"/>
    <w:rsid w:val="58BF57E0"/>
    <w:rsid w:val="68F95F37"/>
    <w:rsid w:val="71633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lenovo11</dc:creator>
  <cp:lastModifiedBy>陈惠君</cp:lastModifiedBy>
  <dcterms:modified xsi:type="dcterms:W3CDTF">2021-01-20T01:44:11Z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