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contextualSpacing/>
        <w:jc w:val="both"/>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eastAsia="zh-CN"/>
        </w:rPr>
        <w:t>附件</w:t>
      </w:r>
      <w:r>
        <w:rPr>
          <w:rFonts w:hint="default" w:ascii="Times New Roman" w:hAnsi="Times New Roman" w:eastAsia="黑体" w:cs="Times New Roman"/>
          <w:bCs/>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30" w:lineRule="exact"/>
        <w:contextualSpacing/>
        <w:jc w:val="both"/>
        <w:textAlignment w:val="auto"/>
        <w:rPr>
          <w:rFonts w:hint="default" w:ascii="Times New Roman" w:hAnsi="Times New Roman" w:eastAsia="黑体"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contextualSpacing/>
        <w:jc w:val="center"/>
        <w:textAlignment w:val="auto"/>
        <w:rPr>
          <w:rFonts w:hint="default" w:ascii="Times New Roman" w:hAnsi="Times New Roman" w:eastAsia="方正小标宋简体" w:cs="Times New Roman"/>
          <w:bCs/>
          <w:color w:val="auto"/>
          <w:sz w:val="44"/>
          <w:szCs w:val="44"/>
          <w:lang w:val="en-US" w:eastAsia="zh-CN"/>
        </w:rPr>
      </w:pPr>
      <w:r>
        <w:rPr>
          <w:rFonts w:hint="default" w:ascii="Times New Roman" w:hAnsi="Times New Roman" w:eastAsia="方正小标宋简体" w:cs="Times New Roman"/>
          <w:bCs/>
          <w:color w:val="auto"/>
          <w:sz w:val="44"/>
          <w:szCs w:val="44"/>
          <w:lang w:val="en-US" w:eastAsia="zh-CN"/>
        </w:rPr>
        <w:t>健康学校建设标准</w:t>
      </w:r>
    </w:p>
    <w:tbl>
      <w:tblPr>
        <w:tblStyle w:val="4"/>
        <w:tblpPr w:leftFromText="180" w:rightFromText="180" w:vertAnchor="text" w:horzAnchor="page" w:tblpX="1230" w:tblpY="83"/>
        <w:tblOverlap w:val="never"/>
        <w:tblW w:w="9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095"/>
        <w:gridCol w:w="3180"/>
        <w:gridCol w:w="283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blHeader/>
        </w:trPr>
        <w:tc>
          <w:tcPr>
            <w:tcW w:w="14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一级指标</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二级指标</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内涵要求</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rPr>
            </w:pPr>
            <w:r>
              <w:rPr>
                <w:rFonts w:hint="default" w:ascii="Times New Roman" w:hAnsi="Times New Roman" w:cs="Times New Roman" w:eastAsiaTheme="minorEastAsia"/>
                <w:b/>
                <w:bCs w:val="0"/>
                <w:color w:val="auto"/>
                <w:sz w:val="21"/>
                <w:szCs w:val="21"/>
              </w:rPr>
              <w:t>支撑材料</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
                <w:bCs w:val="0"/>
                <w:color w:val="auto"/>
                <w:sz w:val="21"/>
                <w:szCs w:val="21"/>
                <w:lang w:eastAsia="zh-CN"/>
              </w:rPr>
            </w:pPr>
            <w:r>
              <w:rPr>
                <w:rFonts w:hint="default" w:ascii="Times New Roman" w:hAnsi="Times New Roman" w:cs="Times New Roman" w:eastAsiaTheme="minorEastAsia"/>
                <w:b/>
                <w:bCs w:val="0"/>
                <w:color w:val="auto"/>
                <w:sz w:val="21"/>
                <w:szCs w:val="21"/>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0" w:hRule="atLeast"/>
        </w:trPr>
        <w:tc>
          <w:tcPr>
            <w:tcW w:w="14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一、组织管理</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组织机构</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将健康学校工作纳入学校重点工作，所需经费在学校公用经费中列支。成立健康学校工作领导小组，明确相关职能部门职责；领导小组定期召开例会。</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1、有成立领导小组的相关文件或通知，主要负责人任组长，成立办公室，有职责分工；</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2、将健康学校列入学校发展目标之一，在发展规划、计划等文件中有相关描述；</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3、经费支付有明细账目；</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4、有研究健康学校建设的会议记录，至少每半年一次；领导小组每季度召开2次工作例会。</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承诺和</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动员</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学校公开承诺开展健康学校建设，宣传健康理念。动员全体师生广泛参加健康学校建设，主动促进自身健康。给师生提供参与学校管理的机会，定期听取意见和建议。</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1、在学校公开会上把健康学校建设的发展规划明确提出；有书面承诺，包括规划、计划或申报请示等；</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2、倡导全体职工和学生参与健康学校建设；</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3、通过职工和学生代表大会等形式，接受师生对健康学校建设的建议。</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2"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制度建设</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充分考虑健康因素，制定一系列促进教师和学生的健康政策、规章制度和管理措施。包括学校内全面禁烟；制定全校师生定期接受健康教育或专题培训制度；全体师生定期体检，接受健康管理；禁用违禁药物；突发事件应急预案；困难师生帮扶等内容。</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1、健康学校建设制度齐全；</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2、有考核制度和奖惩措施。</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3"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组织实施</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确定专人负责健康促进学校工作。根据学校特点和学生主要健康问题，选择合适的健康问题作为切入点。制定建设健康学校工作计划，定期收集相关工作记录，每年完成年度工作总结。</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1、有健康学校组织实施方案；</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2、有负责健康学校建设工作人员，建立起师生联络员制度，建立创建网络；</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3、负责人有参加培训的记录、图片、学习材料等；</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4、实施健康学校工作有计划、总结、培训、考核等材料，完善档案资料。</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trPr>
        <w:tc>
          <w:tcPr>
            <w:tcW w:w="14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二、健康环境</w:t>
            </w:r>
            <w:r>
              <w:rPr>
                <w:rFonts w:hint="default" w:ascii="Times New Roman" w:hAnsi="Times New Roman" w:cs="Times New Roman" w:eastAsiaTheme="minorEastAsia"/>
                <w:bCs/>
                <w:color w:val="auto"/>
                <w:sz w:val="21"/>
                <w:szCs w:val="21"/>
              </w:rPr>
              <w:br w:type="textWrapping"/>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校园环境</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校园环境应该整洁、美丽、舒适。</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1、校园周边环境好，污染和噪声达标；</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2、校园内布局合理，环境整洁；</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3、有校园绿化美化管理制度，有专人负责。</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室内空气质量</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教室内空气质量符合《室内空气质量标准》和《民用建筑工程室内环境污染控制规范》要求，各类室内空气污染物达标。</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有近期相关部门出具的室内空气质量检测证明。</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安全饮水</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学校为学生提供充足卫生的饮水以及相关设施。</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1、建立饮用水安全管理制度；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2、定期进行的生活饮用水水质检测，有记录结果</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3、有相关部门出具的3年内未发生饮用水污染事故证明材料。</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lang w:eastAsia="zh-CN"/>
              </w:rPr>
              <w:t>各学校、区疾控中心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无烟环境</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eastAsia"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rPr>
              <w:t>学校为无烟学校。学校领导干部、医务人员和教师发挥在控烟方面的引领作用；鼓励学校出台室内全面无烟制度，为师生营造无烟工作环境，为吸烟职工戒烟提供必要的帮助</w:t>
            </w:r>
            <w:r>
              <w:rPr>
                <w:rFonts w:hint="eastAsia" w:ascii="Times New Roman" w:hAnsi="Times New Roman" w:cs="Times New Roman" w:eastAsiaTheme="minorEastAsia"/>
                <w:bCs/>
                <w:color w:val="auto"/>
                <w:sz w:val="21"/>
                <w:szCs w:val="21"/>
                <w:lang w:eastAsia="zh-CN"/>
              </w:rPr>
              <w:t>。</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1、有控烟（禁烟）领导小组，指定专、兼职控烟巡查员（监督员），有巡查照片存档（2-3张）；</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2、有控烟（禁烟）工作制度，有明确的奖惩措施；</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3、有控烟工作计划和工作总结，根据本单位实际撰写，不得雷同；</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4、规范设置禁烟标识和禁烟警语。规范设置禁烟标识和禁烟警语。在入口处、大厅、卫生间、楼梯间、电梯间、餐厅、休息室、办公室等位置规范张贴禁烟标识，主要入口处有禁烟警语。有照片存档；</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5、举办控烟知识讲座，有通知、签到、讲义、照片和小结；</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6、有开展无烟学校创建活动资料，通过考评的应存档通报文件并挂牌。</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垃圾废物处理</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学校垃圾容器有盖无外溢、垃圾做到日产日清，垃圾严格实施分类存放并进行分类回收；积极实施垃圾分类。</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1、有垃圾收集处理制度；</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2、垃圾收集设备合格、数量充足；</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3、垃圾清运及时，保证日产日清；</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4、配备垃圾分类设施并教育引导师生落实垃圾分类制度。</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厕所管理</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使用卫生厕所并保持清洁。新建教学楼每层设厕所。女生15人一蹲位，男生30人一蹲位，有洗手设施。</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1、厕所数量满足需求，方便使用；</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2、厕所设施完备，有洗手设施；</w:t>
            </w: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3、有专人负责管理，达到无害化卫生厕所要求。</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病媒生物密度控制</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定期开展病媒生物防治，鼠、蚊、苍蝇，蟑螂的密度达到国家病媒生物密度控制水平，标准C级或以上要求。</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有落实病媒防治措施、经费保证、工作记录、相关设施，达到相应标准。</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0" w:hRule="atLeast"/>
        </w:trPr>
        <w:tc>
          <w:tcPr>
            <w:tcW w:w="14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三、健康社会</w:t>
            </w:r>
          </w:p>
        </w:tc>
        <w:tc>
          <w:tcPr>
            <w:tcW w:w="10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校园安全</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学校安全保卫人员、门卫必须坚持原则，遵纪守法，坚守岗位，依法办事，加强安全保卫工作；对可疑人员要及时报告，并协助解决。</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1、学校安全保卫制度健全；</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2、安保人员配备达标，设备齐全；</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3、指定专、兼安保巡查员（监督员），有巡查照片存档（2-3张）。安全记录齐全</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4、有与治安部门畅通的联系方式。</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因公（或非因公）机动车辆要求进去学校大门，应主动出示有关证件或说明原因，经值班人员同意后车辆停放学校指定位置</w:t>
            </w:r>
            <w:r>
              <w:rPr>
                <w:rFonts w:hint="eastAsia" w:ascii="Times New Roman" w:hAnsi="Times New Roman" w:cs="Times New Roman" w:eastAsiaTheme="minorEastAsia"/>
                <w:bCs/>
                <w:color w:val="auto"/>
                <w:sz w:val="21"/>
                <w:szCs w:val="21"/>
                <w:lang w:eastAsia="zh-CN"/>
              </w:rPr>
              <w:t>。</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1、有外来人员及校园车辆管理制度；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2、做好外来人员及车辆的进出记录，安排保安人员指挥车辆停放在指定位置。</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体育锻炼</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保障学生体育锻炼时间和强度，提高身体素质。体育课课时应达到小学1-2年级每周4学时，3-6年级和初中每周3课时，高中每周2课时；体育锻炼时间和运动负荷应达到《中小学生体育锻炼运动负荷卫生标准（WS/T101-1998）》要求。</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1、有学生体育锻炼制度；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2、体育课开设数量达标；</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3、严格落实中小学生每天锻炼一小时的规定，切实落实国家课程标准和省教育厅相关规定；</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4、体育锻炼时间和运动负荷应达到规定要求；关注个体差异，开展有针对性的体育运动</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5、定期举行运动会或其他文体项目，引导师生养成体育锻炼习惯。有活动方案、记录、图片等</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6、强化对高校学生体质健康水平的监测和评估干预，把高校学生体质健康水平纳入对高校的考核评价。</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学校眼保健操普及率</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学校眼保健操普及率为100%</w:t>
            </w:r>
            <w:r>
              <w:rPr>
                <w:rFonts w:hint="eastAsia" w:ascii="Times New Roman" w:hAnsi="Times New Roman" w:cs="Times New Roman" w:eastAsiaTheme="minorEastAsia"/>
                <w:bCs/>
                <w:color w:val="auto"/>
                <w:sz w:val="21"/>
                <w:szCs w:val="21"/>
                <w:lang w:eastAsia="zh-CN"/>
              </w:rPr>
              <w:t>。</w:t>
            </w:r>
          </w:p>
        </w:tc>
        <w:tc>
          <w:tcPr>
            <w:tcW w:w="2835"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对学生开展眼保健操规范操作指导，有明确的规章制度</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眼保健操评比结果纳入班级管理评比和考核之中</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学校定时组织学生做眼保健操，学校将不定期抽查总结，每月评比一次</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学校眼保健操普及率统计结果。有图片、有录像等</w:t>
            </w:r>
            <w:r>
              <w:rPr>
                <w:rFonts w:hint="eastAsia" w:ascii="Times New Roman" w:hAnsi="Times New Roman" w:cs="Times New Roman" w:eastAsiaTheme="minorEastAsia"/>
                <w:bCs/>
                <w:color w:val="auto"/>
                <w:sz w:val="21"/>
                <w:szCs w:val="21"/>
                <w:lang w:eastAsia="zh-CN"/>
              </w:rPr>
              <w:t>。</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管理与教育</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加强在校学生管理和教育，避免打架斗殴现象发生，如有社会人员参与在校生打架现象，应及时与所辖区派出所联系，进行制止。</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1、有学生管理制度及处理制度；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2、建立突发事件应急及处理机制，落实各级纪律安全员，建立管理网络；</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3、有关于学生管理与教育工作计划和工作总结；</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4、对打架斗殴等违规行为给予一定的处罚并做好事件记录。</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基础设施</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教室人均使用面积小学不低于1.15平方米</w:t>
            </w:r>
            <w:r>
              <w:rPr>
                <w:rFonts w:hint="eastAsia" w:ascii="Times New Roman" w:hAnsi="Times New Roman" w:cs="Times New Roman" w:eastAsiaTheme="minorEastAsia"/>
                <w:bCs/>
                <w:color w:val="auto"/>
                <w:sz w:val="21"/>
                <w:szCs w:val="21"/>
                <w:lang w:eastAsia="zh-CN"/>
              </w:rPr>
              <w:t>，</w:t>
            </w:r>
            <w:r>
              <w:rPr>
                <w:rFonts w:hint="default" w:ascii="Times New Roman" w:hAnsi="Times New Roman" w:cs="Times New Roman" w:eastAsiaTheme="minorEastAsia"/>
                <w:bCs/>
                <w:color w:val="auto"/>
                <w:sz w:val="21"/>
                <w:szCs w:val="21"/>
              </w:rPr>
              <w:t>中学不低于1.12平方米；前排课桌前缘与黑板不低于2米；桌椅每人一席；教室应配备9盏以上40瓦荧光灯；教学楼走道、楼梯进出口通畅，学生公寓、宿办楼、教室照明、采光、通风等符合卫生标准。</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1、学校位置、建筑、布局、结构、面积、设备、人员等与学校规模要求相配备；</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2、基础设施健全，满足学生学习生活要求。无大班或超大班现象；</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3、工作环境与基础配套设施符合要求。</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急救及应急演练</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学校要定期开展火灾、地震等自然灾害及突发事件的应急演练。按照师生1</w:t>
            </w:r>
            <w:r>
              <w:rPr>
                <w:rFonts w:hint="eastAsia" w:ascii="Times New Roman" w:hAnsi="Times New Roman" w:cs="Times New Roman" w:eastAsiaTheme="minorEastAsia"/>
                <w:bCs/>
                <w:color w:val="auto"/>
                <w:sz w:val="21"/>
                <w:szCs w:val="21"/>
                <w:lang w:val="en-US" w:eastAsia="zh-CN"/>
              </w:rPr>
              <w:t>:</w:t>
            </w:r>
            <w:r>
              <w:rPr>
                <w:rFonts w:hint="default" w:ascii="Times New Roman" w:hAnsi="Times New Roman" w:cs="Times New Roman" w:eastAsiaTheme="minorEastAsia"/>
                <w:bCs/>
                <w:color w:val="auto"/>
                <w:sz w:val="21"/>
                <w:szCs w:val="21"/>
              </w:rPr>
              <w:t>50的比例对中小学教职人员进行急救员公益培训。</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val="en-US" w:eastAsia="zh-CN"/>
              </w:rPr>
            </w:pPr>
            <w:r>
              <w:rPr>
                <w:rFonts w:hint="default" w:ascii="Times New Roman" w:hAnsi="Times New Roman" w:cs="Times New Roman" w:eastAsiaTheme="minorEastAsia"/>
                <w:bCs/>
                <w:color w:val="auto"/>
                <w:sz w:val="21"/>
                <w:szCs w:val="21"/>
              </w:rPr>
              <w:t>1、有演练记录</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2、拍摄有演练照片、录像等相关作证材</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3、有一定比例的教师取得急救员培训合格证</w:t>
            </w:r>
            <w:r>
              <w:rPr>
                <w:rFonts w:hint="eastAsia" w:ascii="Times New Roman" w:hAnsi="Times New Roman" w:cs="Times New Roman" w:eastAsiaTheme="minorEastAsia"/>
                <w:bCs/>
                <w:color w:val="auto"/>
                <w:sz w:val="21"/>
                <w:szCs w:val="21"/>
                <w:lang w:eastAsia="zh-CN"/>
              </w:rPr>
              <w:t>。</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食品安全</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提供安全合理的营养膳食；学校周边200米范围内无小摊商贩；学校食堂应符合卫生要求，定期检查；学校内部及周边的餐饮店、超市，不能销售“三无”产品、过期、变质等不合格食品。</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1、有饮食安全管理制度；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2、加大食品安全宣传教育，确保本学校师生无出现食品安全事故；</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3、学校食堂满足师生需求，膳食搭配合理，食品安全卫生；食堂卫生标准达到国家要求；工作人员符合健康安全标准；</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 xml:space="preserve">4、有宣传健康饮食的标语等宣传内容； </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5、有食品安全教育讲座，资料存档，发放食品安全宣传手册；</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6、学校内部及周边的餐饮店、超市，不能销售“三无”产品、过期、变质等不合格食品。有抽检记录。</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区教育局、各学校、三亚市市场监督管理局吉阳分局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5" w:hRule="atLeast"/>
        </w:trPr>
        <w:tc>
          <w:tcPr>
            <w:tcW w:w="14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四、健康服务</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卫生室/保健室</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寄宿制中小学校或600名学生以上的非寄宿制中小学校配备专职卫生专业技术人员、600名学生以下的非寄宿制中小学校配备专兼职保健教师或卫生专业技术人员的比例</w:t>
            </w:r>
            <w:r>
              <w:rPr>
                <w:rFonts w:hint="default" w:ascii="Times New Roman" w:hAnsi="Times New Roman" w:cs="Times New Roman" w:eastAsiaTheme="minorEastAsia"/>
                <w:color w:val="auto"/>
                <w:sz w:val="21"/>
                <w:szCs w:val="21"/>
              </w:rPr>
              <w:t>分别达到70%及以上。</w:t>
            </w:r>
            <w:r>
              <w:rPr>
                <w:rFonts w:hint="default" w:ascii="Times New Roman" w:hAnsi="Times New Roman" w:cs="Times New Roman" w:eastAsiaTheme="minorEastAsia"/>
                <w:bCs/>
                <w:color w:val="auto"/>
                <w:sz w:val="21"/>
                <w:szCs w:val="21"/>
              </w:rPr>
              <w:t>专业技术人员或保健教师，定期接受专业培训，为学生提供健康教育、医疗服务。</w:t>
            </w:r>
          </w:p>
        </w:tc>
        <w:tc>
          <w:tcPr>
            <w:tcW w:w="2835" w:type="dxa"/>
            <w:shd w:val="clear" w:color="auto" w:fill="auto"/>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根据情况配备有专职卫生专业技术人员、专兼职保健教师或卫生专业技术人员</w:t>
            </w:r>
            <w:r>
              <w:rPr>
                <w:rFonts w:hint="eastAsia" w:ascii="Times New Roman" w:hAnsi="Times New Roman" w:cs="Times New Roman" w:eastAsiaTheme="minorEastAsia"/>
                <w:bCs/>
                <w:color w:val="auto"/>
                <w:sz w:val="21"/>
                <w:szCs w:val="21"/>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2、医护人员定期接受培训，有记录有图片等；</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3、学生健康保健工作有计划、有活动、有记录；</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4、有医疗箱、急救药品等设备，药品在</w:t>
            </w:r>
            <w:r>
              <w:rPr>
                <w:rFonts w:hint="default" w:ascii="Times New Roman" w:hAnsi="Times New Roman" w:cs="Times New Roman" w:eastAsiaTheme="minorEastAsia"/>
                <w:bCs/>
                <w:color w:val="auto"/>
                <w:sz w:val="21"/>
                <w:szCs w:val="21"/>
                <w:lang w:eastAsia="zh-CN"/>
              </w:rPr>
              <w:t>有效</w:t>
            </w:r>
            <w:r>
              <w:rPr>
                <w:rFonts w:hint="default" w:ascii="Times New Roman" w:hAnsi="Times New Roman" w:cs="Times New Roman" w:eastAsiaTheme="minorEastAsia"/>
                <w:bCs/>
                <w:color w:val="auto"/>
                <w:sz w:val="21"/>
                <w:szCs w:val="21"/>
              </w:rPr>
              <w:t>期内。</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健康管理</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建立学生健康体检和健康管理机制。新生入学建立健康档案；每年组织一次学生健康体检，学生健康评价结果告知学生和家长；提醒学生到卫生行政部门指定机构接种常规疫苗和应急疫苗；儿童入学时查验预防接种证和接种记录。做好学生常见病综合防治工作；营养不良、视力不良、肥胖、龋齿、贫血等学生常见疾病发病率在原有基础上有所下降。</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1、建立学生健康维护和促进制度；</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2、定期体检，建立与家长反馈制度，有反馈记录；</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3、建立学生健康档案，资料收集齐全</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4、掌握营养不良、视力不良、肥胖、龋齿、贫血等情况，有预防与干预措施，及时跟踪与干预。</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建立健康管理服务体系，建立教师健康档案，建立职工健康检查制度，制定职工年度健康检查计划，根据体检结果采取慢性病针对性预防控制措施。落实《女职工劳动保护特别规定》加强对怀孕和哺乳期女职工的关爱和照顾。</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1、有定期体检及经费支出；体检记录及名单齐全</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2、建立教师健康档案；</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3、制定职工年度健康检查计划，根据体检结果采取慢性病针对性预防控制措施。</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区教育局、各学校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心理咨询/人员配备</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专门为学生提供心理问题咨询的心理活动室包含对咨询室功能区的规划，心理沙盘室、音乐放松室、团体辅导室、情绪宣泄室等功能室；配备有资质的心理老师为学生开展心理辅导。配备专兼职心理健康工作人员的中小学校比例为80%。</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1、建立学生心理问题预警与干预机制；</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2、有心理咨询室，场地与设施符合要求；</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3、配备有心理咨询师，满足学生需求。记录咨询记录归档；</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4、对有心理健康需求的师生，及时关注，提供帮助。</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传染病及突发公共卫生事件报告和处理</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建立突发公共卫生事件、传染病、学生常见病与多发病管理机制。无集体性食物中毒和安全事故发生，无传染病暴发流行；配合有关单位，开展传染病监测</w:t>
            </w:r>
            <w:r>
              <w:rPr>
                <w:rFonts w:hint="eastAsia" w:ascii="Times New Roman" w:hAnsi="Times New Roman" w:cs="Times New Roman" w:eastAsiaTheme="minorEastAsia"/>
                <w:bCs/>
                <w:color w:val="auto"/>
                <w:sz w:val="21"/>
                <w:szCs w:val="21"/>
                <w:lang w:eastAsia="zh-CN"/>
              </w:rPr>
              <w:t>。</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1、配合公共卫生部门做好传染病及突发公共卫生事件的管理；</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2、配合公共卫生部门开展预防控制重大疾病和突发公共卫生事件措施演练，有方案、记录或图片、影像资料等。</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区教育局、区卫健委、区疾控中心、各学校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5" w:hRule="atLeast"/>
        </w:trPr>
        <w:tc>
          <w:tcPr>
            <w:tcW w:w="14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五、健康人群</w:t>
            </w: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健康素养水平</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教师、学生的健康素养水平在原有基础上均提高20%。</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1、学校职工每人发放1册《中国公民健康素养—基本知识与技能》、控烟宣传资料和其他健康教育宣传资料，有签领记录；</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2、每年对学校职工、学生健康素养水平进行检测。有原始试卷、有评卷统计、分析和评价。</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区教育局、区卫健委、区疾控中心、各学校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体质健康</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按规定做好学生体质健康促进及管理工作，达到《国家学生体质健康标准》达标优良率。教师体质监测达标≥90%。</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1、认真实施国家学生体质健康标准；</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2、必须按规定做好学生体质健康促进及管理工作，保持均衡饮食，加强锻炼。达到《国家学生体质健康标准》合格以上比例</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3、有规章制度、课程安排、活动记录、测试结果等相关资料</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4、定期对教师进行体质检测，有记录有结果。</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区教育局、区卫健委、区疾控中心、各学校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学生肥胖发生率</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学生肥胖检出率控制在10%以内，且呈明显下降趋势。</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学生肥胖发生率；给肥胖的学生提出针对性地建议。</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区教育局区卫健委、区疾控中心、各学校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青少年总体近视发生率</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做好近视预防工作，开展眼保健和视力检查活动，学生近视率呈明显下降趋势。力争每年降低0.5个百分点以上。</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1、有预防学生近视的管理措施；</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2、做好近视预防工作，课间组织学生开展眼保健操和定期组织学生开展视力检查活动</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3、督促学生保持正确读写姿势。选择良好的用眼视觉环境，养成良好的用眼习惯。</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区卫健委、区教育局、区疾控中心、各学校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健康行为</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教师养成良好的健康生活方式，经常参加体育锻炼的教师比例逐年增加；学生的吸烟率低并逐年下降；学生养成良好的健康行为习惯。包括合理膳食、适量运动；咳嗽或打喷嚏时遮掩口鼻、指甲清洁、饭前便后洗手；读写姿势正确、正确做眼保健操；早晚刷牙、睡眠充足、不吸烟、不饮酒等。学生养成良好的健康行为习惯；包括合理膳食、适量运动</w:t>
            </w:r>
            <w:r>
              <w:rPr>
                <w:rFonts w:hint="eastAsia" w:ascii="Times New Roman" w:hAnsi="Times New Roman" w:cs="Times New Roman" w:eastAsiaTheme="minorEastAsia"/>
                <w:bCs/>
                <w:color w:val="auto"/>
                <w:sz w:val="21"/>
                <w:szCs w:val="21"/>
                <w:lang w:eastAsia="zh-CN"/>
              </w:rPr>
              <w:t>。</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1、教师养成良好的健康生活方式，经常参加体育锻炼</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2、对教师、学生吸烟率有统计，了解基本情况采取干预措施</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3、采取有效措施培养学生养成良好的卫生习惯和健康生活方式。有方案、有记录、有图片。</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区教育局、区疾控中心、各学校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4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六、健康文化</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健康宣传</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营造健康文体氛围。采取形式多样的健康宣传形成，着重实效。设置健康教育宣传栏，定期更换</w:t>
            </w:r>
            <w:r>
              <w:rPr>
                <w:rFonts w:hint="eastAsia" w:ascii="Times New Roman" w:hAnsi="Times New Roman" w:cs="Times New Roman" w:eastAsiaTheme="minorEastAsia"/>
                <w:bCs/>
                <w:color w:val="auto"/>
                <w:sz w:val="21"/>
                <w:szCs w:val="21"/>
                <w:lang w:eastAsia="zh-CN"/>
              </w:rPr>
              <w:t>。</w:t>
            </w:r>
            <w:r>
              <w:rPr>
                <w:rFonts w:hint="default" w:ascii="Times New Roman" w:hAnsi="Times New Roman" w:cs="Times New Roman" w:eastAsiaTheme="minorEastAsia"/>
                <w:bCs/>
                <w:color w:val="auto"/>
                <w:sz w:val="21"/>
                <w:szCs w:val="21"/>
              </w:rPr>
              <w:t xml:space="preserve"> </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1、营造良好的健康文化氛围，在教室、运动场、食堂、宣传阵地等醒目位置体现健康素材</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2、学校设置健康教育宣传栏，适时更新内容，至少每季度更换1期（每年至少含1期禁烟专题）。有实景照片存档。</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区教育局、区卫健委、区疾控中心、各学校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6"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w:t>
            </w:r>
          </w:p>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教育课</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开设高质量的健康教育课程，每学期《体育与健康》等健康教育类课程中有6学时用于健康教育。中小学体育与健康课程开课率为100%。</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1、有健康教育课程管理办法，保证健康教育课数量和质量；</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2、有健康教育讲座资料存档。每年至少有2次以上讲座，有通知、签到、讲义、照片、总结存档</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3、组织师生观看健康教育和控烟科普视频，有远景、近景照片存档，并做简要记录。</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采用规范的健康教育教材，教学过程中配合使用有针对性</w:t>
            </w:r>
            <w:r>
              <w:rPr>
                <w:rFonts w:hint="default" w:ascii="Times New Roman" w:hAnsi="Times New Roman" w:cs="Times New Roman" w:eastAsiaTheme="minorEastAsia"/>
                <w:bCs/>
                <w:color w:val="auto"/>
                <w:sz w:val="21"/>
                <w:szCs w:val="21"/>
                <w:lang w:eastAsia="zh-CN"/>
              </w:rPr>
              <w:t>的</w:t>
            </w:r>
            <w:r>
              <w:rPr>
                <w:rFonts w:hint="default" w:ascii="Times New Roman" w:hAnsi="Times New Roman" w:cs="Times New Roman" w:eastAsiaTheme="minorEastAsia"/>
                <w:bCs/>
                <w:color w:val="auto"/>
                <w:sz w:val="21"/>
                <w:szCs w:val="21"/>
              </w:rPr>
              <w:t>课件和健康传播材料。</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有规范的健康教育教材，合理安排健康教育课程。</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授课教师定期接受健康教育技能培训。</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每年授课教师参加了上级培训，保留有通知、照片存档。</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心理健康教育</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在《中小学心理健康教育指导纲要》指导下，根据不同年级学生生理、心理发育特点，开展特定主题的心理健康教育活动，提高学生心理健康素养。为有需求的学生提供心理信箱、心理咨询等渠道的心理援助。</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1、由有心理咨询资格证的教师上心理健康教育课程；</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2、根据不同年级学生生理、心理发育特点，开展特定主题的心理健康教育活动</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3、有录制视频、照片和小结</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4、建立和完善心理健康教育、心理热线服务、心理评估、心理咨询、心理治疗、精神科治疗等衔接合作的心理危机干预和心理援助服务模式。</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trPr>
        <w:tc>
          <w:tcPr>
            <w:tcW w:w="14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p>
        </w:tc>
        <w:tc>
          <w:tcPr>
            <w:tcW w:w="10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健康主题活动</w:t>
            </w:r>
          </w:p>
        </w:tc>
        <w:tc>
          <w:tcPr>
            <w:tcW w:w="31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在《中小学健康教育指导纲要》指导下，针对不同年级学生开展特定主题的健康教育活动，提高中小学生在健康行为与生活方式、疾病预防、心理健康、生长发育与青春期保健、安全应急与避险等5方面的知识和技能，提高学生健康素养。</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主题活动可包括专题班会、主题讲座、健康咨询、健康知识竞赛、演讲比赛、健康征文、健康绘画等形式。应配合使用健康教育材料。</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eastAsia" w:ascii="Times New Roman" w:hAnsi="Times New Roman" w:cs="Times New Roman" w:eastAsiaTheme="minorEastAsia"/>
                <w:bCs/>
                <w:color w:val="auto"/>
                <w:sz w:val="21"/>
                <w:szCs w:val="21"/>
                <w:lang w:eastAsia="zh-CN"/>
              </w:rPr>
            </w:pPr>
            <w:r>
              <w:rPr>
                <w:rFonts w:hint="default" w:ascii="Times New Roman" w:hAnsi="Times New Roman" w:cs="Times New Roman" w:eastAsiaTheme="minorEastAsia"/>
                <w:bCs/>
                <w:color w:val="auto"/>
                <w:sz w:val="21"/>
                <w:szCs w:val="21"/>
              </w:rPr>
              <w:t>1、经常组织健康促进相关的活动，开展形式多样的健康主题日活动。有通知、报道、照片和小结</w:t>
            </w:r>
            <w:r>
              <w:rPr>
                <w:rFonts w:hint="eastAsia" w:ascii="Times New Roman" w:hAnsi="Times New Roman" w:cs="Times New Roman" w:eastAsiaTheme="minor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contextualSpacing/>
              <w:jc w:val="left"/>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2、组织学生义务参加健康宣传或主题活动，培养健康意识。有通知、报道、照片和小结。</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lang w:eastAsia="zh-CN"/>
              </w:rPr>
              <w:t>各学校</w:t>
            </w:r>
          </w:p>
        </w:tc>
      </w:tr>
    </w:tbl>
    <w:p>
      <w:pPr>
        <w:keepNext w:val="0"/>
        <w:keepLines w:val="0"/>
        <w:pageBreakBefore w:val="0"/>
        <w:kinsoku/>
        <w:wordWrap/>
        <w:overflowPunct/>
        <w:topLinePunct w:val="0"/>
        <w:autoSpaceDE/>
        <w:autoSpaceDN/>
        <w:bidi w:val="0"/>
        <w:adjustRightInd/>
        <w:snapToGrid/>
        <w:spacing w:line="578" w:lineRule="exact"/>
        <w:contextualSpacing/>
        <w:jc w:val="both"/>
        <w:textAlignment w:val="auto"/>
        <w:rPr>
          <w:rFonts w:hint="default" w:ascii="Times New Roman" w:hAnsi="Times New Roman" w:cs="Times New Roman"/>
          <w:bCs/>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78" w:lineRule="exact"/>
        <w:contextualSpacing/>
        <w:jc w:val="center"/>
        <w:textAlignment w:val="auto"/>
        <w:rPr>
          <w:rFonts w:hint="default" w:ascii="Times New Roman" w:hAnsi="Times New Roman" w:eastAsia="仿宋_GB2312" w:cs="Times New Roman"/>
          <w:bCs/>
          <w:color w:val="auto"/>
          <w:sz w:val="32"/>
          <w:szCs w:val="32"/>
        </w:rPr>
      </w:pPr>
    </w:p>
    <w:p>
      <w:pPr>
        <w:keepNext w:val="0"/>
        <w:keepLines w:val="0"/>
        <w:pageBreakBefore w:val="0"/>
        <w:kinsoku/>
        <w:wordWrap/>
        <w:overflowPunct/>
        <w:topLinePunct w:val="0"/>
        <w:autoSpaceDE/>
        <w:autoSpaceDN/>
        <w:bidi w:val="0"/>
        <w:adjustRightInd/>
        <w:snapToGrid/>
        <w:spacing w:line="578" w:lineRule="exact"/>
        <w:contextualSpacing/>
        <w:jc w:val="center"/>
        <w:textAlignment w:val="auto"/>
        <w:rPr>
          <w:rFonts w:hint="default" w:ascii="Times New Roman" w:hAnsi="Times New Roman" w:eastAsia="仿宋_GB2312" w:cs="Times New Roman"/>
          <w:bCs/>
          <w:color w:val="auto"/>
          <w:sz w:val="32"/>
          <w:szCs w:val="32"/>
        </w:rPr>
      </w:pPr>
    </w:p>
    <w:p>
      <w:pPr>
        <w:keepNext w:val="0"/>
        <w:keepLines w:val="0"/>
        <w:pageBreakBefore w:val="0"/>
        <w:kinsoku/>
        <w:wordWrap/>
        <w:overflowPunct/>
        <w:topLinePunct w:val="0"/>
        <w:autoSpaceDE/>
        <w:autoSpaceDN/>
        <w:bidi w:val="0"/>
        <w:adjustRightInd/>
        <w:snapToGrid/>
        <w:spacing w:line="578" w:lineRule="exact"/>
        <w:contextualSpacing/>
        <w:jc w:val="center"/>
        <w:textAlignment w:val="auto"/>
        <w:rPr>
          <w:rFonts w:hint="default" w:ascii="Times New Roman" w:hAnsi="Times New Roman" w:eastAsia="仿宋_GB2312" w:cs="Times New Roman"/>
          <w:bCs/>
          <w:color w:val="auto"/>
          <w:sz w:val="32"/>
          <w:szCs w:val="32"/>
        </w:rPr>
      </w:pPr>
    </w:p>
    <w:p>
      <w:pPr>
        <w:keepNext w:val="0"/>
        <w:keepLines w:val="0"/>
        <w:pageBreakBefore w:val="0"/>
        <w:kinsoku/>
        <w:wordWrap/>
        <w:overflowPunct/>
        <w:topLinePunct w:val="0"/>
        <w:autoSpaceDE/>
        <w:autoSpaceDN/>
        <w:bidi w:val="0"/>
        <w:adjustRightInd/>
        <w:snapToGrid/>
        <w:spacing w:line="578" w:lineRule="exact"/>
        <w:contextualSpacing/>
        <w:jc w:val="center"/>
        <w:textAlignment w:val="auto"/>
        <w:rPr>
          <w:rFonts w:hint="default" w:ascii="Times New Roman" w:hAnsi="Times New Roman" w:eastAsia="仿宋_GB2312" w:cs="Times New Roman"/>
          <w:bCs/>
          <w:color w:val="auto"/>
          <w:sz w:val="32"/>
          <w:szCs w:val="32"/>
        </w:rPr>
      </w:pPr>
    </w:p>
    <w:p>
      <w:pPr>
        <w:keepNext w:val="0"/>
        <w:keepLines w:val="0"/>
        <w:pageBreakBefore w:val="0"/>
        <w:kinsoku/>
        <w:wordWrap/>
        <w:overflowPunct/>
        <w:topLinePunct w:val="0"/>
        <w:autoSpaceDE/>
        <w:autoSpaceDN/>
        <w:bidi w:val="0"/>
        <w:adjustRightInd/>
        <w:snapToGrid/>
        <w:spacing w:line="578" w:lineRule="exact"/>
        <w:contextualSpacing/>
        <w:jc w:val="both"/>
        <w:textAlignment w:val="auto"/>
        <w:rPr>
          <w:rFonts w:hint="default" w:ascii="Times New Roman" w:hAnsi="Times New Roman" w:eastAsia="仿宋_GB2312" w:cs="Times New Roman"/>
          <w:bCs/>
          <w:color w:val="auto"/>
          <w:sz w:val="32"/>
          <w:szCs w:val="32"/>
        </w:rPr>
      </w:pPr>
    </w:p>
    <w:sectPr>
      <w:headerReference r:id="rId3" w:type="default"/>
      <w:footerReference r:id="rId4"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0265F1"/>
    <w:multiLevelType w:val="singleLevel"/>
    <w:tmpl w:val="D10265F1"/>
    <w:lvl w:ilvl="0" w:tentative="0">
      <w:start w:val="1"/>
      <w:numFmt w:val="decimal"/>
      <w:suff w:val="nothing"/>
      <w:lvlText w:val="%1、"/>
      <w:lvlJc w:val="left"/>
    </w:lvl>
  </w:abstractNum>
  <w:abstractNum w:abstractNumId="1">
    <w:nsid w:val="D3A59919"/>
    <w:multiLevelType w:val="singleLevel"/>
    <w:tmpl w:val="D3A5991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74B6C"/>
    <w:rsid w:val="0B927274"/>
    <w:rsid w:val="12D452FA"/>
    <w:rsid w:val="13382936"/>
    <w:rsid w:val="142D17D7"/>
    <w:rsid w:val="16940BF9"/>
    <w:rsid w:val="177111D3"/>
    <w:rsid w:val="179D6F38"/>
    <w:rsid w:val="1FC469D3"/>
    <w:rsid w:val="325E61F2"/>
    <w:rsid w:val="33C276D7"/>
    <w:rsid w:val="35D4383D"/>
    <w:rsid w:val="38600F9C"/>
    <w:rsid w:val="3A801666"/>
    <w:rsid w:val="3BBE21C9"/>
    <w:rsid w:val="40A418BE"/>
    <w:rsid w:val="40AC47CD"/>
    <w:rsid w:val="4B4D4A61"/>
    <w:rsid w:val="4E9219D1"/>
    <w:rsid w:val="53526443"/>
    <w:rsid w:val="5BBE0C0D"/>
    <w:rsid w:val="63925AC8"/>
    <w:rsid w:val="671623FC"/>
    <w:rsid w:val="6C503709"/>
    <w:rsid w:val="6CA05F55"/>
    <w:rsid w:val="6ED17D9D"/>
    <w:rsid w:val="700C25D3"/>
    <w:rsid w:val="74D17942"/>
    <w:rsid w:val="760046C5"/>
    <w:rsid w:val="7F8E7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lenovo11</dc:creator>
  <cp:lastModifiedBy>陈惠君</cp:lastModifiedBy>
  <dcterms:modified xsi:type="dcterms:W3CDTF">2021-01-20T03:53:19Z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