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bCs/>
          <w:sz w:val="44"/>
          <w:szCs w:val="44"/>
        </w:rPr>
      </w:pPr>
    </w:p>
    <w:p>
      <w:pPr>
        <w:jc w:val="center"/>
        <w:rPr>
          <w:b/>
          <w:bCs/>
          <w:sz w:val="44"/>
          <w:szCs w:val="44"/>
        </w:rPr>
      </w:pPr>
    </w:p>
    <w:p>
      <w:pPr>
        <w:jc w:val="center"/>
        <w:rPr>
          <w:b/>
          <w:bCs/>
          <w:sz w:val="44"/>
          <w:szCs w:val="44"/>
        </w:rPr>
      </w:pPr>
    </w:p>
    <w:p>
      <w:pPr>
        <w:jc w:val="center"/>
        <w:rPr>
          <w:b/>
          <w:bCs/>
          <w:sz w:val="48"/>
          <w:szCs w:val="48"/>
        </w:rPr>
      </w:pPr>
    </w:p>
    <w:p>
      <w:pPr>
        <w:jc w:val="center"/>
        <w:rPr>
          <w:b/>
          <w:bCs/>
          <w:sz w:val="48"/>
          <w:szCs w:val="48"/>
        </w:rPr>
      </w:pPr>
    </w:p>
    <w:p>
      <w:pPr>
        <w:jc w:val="center"/>
        <w:rPr>
          <w:rFonts w:ascii="Times" w:hAnsi="华文中宋" w:eastAsia="华文中宋" w:cs="华文中宋"/>
          <w:b/>
          <w:bCs/>
          <w:sz w:val="56"/>
          <w:szCs w:val="56"/>
        </w:rPr>
      </w:pPr>
      <w:r>
        <w:rPr>
          <w:rFonts w:hint="eastAsia" w:ascii="Times" w:hAnsi="华文中宋" w:eastAsia="华文中宋" w:cs="华文中宋"/>
          <w:b/>
          <w:bCs/>
          <w:sz w:val="56"/>
          <w:szCs w:val="56"/>
        </w:rPr>
        <w:t>吉阳区国民经济与社会发展</w:t>
      </w:r>
    </w:p>
    <w:p>
      <w:pPr>
        <w:jc w:val="center"/>
        <w:rPr>
          <w:rFonts w:ascii="Times" w:hAnsi="华文中宋" w:eastAsia="华文中宋" w:cs="华文中宋"/>
          <w:b/>
          <w:bCs/>
          <w:sz w:val="56"/>
          <w:szCs w:val="56"/>
        </w:rPr>
      </w:pPr>
      <w:r>
        <w:rPr>
          <w:rFonts w:hint="eastAsia" w:ascii="Times" w:hAnsi="华文中宋" w:eastAsia="华文中宋" w:cs="华文中宋"/>
          <w:b/>
          <w:bCs/>
          <w:sz w:val="56"/>
          <w:szCs w:val="56"/>
        </w:rPr>
        <w:t>第十三个五年规划纲要</w:t>
      </w:r>
    </w:p>
    <w:p>
      <w:pPr>
        <w:jc w:val="center"/>
        <w:rPr>
          <w:rFonts w:ascii="华文中宋" w:hAnsi="华文中宋" w:eastAsia="华文中宋"/>
          <w:b/>
          <w:bCs/>
          <w:sz w:val="48"/>
          <w:szCs w:val="48"/>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sz w:val="32"/>
        </w:rPr>
      </w:pPr>
      <w:r>
        <w:rPr>
          <w:rFonts w:hint="eastAsia"/>
          <w:b/>
          <w:sz w:val="32"/>
        </w:rPr>
        <w:t>中国社会科学院城市发展与环境研究所</w:t>
      </w:r>
    </w:p>
    <w:p>
      <w:pPr>
        <w:jc w:val="center"/>
        <w:rPr>
          <w:b/>
          <w:sz w:val="32"/>
        </w:rPr>
      </w:pPr>
      <w:r>
        <w:rPr>
          <w:b/>
          <w:sz w:val="32"/>
        </w:rPr>
        <w:t>2016</w:t>
      </w:r>
      <w:r>
        <w:rPr>
          <w:rFonts w:hint="eastAsia"/>
          <w:b/>
          <w:sz w:val="32"/>
        </w:rPr>
        <w:t>年</w:t>
      </w:r>
      <w:r>
        <w:rPr>
          <w:b/>
          <w:sz w:val="32"/>
        </w:rPr>
        <w:t>2</w:t>
      </w:r>
      <w:r>
        <w:rPr>
          <w:rFonts w:hint="eastAsia"/>
          <w:b/>
          <w:sz w:val="32"/>
        </w:rPr>
        <w:t>月</w:t>
      </w:r>
    </w:p>
    <w:p>
      <w:pPr>
        <w:jc w:val="center"/>
        <w:rPr>
          <w:b/>
          <w:sz w:val="32"/>
        </w:rPr>
      </w:pPr>
    </w:p>
    <w:p>
      <w:pPr>
        <w:jc w:val="center"/>
        <w:rPr>
          <w:b/>
          <w:sz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720" w:num="1"/>
          <w:titlePg/>
          <w:docGrid w:type="lines" w:linePitch="312" w:charSpace="0"/>
        </w:sectPr>
      </w:pPr>
    </w:p>
    <w:p>
      <w:pPr>
        <w:widowControl/>
        <w:jc w:val="center"/>
        <w:rPr>
          <w:rFonts w:ascii="黑体" w:hAnsi="黑体" w:eastAsia="黑体" w:cs="宋体"/>
          <w:b/>
          <w:sz w:val="36"/>
          <w:szCs w:val="32"/>
        </w:rPr>
      </w:pPr>
      <w:r>
        <w:rPr>
          <w:rFonts w:hint="eastAsia" w:ascii="黑体" w:hAnsi="黑体" w:eastAsia="黑体" w:cs="宋体"/>
          <w:b/>
          <w:sz w:val="36"/>
          <w:szCs w:val="32"/>
        </w:rPr>
        <w:t>目录</w:t>
      </w:r>
    </w:p>
    <w:p>
      <w:pPr>
        <w:pStyle w:val="15"/>
        <w:tabs>
          <w:tab w:val="right" w:leader="dot" w:pos="8306"/>
        </w:tabs>
      </w:pPr>
      <w:r>
        <w:fldChar w:fldCharType="begin"/>
      </w:r>
      <w:r>
        <w:instrText xml:space="preserve">TOC \o "1-3" \h \u </w:instrText>
      </w:r>
      <w:r>
        <w:fldChar w:fldCharType="separate"/>
      </w:r>
      <w:r>
        <w:fldChar w:fldCharType="begin"/>
      </w:r>
      <w:r>
        <w:instrText xml:space="preserve"> HYPERLINK \l "_Toc16589" </w:instrText>
      </w:r>
      <w:r>
        <w:fldChar w:fldCharType="separate"/>
      </w:r>
      <w:r>
        <w:rPr>
          <w:rFonts w:hint="eastAsia" w:ascii="仿宋" w:hAnsi="仿宋" w:eastAsia="仿宋"/>
          <w:szCs w:val="32"/>
        </w:rPr>
        <w:t>第一部分</w:t>
      </w:r>
      <w:r>
        <w:rPr>
          <w:rFonts w:ascii="仿宋" w:hAnsi="仿宋" w:eastAsia="仿宋"/>
          <w:szCs w:val="32"/>
        </w:rPr>
        <w:t xml:space="preserve">  </w:t>
      </w:r>
      <w:r>
        <w:rPr>
          <w:rFonts w:hint="eastAsia" w:ascii="仿宋" w:hAnsi="仿宋" w:eastAsia="仿宋"/>
          <w:szCs w:val="32"/>
        </w:rPr>
        <w:t>发展基础与环境</w:t>
      </w:r>
      <w:r>
        <w:tab/>
      </w:r>
      <w:r>
        <w:fldChar w:fldCharType="end"/>
      </w:r>
    </w:p>
    <w:p>
      <w:pPr>
        <w:pStyle w:val="19"/>
        <w:tabs>
          <w:tab w:val="right" w:leader="dot" w:pos="8306"/>
        </w:tabs>
      </w:pPr>
      <w:r>
        <w:fldChar w:fldCharType="begin"/>
      </w:r>
      <w:r>
        <w:instrText xml:space="preserve"> HYPERLINK \l "_Toc24738" </w:instrText>
      </w:r>
      <w:r>
        <w:fldChar w:fldCharType="separate"/>
      </w:r>
      <w:r>
        <w:rPr>
          <w:rFonts w:hint="eastAsia" w:ascii="仿宋" w:hAnsi="仿宋" w:eastAsia="仿宋" w:cs="宋体"/>
          <w:kern w:val="0"/>
        </w:rPr>
        <w:t>一、发展基础</w:t>
      </w:r>
      <w:r>
        <w:tab/>
      </w:r>
      <w:r>
        <w:fldChar w:fldCharType="end"/>
      </w:r>
    </w:p>
    <w:p>
      <w:pPr>
        <w:pStyle w:val="9"/>
        <w:tabs>
          <w:tab w:val="right" w:leader="dot" w:pos="8306"/>
        </w:tabs>
      </w:pPr>
      <w:r>
        <w:fldChar w:fldCharType="begin"/>
      </w:r>
      <w:r>
        <w:instrText xml:space="preserve"> HYPERLINK \l "_Toc22613" </w:instrText>
      </w:r>
      <w:r>
        <w:fldChar w:fldCharType="separate"/>
      </w:r>
      <w:r>
        <w:rPr>
          <w:rFonts w:hint="eastAsia" w:ascii="仿宋" w:hAnsi="仿宋" w:eastAsia="仿宋"/>
        </w:rPr>
        <w:t>（一）经济保持较快增长，综合实力显著增强</w:t>
      </w:r>
      <w:r>
        <w:tab/>
      </w:r>
      <w:r>
        <w:fldChar w:fldCharType="end"/>
      </w:r>
    </w:p>
    <w:p>
      <w:pPr>
        <w:pStyle w:val="9"/>
        <w:tabs>
          <w:tab w:val="right" w:leader="dot" w:pos="8306"/>
        </w:tabs>
      </w:pPr>
      <w:r>
        <w:fldChar w:fldCharType="begin"/>
      </w:r>
      <w:r>
        <w:instrText xml:space="preserve"> HYPERLINK \l "_Toc1175" </w:instrText>
      </w:r>
      <w:r>
        <w:fldChar w:fldCharType="separate"/>
      </w:r>
      <w:r>
        <w:rPr>
          <w:rFonts w:hint="eastAsia" w:ascii="仿宋" w:hAnsi="仿宋" w:eastAsia="仿宋"/>
        </w:rPr>
        <w:t>（二）重点项目稳步推进，城乡建设取得新成就</w:t>
      </w:r>
      <w:r>
        <w:tab/>
      </w:r>
      <w:r>
        <w:fldChar w:fldCharType="end"/>
      </w:r>
    </w:p>
    <w:p>
      <w:pPr>
        <w:pStyle w:val="9"/>
        <w:tabs>
          <w:tab w:val="right" w:leader="dot" w:pos="8306"/>
        </w:tabs>
      </w:pPr>
      <w:r>
        <w:fldChar w:fldCharType="begin"/>
      </w:r>
      <w:r>
        <w:instrText xml:space="preserve"> HYPERLINK \l "_Toc15086" </w:instrText>
      </w:r>
      <w:r>
        <w:fldChar w:fldCharType="separate"/>
      </w:r>
      <w:r>
        <w:rPr>
          <w:rFonts w:hint="eastAsia" w:ascii="仿宋" w:hAnsi="仿宋" w:eastAsia="仿宋"/>
        </w:rPr>
        <w:t>（三）交通网络日趋完善，通行能力进一步提升</w:t>
      </w:r>
      <w:r>
        <w:tab/>
      </w:r>
      <w:r>
        <w:fldChar w:fldCharType="end"/>
      </w:r>
    </w:p>
    <w:p>
      <w:pPr>
        <w:pStyle w:val="9"/>
        <w:tabs>
          <w:tab w:val="right" w:leader="dot" w:pos="8306"/>
        </w:tabs>
      </w:pPr>
      <w:r>
        <w:fldChar w:fldCharType="begin"/>
      </w:r>
      <w:r>
        <w:instrText xml:space="preserve"> HYPERLINK \l "_Toc18177" </w:instrText>
      </w:r>
      <w:r>
        <w:fldChar w:fldCharType="separate"/>
      </w:r>
      <w:r>
        <w:rPr>
          <w:rFonts w:hint="eastAsia" w:ascii="仿宋" w:hAnsi="仿宋" w:eastAsia="仿宋"/>
        </w:rPr>
        <w:t>（四）民生事业全面推进，社会保障不断完善</w:t>
      </w:r>
      <w:r>
        <w:tab/>
      </w:r>
      <w:r>
        <w:fldChar w:fldCharType="end"/>
      </w:r>
    </w:p>
    <w:p>
      <w:pPr>
        <w:pStyle w:val="9"/>
        <w:tabs>
          <w:tab w:val="right" w:leader="dot" w:pos="8306"/>
        </w:tabs>
      </w:pPr>
      <w:r>
        <w:fldChar w:fldCharType="begin"/>
      </w:r>
      <w:r>
        <w:instrText xml:space="preserve"> HYPERLINK \l "_Toc13362" </w:instrText>
      </w:r>
      <w:r>
        <w:fldChar w:fldCharType="separate"/>
      </w:r>
      <w:r>
        <w:rPr>
          <w:rFonts w:hint="eastAsia" w:ascii="仿宋" w:hAnsi="仿宋" w:eastAsia="仿宋"/>
        </w:rPr>
        <w:t>（五）着力加强环境治理，生态文明扎实推进</w:t>
      </w:r>
      <w:r>
        <w:tab/>
      </w:r>
      <w:r>
        <w:fldChar w:fldCharType="end"/>
      </w:r>
    </w:p>
    <w:p>
      <w:pPr>
        <w:pStyle w:val="19"/>
        <w:tabs>
          <w:tab w:val="right" w:leader="dot" w:pos="8306"/>
        </w:tabs>
      </w:pPr>
      <w:r>
        <w:fldChar w:fldCharType="begin"/>
      </w:r>
      <w:r>
        <w:instrText xml:space="preserve"> HYPERLINK \l "_Toc7254" </w:instrText>
      </w:r>
      <w:r>
        <w:fldChar w:fldCharType="separate"/>
      </w:r>
      <w:r>
        <w:rPr>
          <w:rFonts w:hint="eastAsia" w:ascii="仿宋" w:hAnsi="仿宋" w:eastAsia="仿宋" w:cs="宋体"/>
          <w:kern w:val="0"/>
        </w:rPr>
        <w:t>二、面临形势</w:t>
      </w:r>
      <w:r>
        <w:tab/>
      </w:r>
      <w:r>
        <w:fldChar w:fldCharType="end"/>
      </w:r>
    </w:p>
    <w:p>
      <w:pPr>
        <w:pStyle w:val="9"/>
        <w:tabs>
          <w:tab w:val="right" w:leader="dot" w:pos="8306"/>
        </w:tabs>
      </w:pPr>
      <w:r>
        <w:fldChar w:fldCharType="begin"/>
      </w:r>
      <w:r>
        <w:instrText xml:space="preserve"> HYPERLINK \l "_Toc26868" </w:instrText>
      </w:r>
      <w:r>
        <w:fldChar w:fldCharType="separate"/>
      </w:r>
      <w:r>
        <w:rPr>
          <w:rFonts w:hint="eastAsia" w:ascii="仿宋" w:hAnsi="仿宋" w:eastAsia="仿宋"/>
        </w:rPr>
        <w:t>（一）发展机遇</w:t>
      </w:r>
      <w:r>
        <w:tab/>
      </w:r>
      <w:r>
        <w:fldChar w:fldCharType="end"/>
      </w:r>
    </w:p>
    <w:p>
      <w:pPr>
        <w:pStyle w:val="9"/>
        <w:tabs>
          <w:tab w:val="right" w:leader="dot" w:pos="8306"/>
        </w:tabs>
      </w:pPr>
      <w:r>
        <w:fldChar w:fldCharType="begin"/>
      </w:r>
      <w:r>
        <w:instrText xml:space="preserve"> HYPERLINK \l "_Toc30572" </w:instrText>
      </w:r>
      <w:r>
        <w:fldChar w:fldCharType="separate"/>
      </w:r>
      <w:r>
        <w:rPr>
          <w:rFonts w:hint="eastAsia" w:ascii="仿宋" w:hAnsi="仿宋" w:eastAsia="仿宋"/>
        </w:rPr>
        <w:t>（二）面临挑战</w:t>
      </w:r>
      <w:r>
        <w:tab/>
      </w:r>
      <w:r>
        <w:fldChar w:fldCharType="end"/>
      </w:r>
    </w:p>
    <w:p>
      <w:pPr>
        <w:pStyle w:val="15"/>
        <w:tabs>
          <w:tab w:val="right" w:leader="dot" w:pos="8306"/>
        </w:tabs>
      </w:pPr>
      <w:r>
        <w:fldChar w:fldCharType="begin"/>
      </w:r>
      <w:r>
        <w:instrText xml:space="preserve"> HYPERLINK \l "_Toc9405" </w:instrText>
      </w:r>
      <w:r>
        <w:fldChar w:fldCharType="separate"/>
      </w:r>
      <w:r>
        <w:rPr>
          <w:rFonts w:hint="eastAsia" w:ascii="仿宋" w:hAnsi="仿宋" w:eastAsia="仿宋"/>
          <w:szCs w:val="32"/>
        </w:rPr>
        <w:t>第二部分</w:t>
      </w:r>
      <w:r>
        <w:rPr>
          <w:rFonts w:ascii="仿宋" w:hAnsi="仿宋" w:eastAsia="仿宋"/>
          <w:szCs w:val="32"/>
        </w:rPr>
        <w:t xml:space="preserve">  </w:t>
      </w:r>
      <w:r>
        <w:rPr>
          <w:rFonts w:hint="eastAsia" w:ascii="仿宋" w:hAnsi="仿宋" w:eastAsia="仿宋"/>
          <w:szCs w:val="32"/>
        </w:rPr>
        <w:t>指导思想与目标</w:t>
      </w:r>
      <w:r>
        <w:tab/>
      </w:r>
      <w:r>
        <w:fldChar w:fldCharType="end"/>
      </w:r>
    </w:p>
    <w:p>
      <w:pPr>
        <w:pStyle w:val="19"/>
        <w:tabs>
          <w:tab w:val="right" w:leader="dot" w:pos="8306"/>
        </w:tabs>
      </w:pPr>
      <w:r>
        <w:fldChar w:fldCharType="begin"/>
      </w:r>
      <w:r>
        <w:instrText xml:space="preserve"> HYPERLINK \l "_Toc12681" </w:instrText>
      </w:r>
      <w:r>
        <w:fldChar w:fldCharType="separate"/>
      </w:r>
      <w:r>
        <w:rPr>
          <w:rFonts w:hint="eastAsia" w:ascii="仿宋" w:hAnsi="仿宋" w:eastAsia="仿宋" w:cs="宋体"/>
          <w:kern w:val="0"/>
        </w:rPr>
        <w:t>一、指导思想</w:t>
      </w:r>
      <w:r>
        <w:tab/>
      </w:r>
      <w:r>
        <w:fldChar w:fldCharType="end"/>
      </w:r>
    </w:p>
    <w:p>
      <w:pPr>
        <w:pStyle w:val="19"/>
        <w:tabs>
          <w:tab w:val="right" w:leader="dot" w:pos="8306"/>
        </w:tabs>
      </w:pPr>
      <w:r>
        <w:fldChar w:fldCharType="begin"/>
      </w:r>
      <w:r>
        <w:instrText xml:space="preserve"> HYPERLINK \l "_Toc12313" </w:instrText>
      </w:r>
      <w:r>
        <w:fldChar w:fldCharType="separate"/>
      </w:r>
      <w:r>
        <w:rPr>
          <w:rFonts w:hint="eastAsia" w:ascii="仿宋" w:hAnsi="仿宋" w:eastAsia="仿宋" w:cs="宋体"/>
          <w:kern w:val="0"/>
        </w:rPr>
        <w:t>二、基本原则</w:t>
      </w:r>
      <w:r>
        <w:tab/>
      </w:r>
      <w:r>
        <w:fldChar w:fldCharType="end"/>
      </w:r>
    </w:p>
    <w:p>
      <w:pPr>
        <w:pStyle w:val="19"/>
        <w:tabs>
          <w:tab w:val="right" w:leader="dot" w:pos="8306"/>
        </w:tabs>
      </w:pPr>
      <w:r>
        <w:fldChar w:fldCharType="begin"/>
      </w:r>
      <w:r>
        <w:instrText xml:space="preserve"> HYPERLINK \l "_Toc23552" </w:instrText>
      </w:r>
      <w:r>
        <w:fldChar w:fldCharType="separate"/>
      </w:r>
      <w:r>
        <w:rPr>
          <w:rFonts w:hint="eastAsia" w:ascii="仿宋" w:hAnsi="仿宋" w:eastAsia="仿宋" w:cs="宋体"/>
          <w:kern w:val="0"/>
        </w:rPr>
        <w:t>三、战略定位</w:t>
      </w:r>
      <w:r>
        <w:tab/>
      </w:r>
      <w:r>
        <w:fldChar w:fldCharType="end"/>
      </w:r>
    </w:p>
    <w:p>
      <w:pPr>
        <w:pStyle w:val="19"/>
        <w:tabs>
          <w:tab w:val="right" w:leader="dot" w:pos="8306"/>
        </w:tabs>
      </w:pPr>
      <w:r>
        <w:fldChar w:fldCharType="begin"/>
      </w:r>
      <w:r>
        <w:instrText xml:space="preserve"> HYPERLINK \l "_Toc24118" </w:instrText>
      </w:r>
      <w:r>
        <w:fldChar w:fldCharType="separate"/>
      </w:r>
      <w:r>
        <w:rPr>
          <w:rFonts w:hint="eastAsia" w:ascii="仿宋" w:hAnsi="仿宋" w:eastAsia="仿宋" w:cs="宋体"/>
          <w:kern w:val="0"/>
        </w:rPr>
        <w:t>四、发展目标</w:t>
      </w:r>
      <w:r>
        <w:tab/>
      </w:r>
      <w:r>
        <w:fldChar w:fldCharType="end"/>
      </w:r>
    </w:p>
    <w:p>
      <w:pPr>
        <w:pStyle w:val="15"/>
        <w:tabs>
          <w:tab w:val="right" w:leader="dot" w:pos="8306"/>
        </w:tabs>
      </w:pPr>
      <w:r>
        <w:fldChar w:fldCharType="begin"/>
      </w:r>
      <w:r>
        <w:instrText xml:space="preserve"> HYPERLINK \l "_Toc4039" </w:instrText>
      </w:r>
      <w:r>
        <w:fldChar w:fldCharType="separate"/>
      </w:r>
      <w:r>
        <w:rPr>
          <w:rFonts w:hint="eastAsia" w:ascii="仿宋" w:hAnsi="仿宋" w:eastAsia="仿宋"/>
          <w:szCs w:val="32"/>
        </w:rPr>
        <w:t>第三部分</w:t>
      </w:r>
      <w:r>
        <w:rPr>
          <w:rFonts w:ascii="仿宋" w:hAnsi="仿宋" w:eastAsia="仿宋"/>
          <w:szCs w:val="32"/>
        </w:rPr>
        <w:t xml:space="preserve">  </w:t>
      </w:r>
      <w:r>
        <w:rPr>
          <w:rFonts w:hint="eastAsia" w:ascii="仿宋" w:hAnsi="仿宋" w:eastAsia="仿宋"/>
          <w:szCs w:val="32"/>
        </w:rPr>
        <w:t>加快产业优化升级，建设“实力吉阳”</w:t>
      </w:r>
      <w:r>
        <w:tab/>
      </w:r>
      <w:r>
        <w:fldChar w:fldCharType="end"/>
      </w:r>
    </w:p>
    <w:p>
      <w:pPr>
        <w:pStyle w:val="19"/>
        <w:tabs>
          <w:tab w:val="right" w:leader="dot" w:pos="8306"/>
        </w:tabs>
      </w:pPr>
      <w:r>
        <w:fldChar w:fldCharType="begin"/>
      </w:r>
      <w:r>
        <w:instrText xml:space="preserve"> HYPERLINK \l "_Toc13484" </w:instrText>
      </w:r>
      <w:r>
        <w:fldChar w:fldCharType="separate"/>
      </w:r>
      <w:r>
        <w:rPr>
          <w:rFonts w:hint="eastAsia" w:ascii="仿宋" w:hAnsi="仿宋" w:eastAsia="仿宋" w:cs="宋体"/>
          <w:kern w:val="0"/>
        </w:rPr>
        <w:t>一、促进旅游业高端化发展</w:t>
      </w:r>
      <w:r>
        <w:tab/>
      </w:r>
      <w:r>
        <w:fldChar w:fldCharType="end"/>
      </w:r>
    </w:p>
    <w:p>
      <w:pPr>
        <w:pStyle w:val="19"/>
        <w:tabs>
          <w:tab w:val="right" w:leader="dot" w:pos="8306"/>
        </w:tabs>
      </w:pPr>
      <w:r>
        <w:fldChar w:fldCharType="begin"/>
      </w:r>
      <w:r>
        <w:instrText xml:space="preserve"> HYPERLINK \l "_Toc12966" </w:instrText>
      </w:r>
      <w:r>
        <w:fldChar w:fldCharType="separate"/>
      </w:r>
      <w:r>
        <w:rPr>
          <w:rFonts w:hint="eastAsia" w:ascii="仿宋" w:hAnsi="仿宋" w:eastAsia="仿宋" w:cs="宋体"/>
          <w:kern w:val="0"/>
        </w:rPr>
        <w:t>二、大力发展热带特色农业</w:t>
      </w:r>
      <w:r>
        <w:tab/>
      </w:r>
      <w:r>
        <w:fldChar w:fldCharType="end"/>
      </w:r>
    </w:p>
    <w:p>
      <w:pPr>
        <w:pStyle w:val="19"/>
        <w:tabs>
          <w:tab w:val="right" w:leader="dot" w:pos="8306"/>
        </w:tabs>
      </w:pPr>
      <w:r>
        <w:fldChar w:fldCharType="begin"/>
      </w:r>
      <w:r>
        <w:instrText xml:space="preserve"> HYPERLINK \l "_Toc26219" </w:instrText>
      </w:r>
      <w:r>
        <w:fldChar w:fldCharType="separate"/>
      </w:r>
      <w:r>
        <w:rPr>
          <w:rFonts w:hint="eastAsia" w:ascii="仿宋" w:hAnsi="仿宋" w:eastAsia="仿宋" w:cs="宋体"/>
          <w:kern w:val="0"/>
        </w:rPr>
        <w:t>三、全面推进互联网产业</w:t>
      </w:r>
      <w:r>
        <w:tab/>
      </w:r>
      <w:r>
        <w:fldChar w:fldCharType="end"/>
      </w:r>
    </w:p>
    <w:p>
      <w:pPr>
        <w:pStyle w:val="19"/>
        <w:tabs>
          <w:tab w:val="right" w:leader="dot" w:pos="8306"/>
        </w:tabs>
      </w:pPr>
      <w:r>
        <w:fldChar w:fldCharType="begin"/>
      </w:r>
      <w:r>
        <w:instrText xml:space="preserve"> HYPERLINK \l "_Toc9967" </w:instrText>
      </w:r>
      <w:r>
        <w:fldChar w:fldCharType="separate"/>
      </w:r>
      <w:r>
        <w:rPr>
          <w:rFonts w:hint="eastAsia" w:ascii="仿宋" w:hAnsi="仿宋" w:eastAsia="仿宋" w:cs="宋体"/>
          <w:kern w:val="0"/>
        </w:rPr>
        <w:t>四、积极发展科教文体产业</w:t>
      </w:r>
      <w:r>
        <w:tab/>
      </w:r>
      <w:r>
        <w:fldChar w:fldCharType="end"/>
      </w:r>
    </w:p>
    <w:p>
      <w:pPr>
        <w:pStyle w:val="19"/>
        <w:tabs>
          <w:tab w:val="right" w:leader="dot" w:pos="8306"/>
        </w:tabs>
      </w:pPr>
      <w:r>
        <w:fldChar w:fldCharType="begin"/>
      </w:r>
      <w:r>
        <w:instrText xml:space="preserve"> HYPERLINK \l "_Toc25371" </w:instrText>
      </w:r>
      <w:r>
        <w:fldChar w:fldCharType="separate"/>
      </w:r>
      <w:r>
        <w:rPr>
          <w:rFonts w:hint="eastAsia" w:ascii="仿宋" w:hAnsi="仿宋" w:eastAsia="仿宋" w:cs="宋体"/>
          <w:kern w:val="0"/>
        </w:rPr>
        <w:t>五、稳步发展高端商务与金融业</w:t>
      </w:r>
      <w:r>
        <w:tab/>
      </w:r>
      <w:r>
        <w:fldChar w:fldCharType="end"/>
      </w:r>
    </w:p>
    <w:p>
      <w:pPr>
        <w:pStyle w:val="19"/>
        <w:tabs>
          <w:tab w:val="right" w:leader="dot" w:pos="8306"/>
        </w:tabs>
      </w:pPr>
      <w:r>
        <w:fldChar w:fldCharType="begin"/>
      </w:r>
      <w:r>
        <w:instrText xml:space="preserve"> HYPERLINK \l "_Toc16861" </w:instrText>
      </w:r>
      <w:r>
        <w:fldChar w:fldCharType="separate"/>
      </w:r>
      <w:r>
        <w:rPr>
          <w:rFonts w:hint="eastAsia" w:ascii="仿宋" w:hAnsi="仿宋" w:eastAsia="仿宋" w:cs="宋体"/>
          <w:kern w:val="0"/>
        </w:rPr>
        <w:t>六、调整优化房地产业</w:t>
      </w:r>
      <w:r>
        <w:tab/>
      </w:r>
      <w:r>
        <w:fldChar w:fldCharType="end"/>
      </w:r>
    </w:p>
    <w:p>
      <w:pPr>
        <w:pStyle w:val="19"/>
        <w:tabs>
          <w:tab w:val="right" w:leader="dot" w:pos="8306"/>
        </w:tabs>
      </w:pPr>
      <w:r>
        <w:fldChar w:fldCharType="begin"/>
      </w:r>
      <w:r>
        <w:instrText xml:space="preserve"> HYPERLINK \l "_Toc1651" </w:instrText>
      </w:r>
      <w:r>
        <w:fldChar w:fldCharType="separate"/>
      </w:r>
      <w:r>
        <w:rPr>
          <w:rFonts w:hint="eastAsia" w:ascii="仿宋" w:hAnsi="仿宋" w:eastAsia="仿宋" w:cs="宋体"/>
          <w:kern w:val="0"/>
        </w:rPr>
        <w:t>七、大力发展商贸物流产业</w:t>
      </w:r>
      <w:r>
        <w:tab/>
      </w:r>
      <w:r>
        <w:fldChar w:fldCharType="end"/>
      </w:r>
    </w:p>
    <w:p>
      <w:pPr>
        <w:pStyle w:val="15"/>
        <w:tabs>
          <w:tab w:val="right" w:leader="dot" w:pos="8306"/>
        </w:tabs>
      </w:pPr>
      <w:r>
        <w:fldChar w:fldCharType="begin"/>
      </w:r>
      <w:r>
        <w:instrText xml:space="preserve"> HYPERLINK \l "_Toc1551" </w:instrText>
      </w:r>
      <w:r>
        <w:fldChar w:fldCharType="separate"/>
      </w:r>
      <w:r>
        <w:rPr>
          <w:rFonts w:hint="eastAsia" w:ascii="仿宋" w:hAnsi="仿宋" w:eastAsia="仿宋"/>
          <w:szCs w:val="32"/>
        </w:rPr>
        <w:t>第四部分</w:t>
      </w:r>
      <w:r>
        <w:rPr>
          <w:rFonts w:ascii="仿宋" w:hAnsi="仿宋" w:eastAsia="仿宋"/>
          <w:szCs w:val="32"/>
        </w:rPr>
        <w:t xml:space="preserve">  </w:t>
      </w:r>
      <w:r>
        <w:rPr>
          <w:rFonts w:hint="eastAsia" w:ascii="仿宋" w:hAnsi="仿宋" w:eastAsia="仿宋"/>
          <w:szCs w:val="32"/>
        </w:rPr>
        <w:t>深化改革开放创新，建设“活力吉阳”</w:t>
      </w:r>
      <w:r>
        <w:tab/>
      </w:r>
      <w:r>
        <w:fldChar w:fldCharType="end"/>
      </w:r>
    </w:p>
    <w:p>
      <w:pPr>
        <w:pStyle w:val="19"/>
        <w:tabs>
          <w:tab w:val="right" w:leader="dot" w:pos="8306"/>
        </w:tabs>
      </w:pPr>
      <w:r>
        <w:fldChar w:fldCharType="begin"/>
      </w:r>
      <w:r>
        <w:instrText xml:space="preserve"> HYPERLINK \l "_Toc3922" </w:instrText>
      </w:r>
      <w:r>
        <w:fldChar w:fldCharType="separate"/>
      </w:r>
      <w:r>
        <w:rPr>
          <w:rFonts w:hint="eastAsia" w:ascii="仿宋" w:hAnsi="仿宋" w:eastAsia="仿宋" w:cs="宋体"/>
          <w:kern w:val="0"/>
        </w:rPr>
        <w:t>一、激发改革开放创新活力</w:t>
      </w:r>
      <w:r>
        <w:tab/>
      </w:r>
      <w:r>
        <w:fldChar w:fldCharType="end"/>
      </w:r>
    </w:p>
    <w:p>
      <w:pPr>
        <w:pStyle w:val="9"/>
        <w:tabs>
          <w:tab w:val="right" w:leader="dot" w:pos="8306"/>
        </w:tabs>
      </w:pPr>
      <w:r>
        <w:fldChar w:fldCharType="begin"/>
      </w:r>
      <w:r>
        <w:instrText xml:space="preserve"> HYPERLINK \l "_Toc19130" </w:instrText>
      </w:r>
      <w:r>
        <w:fldChar w:fldCharType="separate"/>
      </w:r>
      <w:r>
        <w:rPr>
          <w:rFonts w:hint="eastAsia" w:ascii="仿宋" w:hAnsi="仿宋" w:eastAsia="仿宋"/>
        </w:rPr>
        <w:t>（一）加快推进行政体制改革</w:t>
      </w:r>
      <w:r>
        <w:tab/>
      </w:r>
      <w:r>
        <w:fldChar w:fldCharType="end"/>
      </w:r>
    </w:p>
    <w:p>
      <w:pPr>
        <w:pStyle w:val="9"/>
        <w:tabs>
          <w:tab w:val="right" w:leader="dot" w:pos="8306"/>
        </w:tabs>
      </w:pPr>
      <w:r>
        <w:fldChar w:fldCharType="begin"/>
      </w:r>
      <w:r>
        <w:instrText xml:space="preserve"> HYPERLINK \l "_Toc1183" </w:instrText>
      </w:r>
      <w:r>
        <w:fldChar w:fldCharType="separate"/>
      </w:r>
      <w:r>
        <w:rPr>
          <w:rFonts w:hint="eastAsia" w:ascii="仿宋" w:hAnsi="仿宋" w:eastAsia="仿宋"/>
        </w:rPr>
        <w:t>（二）稳步推进农村和农垦制度改革</w:t>
      </w:r>
      <w:r>
        <w:tab/>
      </w:r>
      <w:r>
        <w:fldChar w:fldCharType="end"/>
      </w:r>
    </w:p>
    <w:p>
      <w:pPr>
        <w:pStyle w:val="9"/>
        <w:tabs>
          <w:tab w:val="right" w:leader="dot" w:pos="8306"/>
        </w:tabs>
      </w:pPr>
      <w:r>
        <w:fldChar w:fldCharType="begin"/>
      </w:r>
      <w:r>
        <w:instrText xml:space="preserve"> HYPERLINK \l "_Toc32132" </w:instrText>
      </w:r>
      <w:r>
        <w:fldChar w:fldCharType="separate"/>
      </w:r>
      <w:r>
        <w:rPr>
          <w:rFonts w:hint="eastAsia" w:ascii="仿宋" w:hAnsi="仿宋" w:eastAsia="仿宋"/>
        </w:rPr>
        <w:t>（三）积极推进供给侧改革</w:t>
      </w:r>
      <w:r>
        <w:tab/>
      </w:r>
      <w:r>
        <w:fldChar w:fldCharType="end"/>
      </w:r>
    </w:p>
    <w:p>
      <w:pPr>
        <w:pStyle w:val="9"/>
        <w:tabs>
          <w:tab w:val="right" w:leader="dot" w:pos="8306"/>
        </w:tabs>
      </w:pPr>
      <w:r>
        <w:fldChar w:fldCharType="begin"/>
      </w:r>
      <w:r>
        <w:instrText xml:space="preserve"> HYPERLINK \l "_Toc7747" </w:instrText>
      </w:r>
      <w:r>
        <w:fldChar w:fldCharType="separate"/>
      </w:r>
      <w:r>
        <w:rPr>
          <w:rFonts w:hint="eastAsia" w:ascii="仿宋" w:hAnsi="仿宋" w:eastAsia="仿宋"/>
        </w:rPr>
        <w:t>（四）进一步完善市场化改革</w:t>
      </w:r>
      <w:r>
        <w:tab/>
      </w:r>
      <w:r>
        <w:fldChar w:fldCharType="end"/>
      </w:r>
    </w:p>
    <w:p>
      <w:pPr>
        <w:pStyle w:val="9"/>
        <w:tabs>
          <w:tab w:val="right" w:leader="dot" w:pos="8306"/>
        </w:tabs>
      </w:pPr>
      <w:r>
        <w:fldChar w:fldCharType="begin"/>
      </w:r>
      <w:r>
        <w:instrText xml:space="preserve"> HYPERLINK \l "_Toc23596" </w:instrText>
      </w:r>
      <w:r>
        <w:fldChar w:fldCharType="separate"/>
      </w:r>
      <w:r>
        <w:rPr>
          <w:rFonts w:hint="eastAsia" w:ascii="仿宋" w:hAnsi="仿宋" w:eastAsia="仿宋"/>
        </w:rPr>
        <w:t>（五）大幅提升对内对外开放水平</w:t>
      </w:r>
      <w:r>
        <w:tab/>
      </w:r>
      <w:r>
        <w:fldChar w:fldCharType="end"/>
      </w:r>
    </w:p>
    <w:p>
      <w:pPr>
        <w:pStyle w:val="9"/>
        <w:tabs>
          <w:tab w:val="right" w:leader="dot" w:pos="8306"/>
        </w:tabs>
      </w:pPr>
      <w:r>
        <w:fldChar w:fldCharType="begin"/>
      </w:r>
      <w:r>
        <w:instrText xml:space="preserve"> HYPERLINK \l "_Toc15022" </w:instrText>
      </w:r>
      <w:r>
        <w:fldChar w:fldCharType="separate"/>
      </w:r>
      <w:r>
        <w:rPr>
          <w:rFonts w:hint="eastAsia" w:ascii="仿宋" w:hAnsi="仿宋" w:eastAsia="仿宋"/>
        </w:rPr>
        <w:t>（六）打造三亚创新创业高地</w:t>
      </w:r>
      <w:r>
        <w:tab/>
      </w:r>
      <w:r>
        <w:fldChar w:fldCharType="end"/>
      </w:r>
    </w:p>
    <w:p>
      <w:pPr>
        <w:pStyle w:val="19"/>
        <w:tabs>
          <w:tab w:val="right" w:leader="dot" w:pos="8306"/>
        </w:tabs>
      </w:pPr>
      <w:r>
        <w:fldChar w:fldCharType="begin"/>
      </w:r>
      <w:r>
        <w:instrText xml:space="preserve"> HYPERLINK \l "_Toc11363" </w:instrText>
      </w:r>
      <w:r>
        <w:fldChar w:fldCharType="separate"/>
      </w:r>
      <w:r>
        <w:rPr>
          <w:rFonts w:hint="eastAsia" w:ascii="仿宋" w:hAnsi="仿宋" w:eastAsia="仿宋" w:cs="宋体"/>
          <w:kern w:val="0"/>
        </w:rPr>
        <w:t>二、全面提升城区治理水平</w:t>
      </w:r>
      <w:r>
        <w:tab/>
      </w:r>
      <w:r>
        <w:fldChar w:fldCharType="end"/>
      </w:r>
    </w:p>
    <w:p>
      <w:pPr>
        <w:pStyle w:val="9"/>
        <w:tabs>
          <w:tab w:val="right" w:leader="dot" w:pos="8306"/>
        </w:tabs>
      </w:pPr>
      <w:r>
        <w:fldChar w:fldCharType="begin"/>
      </w:r>
      <w:r>
        <w:instrText xml:space="preserve"> HYPERLINK \l "_Toc28102" </w:instrText>
      </w:r>
      <w:r>
        <w:fldChar w:fldCharType="separate"/>
      </w:r>
      <w:r>
        <w:rPr>
          <w:rFonts w:hint="eastAsia" w:ascii="仿宋" w:hAnsi="仿宋" w:eastAsia="仿宋"/>
        </w:rPr>
        <w:t>（一）积极推进城乡一体化管理</w:t>
      </w:r>
      <w:r>
        <w:tab/>
      </w:r>
      <w:r>
        <w:fldChar w:fldCharType="end"/>
      </w:r>
    </w:p>
    <w:p>
      <w:pPr>
        <w:pStyle w:val="9"/>
        <w:tabs>
          <w:tab w:val="right" w:leader="dot" w:pos="8306"/>
        </w:tabs>
      </w:pPr>
      <w:r>
        <w:fldChar w:fldCharType="begin"/>
      </w:r>
      <w:r>
        <w:instrText xml:space="preserve"> HYPERLINK \l "_Toc27525" </w:instrText>
      </w:r>
      <w:r>
        <w:fldChar w:fldCharType="separate"/>
      </w:r>
      <w:r>
        <w:rPr>
          <w:rFonts w:hint="eastAsia" w:ascii="仿宋" w:hAnsi="仿宋" w:eastAsia="仿宋"/>
        </w:rPr>
        <w:t>（二）努力提升精细化治理水平</w:t>
      </w:r>
      <w:r>
        <w:tab/>
      </w:r>
      <w:r>
        <w:fldChar w:fldCharType="end"/>
      </w:r>
    </w:p>
    <w:p>
      <w:pPr>
        <w:pStyle w:val="9"/>
        <w:tabs>
          <w:tab w:val="right" w:leader="dot" w:pos="8306"/>
        </w:tabs>
      </w:pPr>
      <w:r>
        <w:fldChar w:fldCharType="begin"/>
      </w:r>
      <w:r>
        <w:instrText xml:space="preserve"> HYPERLINK \l "_Toc23616" </w:instrText>
      </w:r>
      <w:r>
        <w:fldChar w:fldCharType="separate"/>
      </w:r>
      <w:r>
        <w:rPr>
          <w:rFonts w:hint="eastAsia" w:ascii="仿宋" w:hAnsi="仿宋" w:eastAsia="仿宋"/>
        </w:rPr>
        <w:t>（三）不断加强政府能力建设</w:t>
      </w:r>
      <w:r>
        <w:tab/>
      </w:r>
      <w:r>
        <w:fldChar w:fldCharType="end"/>
      </w:r>
    </w:p>
    <w:p>
      <w:pPr>
        <w:pStyle w:val="9"/>
        <w:tabs>
          <w:tab w:val="right" w:leader="dot" w:pos="8306"/>
        </w:tabs>
      </w:pPr>
      <w:r>
        <w:fldChar w:fldCharType="begin"/>
      </w:r>
      <w:r>
        <w:instrText xml:space="preserve"> HYPERLINK \l "_Toc32024" </w:instrText>
      </w:r>
      <w:r>
        <w:fldChar w:fldCharType="separate"/>
      </w:r>
      <w:r>
        <w:rPr>
          <w:rFonts w:hint="eastAsia" w:ascii="仿宋" w:hAnsi="仿宋" w:eastAsia="仿宋"/>
        </w:rPr>
        <w:t>（四）赋予农村更多自主发展权</w:t>
      </w:r>
      <w:r>
        <w:tab/>
      </w:r>
      <w:r>
        <w:fldChar w:fldCharType="end"/>
      </w:r>
    </w:p>
    <w:p>
      <w:pPr>
        <w:pStyle w:val="9"/>
        <w:tabs>
          <w:tab w:val="right" w:leader="dot" w:pos="8306"/>
        </w:tabs>
      </w:pPr>
      <w:r>
        <w:fldChar w:fldCharType="begin"/>
      </w:r>
      <w:r>
        <w:instrText xml:space="preserve"> HYPERLINK \l "_Toc28324" </w:instrText>
      </w:r>
      <w:r>
        <w:fldChar w:fldCharType="separate"/>
      </w:r>
      <w:r>
        <w:rPr>
          <w:rFonts w:hint="eastAsia" w:ascii="仿宋" w:hAnsi="仿宋" w:eastAsia="仿宋"/>
        </w:rPr>
        <w:t>（五）扎实推动建设质量强区</w:t>
      </w:r>
      <w:r>
        <w:tab/>
      </w:r>
      <w:r>
        <w:fldChar w:fldCharType="end"/>
      </w:r>
    </w:p>
    <w:p>
      <w:pPr>
        <w:pStyle w:val="15"/>
        <w:tabs>
          <w:tab w:val="right" w:leader="dot" w:pos="8306"/>
        </w:tabs>
      </w:pPr>
      <w:r>
        <w:fldChar w:fldCharType="begin"/>
      </w:r>
      <w:r>
        <w:instrText xml:space="preserve"> HYPERLINK \l "_Toc22070" </w:instrText>
      </w:r>
      <w:r>
        <w:fldChar w:fldCharType="separate"/>
      </w:r>
      <w:r>
        <w:rPr>
          <w:rFonts w:hint="eastAsia" w:ascii="仿宋" w:hAnsi="仿宋" w:eastAsia="仿宋"/>
          <w:szCs w:val="32"/>
        </w:rPr>
        <w:t>第五部分</w:t>
      </w:r>
      <w:r>
        <w:rPr>
          <w:rFonts w:ascii="仿宋" w:hAnsi="仿宋" w:eastAsia="仿宋"/>
          <w:szCs w:val="32"/>
        </w:rPr>
        <w:t xml:space="preserve">  </w:t>
      </w:r>
      <w:r>
        <w:rPr>
          <w:rFonts w:hint="eastAsia" w:ascii="仿宋" w:hAnsi="仿宋" w:eastAsia="仿宋"/>
          <w:szCs w:val="32"/>
        </w:rPr>
        <w:t>打造宜居宜游环境，建设“魅力吉阳”</w:t>
      </w:r>
      <w:r>
        <w:tab/>
      </w:r>
      <w:r>
        <w:fldChar w:fldCharType="end"/>
      </w:r>
    </w:p>
    <w:p>
      <w:pPr>
        <w:pStyle w:val="19"/>
        <w:tabs>
          <w:tab w:val="right" w:leader="dot" w:pos="8306"/>
        </w:tabs>
      </w:pPr>
      <w:r>
        <w:fldChar w:fldCharType="begin"/>
      </w:r>
      <w:r>
        <w:instrText xml:space="preserve"> HYPERLINK \l "_Toc398" </w:instrText>
      </w:r>
      <w:r>
        <w:fldChar w:fldCharType="separate"/>
      </w:r>
      <w:r>
        <w:rPr>
          <w:rFonts w:hint="eastAsia" w:ascii="仿宋" w:hAnsi="仿宋" w:eastAsia="仿宋" w:cs="宋体"/>
          <w:kern w:val="0"/>
        </w:rPr>
        <w:t>一、积极优化空间布局</w:t>
      </w:r>
      <w:r>
        <w:tab/>
      </w:r>
      <w:r>
        <w:fldChar w:fldCharType="end"/>
      </w:r>
    </w:p>
    <w:p>
      <w:pPr>
        <w:pStyle w:val="9"/>
        <w:tabs>
          <w:tab w:val="right" w:leader="dot" w:pos="8306"/>
        </w:tabs>
      </w:pPr>
      <w:r>
        <w:fldChar w:fldCharType="begin"/>
      </w:r>
      <w:r>
        <w:instrText xml:space="preserve"> HYPERLINK \l "_Toc21837" </w:instrText>
      </w:r>
      <w:r>
        <w:fldChar w:fldCharType="separate"/>
      </w:r>
      <w:r>
        <w:rPr>
          <w:rFonts w:hint="eastAsia" w:ascii="仿宋" w:hAnsi="仿宋" w:eastAsia="仿宋"/>
        </w:rPr>
        <w:t>（一）构建更具活力的中心城区</w:t>
      </w:r>
      <w:r>
        <w:tab/>
      </w:r>
      <w:r>
        <w:fldChar w:fldCharType="end"/>
      </w:r>
    </w:p>
    <w:p>
      <w:pPr>
        <w:pStyle w:val="9"/>
        <w:tabs>
          <w:tab w:val="right" w:leader="dot" w:pos="8306"/>
        </w:tabs>
      </w:pPr>
      <w:r>
        <w:fldChar w:fldCharType="begin"/>
      </w:r>
      <w:r>
        <w:instrText xml:space="preserve"> HYPERLINK \l "_Toc9454" </w:instrText>
      </w:r>
      <w:r>
        <w:fldChar w:fldCharType="separate"/>
      </w:r>
      <w:r>
        <w:rPr>
          <w:rFonts w:hint="eastAsia" w:ascii="仿宋" w:hAnsi="仿宋" w:eastAsia="仿宋"/>
        </w:rPr>
        <w:t>（二）优化提升滨海综合发展带</w:t>
      </w:r>
      <w:r>
        <w:tab/>
      </w:r>
      <w:r>
        <w:fldChar w:fldCharType="end"/>
      </w:r>
    </w:p>
    <w:p>
      <w:pPr>
        <w:pStyle w:val="9"/>
        <w:tabs>
          <w:tab w:val="right" w:leader="dot" w:pos="8306"/>
        </w:tabs>
      </w:pPr>
      <w:r>
        <w:fldChar w:fldCharType="begin"/>
      </w:r>
      <w:r>
        <w:instrText xml:space="preserve"> HYPERLINK \l "_Toc12506" </w:instrText>
      </w:r>
      <w:r>
        <w:fldChar w:fldCharType="separate"/>
      </w:r>
      <w:r>
        <w:rPr>
          <w:rFonts w:hint="eastAsia" w:ascii="仿宋" w:hAnsi="仿宋" w:eastAsia="仿宋"/>
        </w:rPr>
        <w:t>（三）推动四大功能区高效发展</w:t>
      </w:r>
      <w:r>
        <w:tab/>
      </w:r>
      <w:r>
        <w:fldChar w:fldCharType="end"/>
      </w:r>
    </w:p>
    <w:p>
      <w:pPr>
        <w:pStyle w:val="9"/>
        <w:tabs>
          <w:tab w:val="right" w:leader="dot" w:pos="8306"/>
        </w:tabs>
      </w:pPr>
      <w:r>
        <w:fldChar w:fldCharType="begin"/>
      </w:r>
      <w:r>
        <w:instrText xml:space="preserve"> HYPERLINK \l "_Toc19031" </w:instrText>
      </w:r>
      <w:r>
        <w:fldChar w:fldCharType="separate"/>
      </w:r>
      <w:r>
        <w:rPr>
          <w:rFonts w:hint="eastAsia" w:ascii="仿宋" w:hAnsi="仿宋" w:eastAsia="仿宋"/>
        </w:rPr>
        <w:t>（四）积极构建双廊道发展格局</w:t>
      </w:r>
      <w:r>
        <w:tab/>
      </w:r>
      <w:r>
        <w:fldChar w:fldCharType="end"/>
      </w:r>
    </w:p>
    <w:p>
      <w:pPr>
        <w:pStyle w:val="19"/>
        <w:tabs>
          <w:tab w:val="right" w:leader="dot" w:pos="8306"/>
        </w:tabs>
      </w:pPr>
      <w:r>
        <w:fldChar w:fldCharType="begin"/>
      </w:r>
      <w:r>
        <w:instrText xml:space="preserve"> HYPERLINK \l "_Toc32014" </w:instrText>
      </w:r>
      <w:r>
        <w:fldChar w:fldCharType="separate"/>
      </w:r>
      <w:r>
        <w:rPr>
          <w:rFonts w:hint="eastAsia" w:ascii="仿宋" w:hAnsi="仿宋" w:eastAsia="仿宋" w:cs="宋体"/>
          <w:kern w:val="0"/>
        </w:rPr>
        <w:t>二、全面推进“双修双城”</w:t>
      </w:r>
      <w:r>
        <w:tab/>
      </w:r>
      <w:r>
        <w:fldChar w:fldCharType="end"/>
      </w:r>
    </w:p>
    <w:p>
      <w:pPr>
        <w:pStyle w:val="9"/>
        <w:tabs>
          <w:tab w:val="right" w:leader="dot" w:pos="8306"/>
        </w:tabs>
      </w:pPr>
      <w:r>
        <w:fldChar w:fldCharType="begin"/>
      </w:r>
      <w:r>
        <w:instrText xml:space="preserve"> HYPERLINK \l "_Toc660" </w:instrText>
      </w:r>
      <w:r>
        <w:fldChar w:fldCharType="separate"/>
      </w:r>
      <w:r>
        <w:rPr>
          <w:rFonts w:hint="eastAsia" w:ascii="仿宋" w:hAnsi="仿宋" w:eastAsia="仿宋"/>
        </w:rPr>
        <w:t>（一）加强滨海岸线的环境治理</w:t>
      </w:r>
      <w:r>
        <w:tab/>
      </w:r>
      <w:r>
        <w:fldChar w:fldCharType="end"/>
      </w:r>
    </w:p>
    <w:p>
      <w:pPr>
        <w:pStyle w:val="9"/>
        <w:tabs>
          <w:tab w:val="right" w:leader="dot" w:pos="8306"/>
        </w:tabs>
      </w:pPr>
      <w:r>
        <w:fldChar w:fldCharType="begin"/>
      </w:r>
      <w:r>
        <w:instrText xml:space="preserve"> HYPERLINK \l "_Toc1911" </w:instrText>
      </w:r>
      <w:r>
        <w:fldChar w:fldCharType="separate"/>
      </w:r>
      <w:r>
        <w:rPr>
          <w:rFonts w:hint="eastAsia" w:ascii="仿宋" w:hAnsi="仿宋" w:eastAsia="仿宋"/>
        </w:rPr>
        <w:t>（二）强化河流湿地的生态保护</w:t>
      </w:r>
      <w:r>
        <w:tab/>
      </w:r>
      <w:r>
        <w:fldChar w:fldCharType="end"/>
      </w:r>
    </w:p>
    <w:p>
      <w:pPr>
        <w:pStyle w:val="9"/>
        <w:tabs>
          <w:tab w:val="right" w:leader="dot" w:pos="8306"/>
        </w:tabs>
      </w:pPr>
      <w:r>
        <w:fldChar w:fldCharType="begin"/>
      </w:r>
      <w:r>
        <w:instrText xml:space="preserve"> HYPERLINK \l "_Toc11550" </w:instrText>
      </w:r>
      <w:r>
        <w:fldChar w:fldCharType="separate"/>
      </w:r>
      <w:r>
        <w:rPr>
          <w:rFonts w:hint="eastAsia" w:ascii="仿宋" w:hAnsi="仿宋" w:eastAsia="仿宋"/>
        </w:rPr>
        <w:t>（三）继续推进城乡绿化建设</w:t>
      </w:r>
      <w:r>
        <w:tab/>
      </w:r>
      <w:r>
        <w:fldChar w:fldCharType="end"/>
      </w:r>
    </w:p>
    <w:p>
      <w:pPr>
        <w:pStyle w:val="9"/>
        <w:tabs>
          <w:tab w:val="right" w:leader="dot" w:pos="8306"/>
        </w:tabs>
      </w:pPr>
      <w:r>
        <w:fldChar w:fldCharType="begin"/>
      </w:r>
      <w:r>
        <w:instrText xml:space="preserve"> HYPERLINK \l "_Toc298" </w:instrText>
      </w:r>
      <w:r>
        <w:fldChar w:fldCharType="separate"/>
      </w:r>
      <w:r>
        <w:rPr>
          <w:rFonts w:hint="eastAsia" w:ascii="仿宋" w:hAnsi="仿宋" w:eastAsia="仿宋"/>
        </w:rPr>
        <w:t>（四）着力提升城乡人居环境</w:t>
      </w:r>
      <w:r>
        <w:tab/>
      </w:r>
      <w:r>
        <w:fldChar w:fldCharType="end"/>
      </w:r>
    </w:p>
    <w:p>
      <w:pPr>
        <w:pStyle w:val="9"/>
        <w:tabs>
          <w:tab w:val="right" w:leader="dot" w:pos="8306"/>
        </w:tabs>
      </w:pPr>
      <w:r>
        <w:fldChar w:fldCharType="begin"/>
      </w:r>
      <w:r>
        <w:instrText xml:space="preserve"> HYPERLINK \l "_Toc20530" </w:instrText>
      </w:r>
      <w:r>
        <w:fldChar w:fldCharType="separate"/>
      </w:r>
      <w:r>
        <w:rPr>
          <w:rFonts w:hint="eastAsia" w:ascii="仿宋" w:hAnsi="仿宋" w:eastAsia="仿宋"/>
        </w:rPr>
        <w:t>（五）全面推进文明城区建设</w:t>
      </w:r>
      <w:r>
        <w:tab/>
      </w:r>
      <w:r>
        <w:fldChar w:fldCharType="end"/>
      </w:r>
    </w:p>
    <w:p>
      <w:pPr>
        <w:pStyle w:val="15"/>
        <w:tabs>
          <w:tab w:val="right" w:leader="dot" w:pos="8306"/>
        </w:tabs>
      </w:pPr>
      <w:r>
        <w:fldChar w:fldCharType="begin"/>
      </w:r>
      <w:r>
        <w:instrText xml:space="preserve"> HYPERLINK \l "_Toc29440" </w:instrText>
      </w:r>
      <w:r>
        <w:fldChar w:fldCharType="separate"/>
      </w:r>
      <w:r>
        <w:rPr>
          <w:rFonts w:hint="eastAsia" w:ascii="仿宋" w:hAnsi="仿宋" w:eastAsia="仿宋"/>
          <w:szCs w:val="32"/>
        </w:rPr>
        <w:t>第六部分</w:t>
      </w:r>
      <w:r>
        <w:rPr>
          <w:rFonts w:ascii="仿宋" w:hAnsi="仿宋" w:eastAsia="仿宋"/>
          <w:szCs w:val="32"/>
        </w:rPr>
        <w:t xml:space="preserve">  </w:t>
      </w:r>
      <w:r>
        <w:rPr>
          <w:rFonts w:hint="eastAsia" w:ascii="仿宋" w:hAnsi="仿宋" w:eastAsia="仿宋"/>
          <w:szCs w:val="32"/>
        </w:rPr>
        <w:t>统筹推进城乡发展，建设“幸福吉阳”</w:t>
      </w:r>
      <w:r>
        <w:tab/>
      </w:r>
      <w:r>
        <w:fldChar w:fldCharType="end"/>
      </w:r>
    </w:p>
    <w:p>
      <w:pPr>
        <w:pStyle w:val="19"/>
        <w:tabs>
          <w:tab w:val="right" w:leader="dot" w:pos="8306"/>
        </w:tabs>
      </w:pPr>
      <w:r>
        <w:fldChar w:fldCharType="begin"/>
      </w:r>
      <w:r>
        <w:instrText xml:space="preserve"> HYPERLINK \l "_Toc18066" </w:instrText>
      </w:r>
      <w:r>
        <w:fldChar w:fldCharType="separate"/>
      </w:r>
      <w:r>
        <w:rPr>
          <w:rFonts w:hint="eastAsia" w:ascii="仿宋" w:hAnsi="仿宋" w:eastAsia="仿宋" w:cs="宋体"/>
          <w:kern w:val="0"/>
        </w:rPr>
        <w:t>一、着力强化城区功能</w:t>
      </w:r>
      <w:r>
        <w:tab/>
      </w:r>
      <w:r>
        <w:fldChar w:fldCharType="end"/>
      </w:r>
    </w:p>
    <w:p>
      <w:pPr>
        <w:pStyle w:val="9"/>
        <w:tabs>
          <w:tab w:val="right" w:leader="dot" w:pos="8306"/>
        </w:tabs>
      </w:pPr>
      <w:r>
        <w:fldChar w:fldCharType="begin"/>
      </w:r>
      <w:r>
        <w:instrText xml:space="preserve"> HYPERLINK \l "_Toc5340" </w:instrText>
      </w:r>
      <w:r>
        <w:fldChar w:fldCharType="separate"/>
      </w:r>
      <w:r>
        <w:rPr>
          <w:rFonts w:hint="eastAsia" w:ascii="仿宋" w:hAnsi="仿宋" w:eastAsia="仿宋"/>
        </w:rPr>
        <w:t>（一）建设现代综合交通运输网络</w:t>
      </w:r>
      <w:r>
        <w:tab/>
      </w:r>
      <w:r>
        <w:fldChar w:fldCharType="end"/>
      </w:r>
    </w:p>
    <w:p>
      <w:pPr>
        <w:pStyle w:val="9"/>
        <w:tabs>
          <w:tab w:val="right" w:leader="dot" w:pos="8306"/>
        </w:tabs>
      </w:pPr>
      <w:r>
        <w:fldChar w:fldCharType="begin"/>
      </w:r>
      <w:r>
        <w:instrText xml:space="preserve"> HYPERLINK \l "_Toc6189" </w:instrText>
      </w:r>
      <w:r>
        <w:fldChar w:fldCharType="separate"/>
      </w:r>
      <w:r>
        <w:rPr>
          <w:rFonts w:hint="eastAsia" w:ascii="仿宋" w:hAnsi="仿宋" w:eastAsia="仿宋"/>
        </w:rPr>
        <w:t>（二）构建均衡协调的水利网络</w:t>
      </w:r>
      <w:r>
        <w:tab/>
      </w:r>
      <w:r>
        <w:fldChar w:fldCharType="end"/>
      </w:r>
    </w:p>
    <w:p>
      <w:pPr>
        <w:pStyle w:val="9"/>
        <w:tabs>
          <w:tab w:val="right" w:leader="dot" w:pos="8306"/>
        </w:tabs>
      </w:pPr>
      <w:r>
        <w:fldChar w:fldCharType="begin"/>
      </w:r>
      <w:r>
        <w:instrText xml:space="preserve"> HYPERLINK \l "_Toc10270" </w:instrText>
      </w:r>
      <w:r>
        <w:fldChar w:fldCharType="separate"/>
      </w:r>
      <w:r>
        <w:rPr>
          <w:rFonts w:hint="eastAsia" w:ascii="仿宋" w:hAnsi="仿宋" w:eastAsia="仿宋"/>
        </w:rPr>
        <w:t>（三）加强安全电网和气网建设</w:t>
      </w:r>
      <w:r>
        <w:tab/>
      </w:r>
      <w:r>
        <w:fldChar w:fldCharType="end"/>
      </w:r>
    </w:p>
    <w:p>
      <w:pPr>
        <w:pStyle w:val="9"/>
        <w:tabs>
          <w:tab w:val="right" w:leader="dot" w:pos="8306"/>
        </w:tabs>
      </w:pPr>
      <w:r>
        <w:fldChar w:fldCharType="begin"/>
      </w:r>
      <w:r>
        <w:instrText xml:space="preserve"> HYPERLINK \l "_Toc15694" </w:instrText>
      </w:r>
      <w:r>
        <w:fldChar w:fldCharType="separate"/>
      </w:r>
      <w:r>
        <w:rPr>
          <w:rFonts w:hint="eastAsia" w:ascii="仿宋" w:hAnsi="仿宋" w:eastAsia="仿宋"/>
        </w:rPr>
        <w:t>（四）加快构筑现代通信网络</w:t>
      </w:r>
      <w:r>
        <w:tab/>
      </w:r>
      <w:r>
        <w:fldChar w:fldCharType="end"/>
      </w:r>
    </w:p>
    <w:p>
      <w:pPr>
        <w:pStyle w:val="19"/>
        <w:tabs>
          <w:tab w:val="right" w:leader="dot" w:pos="8306"/>
        </w:tabs>
      </w:pPr>
      <w:r>
        <w:fldChar w:fldCharType="begin"/>
      </w:r>
      <w:r>
        <w:instrText xml:space="preserve"> HYPERLINK \l "_Toc13994" </w:instrText>
      </w:r>
      <w:r>
        <w:fldChar w:fldCharType="separate"/>
      </w:r>
      <w:r>
        <w:rPr>
          <w:rFonts w:hint="eastAsia" w:ascii="仿宋" w:hAnsi="仿宋" w:eastAsia="仿宋" w:cs="宋体"/>
          <w:kern w:val="0"/>
        </w:rPr>
        <w:t>二、促进城乡共建共享</w:t>
      </w:r>
      <w:r>
        <w:tab/>
      </w:r>
      <w:r>
        <w:fldChar w:fldCharType="end"/>
      </w:r>
    </w:p>
    <w:p>
      <w:pPr>
        <w:pStyle w:val="9"/>
        <w:tabs>
          <w:tab w:val="right" w:leader="dot" w:pos="8306"/>
        </w:tabs>
      </w:pPr>
      <w:r>
        <w:fldChar w:fldCharType="begin"/>
      </w:r>
      <w:r>
        <w:instrText xml:space="preserve"> HYPERLINK \l "_Toc18431" </w:instrText>
      </w:r>
      <w:r>
        <w:fldChar w:fldCharType="separate"/>
      </w:r>
      <w:r>
        <w:rPr>
          <w:rFonts w:hint="eastAsia" w:ascii="仿宋" w:hAnsi="仿宋" w:eastAsia="仿宋"/>
        </w:rPr>
        <w:t>（一）全力推进棚户区和城边村改造</w:t>
      </w:r>
      <w:r>
        <w:tab/>
      </w:r>
      <w:r>
        <w:fldChar w:fldCharType="end"/>
      </w:r>
    </w:p>
    <w:p>
      <w:pPr>
        <w:pStyle w:val="9"/>
        <w:tabs>
          <w:tab w:val="right" w:leader="dot" w:pos="8306"/>
        </w:tabs>
      </w:pPr>
      <w:r>
        <w:fldChar w:fldCharType="begin"/>
      </w:r>
      <w:r>
        <w:instrText xml:space="preserve"> HYPERLINK \l "_Toc25391" </w:instrText>
      </w:r>
      <w:r>
        <w:fldChar w:fldCharType="separate"/>
      </w:r>
      <w:r>
        <w:rPr>
          <w:rFonts w:hint="eastAsia" w:ascii="仿宋" w:hAnsi="仿宋" w:eastAsia="仿宋"/>
        </w:rPr>
        <w:t>（二）加大美丽乡村和特色风情小镇建设力度</w:t>
      </w:r>
      <w:r>
        <w:tab/>
      </w:r>
      <w:r>
        <w:fldChar w:fldCharType="end"/>
      </w:r>
    </w:p>
    <w:p>
      <w:pPr>
        <w:pStyle w:val="9"/>
        <w:tabs>
          <w:tab w:val="right" w:leader="dot" w:pos="8306"/>
        </w:tabs>
      </w:pPr>
      <w:r>
        <w:fldChar w:fldCharType="begin"/>
      </w:r>
      <w:r>
        <w:instrText xml:space="preserve"> HYPERLINK \l "_Toc3522" </w:instrText>
      </w:r>
      <w:r>
        <w:fldChar w:fldCharType="separate"/>
      </w:r>
      <w:r>
        <w:rPr>
          <w:rFonts w:hint="eastAsia" w:ascii="仿宋" w:hAnsi="仿宋" w:eastAsia="仿宋"/>
        </w:rPr>
        <w:t>（三）着力提高城乡居民生活水平</w:t>
      </w:r>
      <w:r>
        <w:tab/>
      </w:r>
      <w:r>
        <w:fldChar w:fldCharType="end"/>
      </w:r>
    </w:p>
    <w:p>
      <w:pPr>
        <w:pStyle w:val="9"/>
        <w:tabs>
          <w:tab w:val="right" w:leader="dot" w:pos="8306"/>
        </w:tabs>
      </w:pPr>
      <w:r>
        <w:fldChar w:fldCharType="begin"/>
      </w:r>
      <w:r>
        <w:instrText xml:space="preserve"> HYPERLINK \l "_Toc7310" </w:instrText>
      </w:r>
      <w:r>
        <w:fldChar w:fldCharType="separate"/>
      </w:r>
      <w:r>
        <w:rPr>
          <w:rFonts w:hint="eastAsia" w:ascii="仿宋" w:hAnsi="仿宋" w:eastAsia="仿宋"/>
        </w:rPr>
        <w:t>（四）着力推进基本公共服务均等化</w:t>
      </w:r>
      <w:r>
        <w:tab/>
      </w:r>
      <w:r>
        <w:fldChar w:fldCharType="end"/>
      </w:r>
    </w:p>
    <w:p>
      <w:pPr/>
      <w:r>
        <w:t xml:space="preserve">        </w:t>
      </w:r>
      <w:r>
        <w:rPr>
          <w:rFonts w:hint="eastAsia" w:ascii="仿宋" w:hAnsi="仿宋" w:eastAsia="仿宋"/>
        </w:rPr>
        <w:t>（五）促进人口长期均衡发展</w:t>
      </w:r>
      <w:r>
        <w:tab/>
      </w:r>
      <w:r>
        <w:t>..................................................................................</w:t>
      </w:r>
    </w:p>
    <w:p>
      <w:pPr>
        <w:pStyle w:val="15"/>
        <w:tabs>
          <w:tab w:val="right" w:leader="dot" w:pos="8306"/>
        </w:tabs>
      </w:pPr>
      <w:r>
        <w:fldChar w:fldCharType="begin"/>
      </w:r>
      <w:r>
        <w:instrText xml:space="preserve"> HYPERLINK \l "_Toc31695" </w:instrText>
      </w:r>
      <w:r>
        <w:fldChar w:fldCharType="separate"/>
      </w:r>
      <w:r>
        <w:rPr>
          <w:rFonts w:hint="eastAsia" w:ascii="仿宋" w:hAnsi="仿宋" w:eastAsia="仿宋"/>
          <w:szCs w:val="32"/>
        </w:rPr>
        <w:t>第七部分</w:t>
      </w:r>
      <w:r>
        <w:rPr>
          <w:rFonts w:ascii="仿宋" w:hAnsi="仿宋" w:eastAsia="仿宋"/>
          <w:szCs w:val="32"/>
        </w:rPr>
        <w:t xml:space="preserve">  </w:t>
      </w:r>
      <w:r>
        <w:rPr>
          <w:rFonts w:hint="eastAsia" w:ascii="仿宋" w:hAnsi="仿宋" w:eastAsia="仿宋"/>
          <w:szCs w:val="32"/>
        </w:rPr>
        <w:t>规划实施保障</w:t>
      </w:r>
      <w:r>
        <w:tab/>
      </w:r>
      <w:r>
        <w:fldChar w:fldCharType="end"/>
      </w:r>
    </w:p>
    <w:p>
      <w:pPr>
        <w:pStyle w:val="19"/>
        <w:tabs>
          <w:tab w:val="right" w:leader="dot" w:pos="8306"/>
        </w:tabs>
      </w:pPr>
      <w:r>
        <w:fldChar w:fldCharType="begin"/>
      </w:r>
      <w:r>
        <w:instrText xml:space="preserve"> HYPERLINK \l "_Toc21904" </w:instrText>
      </w:r>
      <w:r>
        <w:fldChar w:fldCharType="separate"/>
      </w:r>
      <w:r>
        <w:rPr>
          <w:rFonts w:hint="eastAsia" w:ascii="仿宋" w:hAnsi="仿宋" w:eastAsia="仿宋" w:cs="宋体"/>
          <w:kern w:val="0"/>
        </w:rPr>
        <w:t>一、加强党的领导</w:t>
      </w:r>
      <w:r>
        <w:tab/>
      </w:r>
      <w:r>
        <w:fldChar w:fldCharType="end"/>
      </w:r>
    </w:p>
    <w:p>
      <w:pPr>
        <w:pStyle w:val="19"/>
        <w:tabs>
          <w:tab w:val="right" w:leader="dot" w:pos="8306"/>
        </w:tabs>
      </w:pPr>
      <w:r>
        <w:fldChar w:fldCharType="begin"/>
      </w:r>
      <w:r>
        <w:instrText xml:space="preserve"> HYPERLINK \l "_Toc21105" </w:instrText>
      </w:r>
      <w:r>
        <w:fldChar w:fldCharType="separate"/>
      </w:r>
      <w:r>
        <w:rPr>
          <w:rFonts w:hint="eastAsia" w:ascii="仿宋" w:hAnsi="仿宋" w:eastAsia="仿宋" w:cs="宋体"/>
          <w:kern w:val="0"/>
        </w:rPr>
        <w:t>二、加强“多规合一”</w:t>
      </w:r>
      <w:r>
        <w:tab/>
      </w:r>
      <w:r>
        <w:fldChar w:fldCharType="end"/>
      </w:r>
    </w:p>
    <w:p>
      <w:pPr>
        <w:pStyle w:val="19"/>
        <w:tabs>
          <w:tab w:val="right" w:leader="dot" w:pos="8306"/>
        </w:tabs>
      </w:pPr>
      <w:r>
        <w:fldChar w:fldCharType="begin"/>
      </w:r>
      <w:r>
        <w:instrText xml:space="preserve"> HYPERLINK \l "_Toc11092" </w:instrText>
      </w:r>
      <w:r>
        <w:fldChar w:fldCharType="separate"/>
      </w:r>
      <w:r>
        <w:rPr>
          <w:rFonts w:hint="eastAsia" w:ascii="仿宋" w:hAnsi="仿宋" w:eastAsia="仿宋" w:cs="宋体"/>
          <w:kern w:val="0"/>
        </w:rPr>
        <w:t>三、加强组织保障</w:t>
      </w:r>
      <w:r>
        <w:tab/>
      </w:r>
      <w:r>
        <w:fldChar w:fldCharType="end"/>
      </w:r>
    </w:p>
    <w:p>
      <w:pPr>
        <w:pStyle w:val="19"/>
        <w:tabs>
          <w:tab w:val="right" w:leader="dot" w:pos="8306"/>
        </w:tabs>
      </w:pPr>
      <w:r>
        <w:fldChar w:fldCharType="begin"/>
      </w:r>
      <w:r>
        <w:instrText xml:space="preserve"> HYPERLINK \l "_Toc10309" </w:instrText>
      </w:r>
      <w:r>
        <w:fldChar w:fldCharType="separate"/>
      </w:r>
      <w:r>
        <w:rPr>
          <w:rFonts w:hint="eastAsia" w:ascii="仿宋" w:hAnsi="仿宋" w:eastAsia="仿宋" w:cs="宋体"/>
          <w:kern w:val="0"/>
        </w:rPr>
        <w:t>四、加强项目支撑</w:t>
      </w:r>
      <w:r>
        <w:tab/>
      </w:r>
      <w:r>
        <w:fldChar w:fldCharType="end"/>
      </w:r>
    </w:p>
    <w:p>
      <w:pPr>
        <w:pStyle w:val="19"/>
        <w:tabs>
          <w:tab w:val="right" w:leader="dot" w:pos="8306"/>
        </w:tabs>
      </w:pPr>
      <w:r>
        <w:fldChar w:fldCharType="begin"/>
      </w:r>
      <w:r>
        <w:instrText xml:space="preserve"> HYPERLINK \l "_Toc30743" </w:instrText>
      </w:r>
      <w:r>
        <w:fldChar w:fldCharType="separate"/>
      </w:r>
      <w:r>
        <w:rPr>
          <w:rFonts w:hint="eastAsia" w:ascii="仿宋" w:hAnsi="仿宋" w:eastAsia="仿宋" w:cs="宋体"/>
          <w:kern w:val="0"/>
        </w:rPr>
        <w:t>五、加强监督评估</w:t>
      </w:r>
      <w:r>
        <w:tab/>
      </w:r>
      <w:r>
        <w:fldChar w:fldCharType="end"/>
      </w:r>
    </w:p>
    <w:p>
      <w:pPr>
        <w:sectPr>
          <w:pgSz w:w="11906" w:h="16838"/>
          <w:pgMar w:top="1440" w:right="1800" w:bottom="1440" w:left="1800" w:header="851" w:footer="992" w:gutter="0"/>
          <w:pgNumType w:fmt="upperRoman" w:start="1"/>
          <w:cols w:space="720" w:num="1"/>
          <w:docGrid w:type="lines" w:linePitch="312" w:charSpace="0"/>
        </w:sectPr>
      </w:pPr>
      <w:r>
        <w:fldChar w:fldCharType="end"/>
      </w:r>
    </w:p>
    <w:p>
      <w:pPr>
        <w:sectPr>
          <w:pgSz w:w="11906" w:h="16838"/>
          <w:pgMar w:top="1440" w:right="1800" w:bottom="1440" w:left="1800" w:header="851" w:footer="992" w:gutter="0"/>
          <w:pgNumType w:fmt="upperRoman" w:start="1"/>
          <w:cols w:space="720" w:num="1"/>
          <w:docGrid w:type="lines" w:linePitch="312" w:charSpace="0"/>
        </w:sectPr>
      </w:pPr>
    </w:p>
    <w:p>
      <w:pPr>
        <w:pStyle w:val="2"/>
        <w:spacing w:before="480" w:after="240" w:line="360" w:lineRule="auto"/>
        <w:jc w:val="center"/>
        <w:rPr>
          <w:rFonts w:ascii="仿宋" w:hAnsi="仿宋" w:eastAsia="仿宋"/>
          <w:sz w:val="40"/>
          <w:szCs w:val="32"/>
        </w:rPr>
      </w:pPr>
      <w:bookmarkStart w:id="0" w:name="_Toc437028264"/>
      <w:bookmarkStart w:id="1" w:name="_Toc22085"/>
      <w:bookmarkStart w:id="2" w:name="_Toc16589"/>
      <w:bookmarkStart w:id="3" w:name="_Toc443338953"/>
      <w:bookmarkStart w:id="4" w:name="_Toc428913665"/>
      <w:bookmarkStart w:id="5" w:name="_Toc414868871"/>
      <w:r>
        <w:rPr>
          <w:rFonts w:hint="eastAsia" w:ascii="仿宋" w:hAnsi="仿宋" w:eastAsia="仿宋"/>
          <w:sz w:val="40"/>
          <w:szCs w:val="32"/>
        </w:rPr>
        <w:t>第一部分</w:t>
      </w:r>
      <w:r>
        <w:rPr>
          <w:rFonts w:ascii="仿宋" w:hAnsi="仿宋" w:eastAsia="仿宋"/>
          <w:sz w:val="40"/>
          <w:szCs w:val="32"/>
        </w:rPr>
        <w:t xml:space="preserve">  </w:t>
      </w:r>
      <w:r>
        <w:rPr>
          <w:rFonts w:hint="eastAsia" w:ascii="仿宋" w:hAnsi="仿宋" w:eastAsia="仿宋"/>
          <w:sz w:val="40"/>
          <w:szCs w:val="32"/>
        </w:rPr>
        <w:t>发展基础与环境</w:t>
      </w:r>
      <w:bookmarkEnd w:id="0"/>
      <w:bookmarkEnd w:id="1"/>
      <w:bookmarkEnd w:id="2"/>
      <w:bookmarkEnd w:id="3"/>
    </w:p>
    <w:p>
      <w:pPr>
        <w:pStyle w:val="3"/>
        <w:spacing w:before="480" w:after="240" w:line="360" w:lineRule="auto"/>
        <w:rPr>
          <w:rFonts w:ascii="仿宋" w:hAnsi="仿宋" w:eastAsia="仿宋"/>
          <w:kern w:val="0"/>
          <w:sz w:val="36"/>
        </w:rPr>
      </w:pPr>
      <w:bookmarkStart w:id="6" w:name="_Toc24738"/>
      <w:bookmarkStart w:id="7" w:name="_Toc443338954"/>
      <w:bookmarkStart w:id="8" w:name="_Toc9302"/>
      <w:r>
        <w:rPr>
          <w:rFonts w:hint="eastAsia" w:ascii="仿宋" w:hAnsi="仿宋" w:eastAsia="仿宋" w:cs="宋体"/>
          <w:kern w:val="0"/>
          <w:sz w:val="36"/>
        </w:rPr>
        <w:t>一、</w:t>
      </w:r>
      <w:bookmarkEnd w:id="4"/>
      <w:bookmarkEnd w:id="5"/>
      <w:r>
        <w:rPr>
          <w:rFonts w:hint="eastAsia" w:ascii="仿宋" w:hAnsi="仿宋" w:eastAsia="仿宋" w:cs="宋体"/>
          <w:kern w:val="0"/>
          <w:sz w:val="36"/>
        </w:rPr>
        <w:t>发展基础</w:t>
      </w:r>
      <w:bookmarkEnd w:id="6"/>
      <w:bookmarkEnd w:id="7"/>
      <w:bookmarkEnd w:id="8"/>
    </w:p>
    <w:p>
      <w:pPr>
        <w:pStyle w:val="21"/>
        <w:adjustRightInd w:val="0"/>
        <w:snapToGrid w:val="0"/>
        <w:spacing w:beforeLines="50" w:afterLines="50" w:line="360" w:lineRule="auto"/>
        <w:ind w:firstLine="640" w:firstLineChars="200"/>
        <w:rPr>
          <w:rFonts w:ascii="仿宋" w:hAnsi="仿宋" w:eastAsia="仿宋" w:cs="仿宋"/>
          <w:sz w:val="32"/>
          <w:szCs w:val="32"/>
        </w:rPr>
      </w:pPr>
      <w:r>
        <w:rPr>
          <w:rFonts w:hint="eastAsia" w:ascii="仿宋" w:hAnsi="仿宋" w:eastAsia="仿宋" w:cs="仿宋"/>
          <w:sz w:val="32"/>
          <w:szCs w:val="32"/>
        </w:rPr>
        <w:t>“十二五”期间，</w:t>
      </w:r>
      <w:r>
        <w:rPr>
          <w:rFonts w:hint="eastAsia" w:ascii="仿宋" w:hAnsi="仿宋" w:eastAsia="仿宋"/>
          <w:sz w:val="32"/>
          <w:szCs w:val="32"/>
        </w:rPr>
        <w:t>在市委市政府的正确领导下，</w:t>
      </w:r>
      <w:r>
        <w:rPr>
          <w:rFonts w:hint="eastAsia" w:ascii="仿宋" w:hAnsi="仿宋" w:eastAsia="仿宋" w:cs="仿宋"/>
          <w:sz w:val="32"/>
          <w:szCs w:val="32"/>
        </w:rPr>
        <w:t>吉阳区（原河东区、吉阳镇）</w:t>
      </w:r>
      <w:r>
        <w:rPr>
          <w:rFonts w:hint="eastAsia" w:ascii="仿宋" w:hAnsi="仿宋" w:eastAsia="仿宋"/>
          <w:sz w:val="32"/>
          <w:szCs w:val="32"/>
        </w:rPr>
        <w:t>坚持以科学发展观为指导，以全面建成小康社会为目标，以转变发展方式为主线，深入贯彻落实党的十八大精神和省委省政府、市委市政府决策部署，积极作为，努力开拓，经济社会发展取得显著成效，较好地完成了“十二五”任务。</w:t>
      </w:r>
    </w:p>
    <w:p>
      <w:pPr>
        <w:pStyle w:val="4"/>
        <w:shd w:val="clear" w:color="auto" w:fill="FFFFFF"/>
        <w:spacing w:before="240" w:after="120" w:line="360" w:lineRule="auto"/>
        <w:ind w:firstLine="453" w:firstLineChars="141"/>
        <w:rPr>
          <w:rStyle w:val="40"/>
          <w:rFonts w:ascii="仿宋" w:hAnsi="仿宋" w:eastAsia="仿宋"/>
        </w:rPr>
      </w:pPr>
      <w:bookmarkStart w:id="9" w:name="_Toc20213"/>
      <w:bookmarkStart w:id="10" w:name="_Toc443338955"/>
      <w:bookmarkStart w:id="11" w:name="_Toc22613"/>
      <w:bookmarkStart w:id="12" w:name="_Toc438920954"/>
      <w:r>
        <w:rPr>
          <w:rStyle w:val="40"/>
          <w:rFonts w:hint="eastAsia" w:ascii="仿宋" w:hAnsi="仿宋" w:eastAsia="仿宋"/>
        </w:rPr>
        <w:t>（一）经济保持较快增长，综合实力显著增强</w:t>
      </w:r>
      <w:bookmarkEnd w:id="9"/>
      <w:bookmarkEnd w:id="10"/>
      <w:bookmarkEnd w:id="11"/>
      <w:bookmarkEnd w:id="12"/>
    </w:p>
    <w:p>
      <w:pPr>
        <w:pStyle w:val="21"/>
        <w:adjustRightInd w:val="0"/>
        <w:snapToGrid w:val="0"/>
        <w:spacing w:beforeLines="50" w:afterLines="50" w:line="360" w:lineRule="auto"/>
        <w:ind w:firstLine="640" w:firstLineChars="200"/>
        <w:rPr>
          <w:rFonts w:ascii="仿宋" w:hAnsi="仿宋" w:eastAsia="仿宋"/>
          <w:sz w:val="32"/>
          <w:szCs w:val="32"/>
        </w:rPr>
      </w:pPr>
      <w:r>
        <w:rPr>
          <w:rFonts w:ascii="仿宋" w:hAnsi="仿宋" w:eastAsia="仿宋"/>
          <w:sz w:val="32"/>
          <w:szCs w:val="32"/>
        </w:rPr>
        <w:t>2015</w:t>
      </w:r>
      <w:r>
        <w:rPr>
          <w:rFonts w:hint="eastAsia" w:ascii="仿宋" w:hAnsi="仿宋" w:eastAsia="仿宋"/>
          <w:sz w:val="32"/>
          <w:szCs w:val="32"/>
        </w:rPr>
        <w:t>年，吉阳区实现地区生产总值</w:t>
      </w:r>
      <w:r>
        <w:rPr>
          <w:rFonts w:ascii="仿宋" w:hAnsi="仿宋" w:eastAsia="仿宋"/>
          <w:sz w:val="32"/>
          <w:szCs w:val="32"/>
        </w:rPr>
        <w:t>197.97</w:t>
      </w:r>
      <w:r>
        <w:rPr>
          <w:rFonts w:hint="eastAsia" w:ascii="仿宋" w:hAnsi="仿宋" w:eastAsia="仿宋"/>
          <w:sz w:val="32"/>
          <w:szCs w:val="32"/>
        </w:rPr>
        <w:t>亿元，同比增长</w:t>
      </w:r>
      <w:r>
        <w:rPr>
          <w:rFonts w:ascii="仿宋" w:hAnsi="仿宋" w:eastAsia="仿宋"/>
          <w:sz w:val="32"/>
          <w:szCs w:val="32"/>
        </w:rPr>
        <w:t>8.1%</w:t>
      </w:r>
      <w:r>
        <w:rPr>
          <w:rFonts w:hint="eastAsia" w:ascii="仿宋" w:hAnsi="仿宋" w:eastAsia="仿宋"/>
          <w:sz w:val="32"/>
          <w:szCs w:val="32"/>
        </w:rPr>
        <w:t>，以</w:t>
      </w:r>
      <w:r>
        <w:rPr>
          <w:rFonts w:ascii="仿宋" w:hAnsi="仿宋" w:eastAsia="仿宋"/>
          <w:sz w:val="32"/>
          <w:szCs w:val="32"/>
        </w:rPr>
        <w:t>40%</w:t>
      </w:r>
      <w:r>
        <w:rPr>
          <w:rFonts w:hint="eastAsia" w:ascii="仿宋" w:hAnsi="仿宋" w:eastAsia="仿宋"/>
          <w:sz w:val="32"/>
          <w:szCs w:val="32"/>
        </w:rPr>
        <w:t>以上的份额位居全市第一；完成固定资产投资</w:t>
      </w:r>
      <w:r>
        <w:rPr>
          <w:rFonts w:ascii="仿宋" w:hAnsi="仿宋" w:eastAsia="仿宋"/>
          <w:sz w:val="32"/>
          <w:szCs w:val="32"/>
        </w:rPr>
        <w:t>303.3</w:t>
      </w:r>
      <w:r>
        <w:rPr>
          <w:rFonts w:hint="eastAsia" w:ascii="仿宋" w:hAnsi="仿宋" w:eastAsia="仿宋"/>
          <w:sz w:val="32"/>
          <w:szCs w:val="32"/>
        </w:rPr>
        <w:t>亿元，超额完成年度投资计划，占全市全年固定资产投资</w:t>
      </w:r>
      <w:r>
        <w:rPr>
          <w:rFonts w:ascii="仿宋" w:hAnsi="仿宋" w:eastAsia="仿宋"/>
          <w:sz w:val="32"/>
          <w:szCs w:val="32"/>
        </w:rPr>
        <w:t>40%</w:t>
      </w:r>
      <w:r>
        <w:rPr>
          <w:rFonts w:hint="eastAsia" w:ascii="仿宋" w:hAnsi="仿宋" w:eastAsia="仿宋"/>
          <w:sz w:val="32"/>
          <w:szCs w:val="32"/>
        </w:rPr>
        <w:t>以上；全年地税收入</w:t>
      </w:r>
      <w:r>
        <w:rPr>
          <w:rFonts w:ascii="仿宋" w:hAnsi="仿宋" w:eastAsia="仿宋"/>
          <w:sz w:val="32"/>
          <w:szCs w:val="32"/>
        </w:rPr>
        <w:t>47.2</w:t>
      </w:r>
      <w:r>
        <w:rPr>
          <w:rFonts w:hint="eastAsia" w:ascii="仿宋" w:hAnsi="仿宋" w:eastAsia="仿宋"/>
          <w:sz w:val="32"/>
          <w:szCs w:val="32"/>
        </w:rPr>
        <w:t>亿元；农民年人均收入</w:t>
      </w:r>
      <w:r>
        <w:rPr>
          <w:rFonts w:ascii="仿宋" w:hAnsi="仿宋" w:eastAsia="仿宋"/>
          <w:sz w:val="32"/>
          <w:szCs w:val="32"/>
        </w:rPr>
        <w:t>13483</w:t>
      </w:r>
      <w:r>
        <w:rPr>
          <w:rFonts w:hint="eastAsia" w:ascii="仿宋" w:hAnsi="仿宋" w:eastAsia="仿宋"/>
          <w:sz w:val="32"/>
          <w:szCs w:val="32"/>
        </w:rPr>
        <w:t>元，同比增长</w:t>
      </w:r>
      <w:r>
        <w:rPr>
          <w:rFonts w:ascii="仿宋" w:hAnsi="仿宋" w:eastAsia="仿宋"/>
          <w:sz w:val="32"/>
          <w:szCs w:val="32"/>
        </w:rPr>
        <w:t>10.5%</w:t>
      </w:r>
      <w:r>
        <w:rPr>
          <w:rFonts w:hint="eastAsia" w:ascii="仿宋" w:hAnsi="仿宋" w:eastAsia="仿宋"/>
          <w:sz w:val="32"/>
          <w:szCs w:val="32"/>
        </w:rPr>
        <w:t>。全区</w:t>
      </w:r>
      <w:r>
        <w:rPr>
          <w:rFonts w:ascii="仿宋" w:hAnsi="仿宋" w:eastAsia="仿宋"/>
          <w:sz w:val="32"/>
          <w:szCs w:val="32"/>
        </w:rPr>
        <w:t>43</w:t>
      </w:r>
      <w:r>
        <w:rPr>
          <w:rFonts w:hint="eastAsia" w:ascii="仿宋" w:hAnsi="仿宋" w:eastAsia="仿宋"/>
          <w:sz w:val="32"/>
          <w:szCs w:val="32"/>
        </w:rPr>
        <w:t>个重点项目年度投资计划</w:t>
      </w:r>
      <w:r>
        <w:rPr>
          <w:rFonts w:ascii="仿宋" w:hAnsi="仿宋" w:eastAsia="仿宋"/>
          <w:sz w:val="32"/>
          <w:szCs w:val="32"/>
        </w:rPr>
        <w:t>160.1</w:t>
      </w:r>
      <w:r>
        <w:rPr>
          <w:rFonts w:hint="eastAsia" w:ascii="仿宋" w:hAnsi="仿宋" w:eastAsia="仿宋"/>
          <w:sz w:val="32"/>
          <w:szCs w:val="32"/>
        </w:rPr>
        <w:t>亿元，实际完成投资</w:t>
      </w:r>
      <w:r>
        <w:rPr>
          <w:rFonts w:ascii="仿宋" w:hAnsi="仿宋" w:eastAsia="仿宋"/>
          <w:sz w:val="32"/>
          <w:szCs w:val="32"/>
        </w:rPr>
        <w:t>176.89</w:t>
      </w:r>
      <w:r>
        <w:rPr>
          <w:rFonts w:hint="eastAsia" w:ascii="仿宋" w:hAnsi="仿宋" w:eastAsia="仿宋"/>
          <w:sz w:val="32"/>
          <w:szCs w:val="32"/>
        </w:rPr>
        <w:t>亿元，占年度投资计划的</w:t>
      </w:r>
      <w:r>
        <w:rPr>
          <w:rFonts w:ascii="仿宋" w:hAnsi="仿宋" w:eastAsia="仿宋"/>
          <w:sz w:val="32"/>
          <w:szCs w:val="32"/>
        </w:rPr>
        <w:t>110.5%</w:t>
      </w:r>
      <w:r>
        <w:rPr>
          <w:rFonts w:hint="eastAsia" w:ascii="仿宋" w:hAnsi="仿宋" w:eastAsia="仿宋"/>
          <w:sz w:val="32"/>
          <w:szCs w:val="32"/>
        </w:rPr>
        <w:t>。目前，吉阳区三次产业结构为</w:t>
      </w:r>
      <w:r>
        <w:rPr>
          <w:rFonts w:ascii="仿宋" w:hAnsi="仿宋" w:eastAsia="仿宋"/>
          <w:sz w:val="32"/>
          <w:szCs w:val="32"/>
        </w:rPr>
        <w:t>3.6</w:t>
      </w:r>
      <w:r>
        <w:rPr>
          <w:rFonts w:hint="eastAsia" w:ascii="仿宋" w:hAnsi="仿宋" w:eastAsia="仿宋"/>
          <w:sz w:val="32"/>
          <w:szCs w:val="32"/>
        </w:rPr>
        <w:t>∶</w:t>
      </w:r>
      <w:r>
        <w:rPr>
          <w:rFonts w:ascii="仿宋" w:hAnsi="仿宋" w:eastAsia="仿宋"/>
          <w:sz w:val="32"/>
          <w:szCs w:val="32"/>
        </w:rPr>
        <w:t>22.5</w:t>
      </w:r>
      <w:r>
        <w:rPr>
          <w:rFonts w:hint="eastAsia" w:ascii="仿宋" w:hAnsi="仿宋" w:eastAsia="仿宋"/>
          <w:sz w:val="32"/>
          <w:szCs w:val="32"/>
        </w:rPr>
        <w:t>∶</w:t>
      </w:r>
      <w:r>
        <w:rPr>
          <w:rFonts w:ascii="仿宋" w:hAnsi="仿宋" w:eastAsia="仿宋"/>
          <w:sz w:val="32"/>
          <w:szCs w:val="32"/>
        </w:rPr>
        <w:t>73.9</w:t>
      </w:r>
      <w:r>
        <w:rPr>
          <w:rFonts w:hint="eastAsia" w:ascii="仿宋" w:hAnsi="仿宋" w:eastAsia="仿宋"/>
          <w:sz w:val="32"/>
          <w:szCs w:val="32"/>
        </w:rPr>
        <w:t>，第一产业比重低于全市</w:t>
      </w:r>
      <w:r>
        <w:rPr>
          <w:rFonts w:ascii="仿宋" w:hAnsi="仿宋" w:eastAsia="仿宋"/>
          <w:sz w:val="32"/>
          <w:szCs w:val="32"/>
        </w:rPr>
        <w:t>10.1</w:t>
      </w:r>
      <w:r>
        <w:rPr>
          <w:rFonts w:hint="eastAsia" w:ascii="仿宋" w:hAnsi="仿宋" w:eastAsia="仿宋"/>
          <w:sz w:val="32"/>
          <w:szCs w:val="32"/>
        </w:rPr>
        <w:t>个百分点，第三产业比重高于全市</w:t>
      </w:r>
      <w:r>
        <w:rPr>
          <w:rFonts w:ascii="仿宋" w:hAnsi="仿宋" w:eastAsia="仿宋"/>
          <w:sz w:val="32"/>
          <w:szCs w:val="32"/>
        </w:rPr>
        <w:t>8.2</w:t>
      </w:r>
      <w:r>
        <w:rPr>
          <w:rFonts w:hint="eastAsia" w:ascii="仿宋" w:hAnsi="仿宋" w:eastAsia="仿宋"/>
          <w:sz w:val="32"/>
          <w:szCs w:val="32"/>
        </w:rPr>
        <w:t>个百分点，三次产业结构明显优于全市平均水平，已经形成了以房地产业、旅游业、金融业、建筑业、工业为核心，商贸物流、文化创意等新兴产业快速发展的产业格局，各项主要经济指标均保持平稳健康运行，为“十三五”时期实现全面小康社会打下良好的物质基础。</w:t>
      </w:r>
    </w:p>
    <w:p>
      <w:pPr>
        <w:pStyle w:val="4"/>
        <w:shd w:val="clear" w:color="auto" w:fill="FFFFFF"/>
        <w:spacing w:before="240" w:after="120" w:line="360" w:lineRule="auto"/>
        <w:ind w:firstLine="453" w:firstLineChars="141"/>
        <w:rPr>
          <w:rStyle w:val="40"/>
          <w:rFonts w:ascii="仿宋" w:hAnsi="仿宋" w:eastAsia="仿宋"/>
        </w:rPr>
      </w:pPr>
      <w:bookmarkStart w:id="13" w:name="_Toc12629"/>
      <w:bookmarkStart w:id="14" w:name="_Toc430341661"/>
      <w:bookmarkStart w:id="15" w:name="_Toc429134782"/>
      <w:bookmarkStart w:id="16" w:name="_Toc438920955"/>
      <w:bookmarkStart w:id="17" w:name="_Toc1175"/>
      <w:bookmarkStart w:id="18" w:name="_Toc443338956"/>
      <w:r>
        <w:rPr>
          <w:rStyle w:val="40"/>
          <w:rFonts w:hint="eastAsia" w:ascii="仿宋" w:hAnsi="仿宋" w:eastAsia="仿宋"/>
        </w:rPr>
        <w:t>（二）重点项目稳步推进，城乡建设取得新成就</w:t>
      </w:r>
      <w:bookmarkEnd w:id="13"/>
      <w:bookmarkEnd w:id="14"/>
      <w:bookmarkEnd w:id="15"/>
      <w:bookmarkEnd w:id="16"/>
      <w:bookmarkEnd w:id="17"/>
      <w:bookmarkEnd w:id="18"/>
    </w:p>
    <w:p>
      <w:pPr>
        <w:widowControl/>
        <w:ind w:firstLine="627" w:firstLineChars="196"/>
        <w:jc w:val="left"/>
        <w:rPr>
          <w:rFonts w:ascii="仿宋" w:hAnsi="仿宋" w:eastAsia="仿宋"/>
          <w:sz w:val="32"/>
          <w:szCs w:val="32"/>
        </w:rPr>
      </w:pPr>
      <w:r>
        <w:rPr>
          <w:rFonts w:hint="eastAsia" w:ascii="仿宋" w:hAnsi="仿宋" w:eastAsia="仿宋"/>
          <w:sz w:val="32"/>
          <w:szCs w:val="32"/>
        </w:rPr>
        <w:t>围绕基础设施建设、旅游业、社会事业、地产等精心谋划上马了一批重点项目，鸿港新贸城、亚龙湾爱立方滨海乐园等项目建成投产，三亚千古情二期、海南圣巴厘康复中心等项目进入收尾，美丽之冠大酒店、太阳湾高级度假区、市妇幼保健院和等重大项目有序推进，三亚国际旅游岛人才创业基地和原天涯水泥厂生活区等一批重点项目开工建设，东岸棚户区改造全面启动，以决战之勇气打赢</w:t>
      </w:r>
      <w:r>
        <w:rPr>
          <w:rFonts w:ascii="仿宋" w:hAnsi="仿宋" w:eastAsia="仿宋"/>
          <w:sz w:val="32"/>
          <w:szCs w:val="32"/>
        </w:rPr>
        <w:t xml:space="preserve"> </w:t>
      </w:r>
      <w:r>
        <w:rPr>
          <w:rFonts w:hint="eastAsia" w:ascii="仿宋" w:hAnsi="仿宋" w:eastAsia="仿宋"/>
          <w:sz w:val="32"/>
          <w:szCs w:val="32"/>
        </w:rPr>
        <w:t>“百日大会战”。加快完善农村基础设施，落笔、大茅等</w:t>
      </w:r>
      <w:r>
        <w:rPr>
          <w:rFonts w:ascii="仿宋" w:hAnsi="仿宋" w:eastAsia="仿宋"/>
          <w:sz w:val="32"/>
          <w:szCs w:val="32"/>
        </w:rPr>
        <w:t>10</w:t>
      </w:r>
      <w:r>
        <w:rPr>
          <w:rFonts w:hint="eastAsia" w:ascii="仿宋" w:hAnsi="仿宋" w:eastAsia="仿宋"/>
          <w:sz w:val="32"/>
          <w:szCs w:val="32"/>
        </w:rPr>
        <w:t>个村（社区）道路硬板化工程和罗蓬、红花等</w:t>
      </w:r>
      <w:r>
        <w:rPr>
          <w:rFonts w:ascii="仿宋" w:hAnsi="仿宋" w:eastAsia="仿宋"/>
          <w:sz w:val="32"/>
          <w:szCs w:val="32"/>
        </w:rPr>
        <w:t>6</w:t>
      </w:r>
      <w:r>
        <w:rPr>
          <w:rFonts w:hint="eastAsia" w:ascii="仿宋" w:hAnsi="仿宋" w:eastAsia="仿宋"/>
          <w:sz w:val="32"/>
          <w:szCs w:val="32"/>
        </w:rPr>
        <w:t>个村级道路亮化工程基本竣工，月川、东岸等城中村、城边村和棚户区改造，中廖、大茅等美丽乡村建设，干沟兰花、博后玫瑰等风情小镇建设稳步推进。</w:t>
      </w:r>
      <w:r>
        <w:rPr>
          <w:rFonts w:ascii="仿宋" w:hAnsi="仿宋" w:eastAsia="仿宋"/>
          <w:sz w:val="32"/>
          <w:szCs w:val="32"/>
        </w:rPr>
        <w:t>2015</w:t>
      </w:r>
      <w:r>
        <w:rPr>
          <w:rFonts w:hint="eastAsia" w:ascii="仿宋" w:hAnsi="仿宋" w:eastAsia="仿宋"/>
          <w:sz w:val="32"/>
          <w:szCs w:val="32"/>
        </w:rPr>
        <w:t>年，吉阳区新项目开工率</w:t>
      </w:r>
      <w:r>
        <w:rPr>
          <w:rFonts w:ascii="仿宋" w:hAnsi="仿宋" w:eastAsia="仿宋"/>
          <w:sz w:val="32"/>
          <w:szCs w:val="32"/>
        </w:rPr>
        <w:t>100%</w:t>
      </w:r>
      <w:r>
        <w:rPr>
          <w:rFonts w:hint="eastAsia" w:ascii="仿宋" w:hAnsi="仿宋" w:eastAsia="仿宋"/>
          <w:sz w:val="32"/>
          <w:szCs w:val="32"/>
        </w:rPr>
        <w:t>，投资完成率</w:t>
      </w:r>
      <w:r>
        <w:rPr>
          <w:rFonts w:ascii="仿宋" w:hAnsi="仿宋" w:eastAsia="仿宋"/>
          <w:sz w:val="32"/>
          <w:szCs w:val="32"/>
        </w:rPr>
        <w:t>187%</w:t>
      </w:r>
      <w:r>
        <w:rPr>
          <w:rFonts w:hint="eastAsia" w:ascii="仿宋" w:hAnsi="仿宋" w:eastAsia="仿宋"/>
          <w:sz w:val="32"/>
          <w:szCs w:val="32"/>
        </w:rPr>
        <w:t>，完成固定资产投资</w:t>
      </w:r>
      <w:r>
        <w:rPr>
          <w:rFonts w:ascii="仿宋" w:hAnsi="仿宋" w:eastAsia="仿宋"/>
          <w:sz w:val="32"/>
          <w:szCs w:val="32"/>
        </w:rPr>
        <w:t>303.3</w:t>
      </w:r>
      <w:r>
        <w:rPr>
          <w:rFonts w:hint="eastAsia" w:ascii="仿宋" w:hAnsi="仿宋" w:eastAsia="仿宋"/>
          <w:sz w:val="32"/>
          <w:szCs w:val="32"/>
        </w:rPr>
        <w:t>亿元，超额完成年度投资计划，占全市全年固定资产投资</w:t>
      </w:r>
      <w:r>
        <w:rPr>
          <w:rFonts w:ascii="仿宋" w:hAnsi="仿宋" w:eastAsia="仿宋"/>
          <w:sz w:val="32"/>
          <w:szCs w:val="32"/>
        </w:rPr>
        <w:t>40%</w:t>
      </w:r>
      <w:r>
        <w:rPr>
          <w:rFonts w:hint="eastAsia" w:ascii="仿宋" w:hAnsi="仿宋" w:eastAsia="仿宋"/>
          <w:sz w:val="32"/>
          <w:szCs w:val="32"/>
        </w:rPr>
        <w:t>以上，为稳增长注入强劲动力。</w:t>
      </w:r>
    </w:p>
    <w:p>
      <w:pPr>
        <w:pStyle w:val="4"/>
        <w:shd w:val="clear" w:color="auto" w:fill="FFFFFF"/>
        <w:spacing w:before="240" w:after="120" w:line="360" w:lineRule="auto"/>
        <w:ind w:firstLine="453" w:firstLineChars="141"/>
        <w:rPr>
          <w:rStyle w:val="40"/>
          <w:rFonts w:ascii="仿宋" w:hAnsi="仿宋" w:eastAsia="仿宋"/>
        </w:rPr>
      </w:pPr>
      <w:bookmarkStart w:id="19" w:name="_Toc438920956"/>
      <w:bookmarkStart w:id="20" w:name="_Toc443338957"/>
      <w:bookmarkStart w:id="21" w:name="_Toc16746"/>
      <w:bookmarkStart w:id="22" w:name="_Toc15086"/>
      <w:bookmarkStart w:id="23" w:name="_Toc429134783"/>
      <w:bookmarkStart w:id="24" w:name="_Toc430341662"/>
      <w:r>
        <w:rPr>
          <w:rStyle w:val="40"/>
          <w:rFonts w:hint="eastAsia" w:ascii="仿宋" w:hAnsi="仿宋" w:eastAsia="仿宋"/>
        </w:rPr>
        <w:t>（三）交通网络日趋完善，通行能力进一步提升</w:t>
      </w:r>
      <w:bookmarkEnd w:id="19"/>
      <w:bookmarkEnd w:id="20"/>
      <w:bookmarkEnd w:id="21"/>
      <w:bookmarkEnd w:id="22"/>
    </w:p>
    <w:p>
      <w:pPr>
        <w:pStyle w:val="21"/>
        <w:adjustRightInd w:val="0"/>
        <w:snapToGrid w:val="0"/>
        <w:spacing w:beforeLines="50" w:afterLines="50" w:line="360" w:lineRule="auto"/>
        <w:ind w:firstLine="640" w:firstLineChars="200"/>
        <w:rPr>
          <w:rFonts w:ascii="仿宋" w:hAnsi="仿宋" w:eastAsia="仿宋"/>
          <w:sz w:val="32"/>
          <w:szCs w:val="32"/>
        </w:rPr>
      </w:pPr>
      <w:r>
        <w:rPr>
          <w:rFonts w:hint="eastAsia" w:ascii="仿宋" w:hAnsi="仿宋" w:eastAsia="仿宋"/>
          <w:sz w:val="32"/>
          <w:szCs w:val="32"/>
        </w:rPr>
        <w:t>全面加强路网建设，截至</w:t>
      </w:r>
      <w:r>
        <w:rPr>
          <w:rFonts w:ascii="仿宋" w:hAnsi="仿宋" w:eastAsia="仿宋"/>
          <w:sz w:val="32"/>
          <w:szCs w:val="32"/>
        </w:rPr>
        <w:t>2015</w:t>
      </w:r>
      <w:r>
        <w:rPr>
          <w:rFonts w:hint="eastAsia" w:ascii="仿宋" w:hAnsi="仿宋" w:eastAsia="仿宋"/>
          <w:sz w:val="32"/>
          <w:szCs w:val="32"/>
        </w:rPr>
        <w:t>年，吉阳区内道路总长约</w:t>
      </w:r>
      <w:r>
        <w:rPr>
          <w:rFonts w:ascii="仿宋" w:hAnsi="仿宋" w:eastAsia="仿宋"/>
          <w:sz w:val="32"/>
          <w:szCs w:val="32"/>
        </w:rPr>
        <w:t>280</w:t>
      </w:r>
      <w:r>
        <w:rPr>
          <w:rFonts w:hint="eastAsia" w:ascii="仿宋" w:hAnsi="仿宋" w:eastAsia="仿宋"/>
          <w:sz w:val="32"/>
          <w:szCs w:val="32"/>
        </w:rPr>
        <w:t>公里，已形成以国道、省道为骨架，乡村公里为支脉，连接区内各村（居）委会，覆盖全区的道路交通网络。包括主村道、次主村道以及环村道在内的农村三级路网基本形成，</w:t>
      </w:r>
      <w:r>
        <w:rPr>
          <w:rFonts w:ascii="仿宋" w:hAnsi="仿宋" w:eastAsia="仿宋"/>
          <w:sz w:val="32"/>
          <w:szCs w:val="32"/>
        </w:rPr>
        <w:t>4.5</w:t>
      </w:r>
      <w:r>
        <w:rPr>
          <w:rFonts w:hint="eastAsia" w:ascii="仿宋" w:hAnsi="仿宋" w:eastAsia="仿宋"/>
          <w:sz w:val="32"/>
          <w:szCs w:val="32"/>
        </w:rPr>
        <w:t>米硬路肩公路行政村通道率达到</w:t>
      </w:r>
      <w:r>
        <w:rPr>
          <w:rFonts w:ascii="仿宋" w:hAnsi="仿宋" w:eastAsia="仿宋"/>
          <w:sz w:val="32"/>
          <w:szCs w:val="32"/>
        </w:rPr>
        <w:t>100%</w:t>
      </w:r>
      <w:r>
        <w:rPr>
          <w:rFonts w:hint="eastAsia" w:ascii="仿宋" w:hAnsi="仿宋" w:eastAsia="仿宋"/>
          <w:sz w:val="32"/>
          <w:szCs w:val="32"/>
        </w:rPr>
        <w:t>。城乡客运体系进一步完善，截至</w:t>
      </w:r>
      <w:r>
        <w:rPr>
          <w:rFonts w:ascii="仿宋" w:hAnsi="仿宋" w:eastAsia="仿宋"/>
          <w:sz w:val="32"/>
          <w:szCs w:val="32"/>
        </w:rPr>
        <w:t>2015</w:t>
      </w:r>
      <w:r>
        <w:rPr>
          <w:rFonts w:hint="eastAsia" w:ascii="仿宋" w:hAnsi="仿宋" w:eastAsia="仿宋"/>
          <w:sz w:val="32"/>
          <w:szCs w:val="32"/>
        </w:rPr>
        <w:t>年，投入使用公交线路</w:t>
      </w:r>
      <w:r>
        <w:rPr>
          <w:rFonts w:ascii="仿宋" w:hAnsi="仿宋" w:eastAsia="仿宋"/>
          <w:sz w:val="32"/>
          <w:szCs w:val="32"/>
        </w:rPr>
        <w:t>41</w:t>
      </w:r>
      <w:r>
        <w:rPr>
          <w:rFonts w:hint="eastAsia" w:ascii="仿宋" w:hAnsi="仿宋" w:eastAsia="仿宋"/>
          <w:sz w:val="32"/>
          <w:szCs w:val="32"/>
        </w:rPr>
        <w:t>条，其中中心城区公交站点</w:t>
      </w:r>
      <w:r>
        <w:rPr>
          <w:rFonts w:ascii="仿宋" w:hAnsi="仿宋" w:eastAsia="仿宋"/>
          <w:sz w:val="32"/>
          <w:szCs w:val="32"/>
        </w:rPr>
        <w:t>500</w:t>
      </w:r>
      <w:r>
        <w:rPr>
          <w:rFonts w:hint="eastAsia" w:ascii="仿宋" w:hAnsi="仿宋" w:eastAsia="仿宋"/>
          <w:sz w:val="32"/>
          <w:szCs w:val="32"/>
        </w:rPr>
        <w:t>米覆盖率达到</w:t>
      </w:r>
      <w:r>
        <w:rPr>
          <w:rFonts w:ascii="仿宋" w:hAnsi="仿宋" w:eastAsia="仿宋"/>
          <w:sz w:val="32"/>
          <w:szCs w:val="32"/>
        </w:rPr>
        <w:t>70%</w:t>
      </w:r>
      <w:r>
        <w:rPr>
          <w:rFonts w:hint="eastAsia" w:ascii="仿宋" w:hAnsi="仿宋" w:eastAsia="仿宋"/>
          <w:sz w:val="32"/>
          <w:szCs w:val="32"/>
        </w:rPr>
        <w:t>，老城区公交站点</w:t>
      </w:r>
      <w:r>
        <w:rPr>
          <w:rFonts w:ascii="仿宋" w:hAnsi="仿宋" w:eastAsia="仿宋"/>
          <w:sz w:val="32"/>
          <w:szCs w:val="32"/>
        </w:rPr>
        <w:t>500</w:t>
      </w:r>
      <w:r>
        <w:rPr>
          <w:rFonts w:hint="eastAsia" w:ascii="仿宋" w:hAnsi="仿宋" w:eastAsia="仿宋"/>
          <w:sz w:val="32"/>
          <w:szCs w:val="32"/>
        </w:rPr>
        <w:t>米覆盖率达到</w:t>
      </w:r>
      <w:r>
        <w:rPr>
          <w:rFonts w:ascii="仿宋" w:hAnsi="仿宋" w:eastAsia="仿宋"/>
          <w:sz w:val="32"/>
          <w:szCs w:val="32"/>
        </w:rPr>
        <w:t>80%</w:t>
      </w:r>
      <w:r>
        <w:rPr>
          <w:rFonts w:hint="eastAsia" w:ascii="仿宋" w:hAnsi="仿宋" w:eastAsia="仿宋"/>
          <w:sz w:val="32"/>
          <w:szCs w:val="32"/>
        </w:rPr>
        <w:t>以上，城乡公交通达率达到</w:t>
      </w:r>
      <w:r>
        <w:rPr>
          <w:rFonts w:ascii="仿宋" w:hAnsi="仿宋" w:eastAsia="仿宋"/>
          <w:sz w:val="32"/>
          <w:szCs w:val="32"/>
        </w:rPr>
        <w:t>94.4%</w:t>
      </w:r>
      <w:r>
        <w:rPr>
          <w:rFonts w:hint="eastAsia" w:ascii="仿宋" w:hAnsi="仿宋" w:eastAsia="仿宋"/>
          <w:sz w:val="32"/>
          <w:szCs w:val="32"/>
        </w:rPr>
        <w:t>。场站建设更加合理，仅</w:t>
      </w:r>
      <w:r>
        <w:rPr>
          <w:rFonts w:ascii="仿宋" w:hAnsi="仿宋" w:eastAsia="仿宋"/>
          <w:sz w:val="32"/>
          <w:szCs w:val="32"/>
        </w:rPr>
        <w:t>2015</w:t>
      </w:r>
      <w:r>
        <w:rPr>
          <w:rFonts w:hint="eastAsia" w:ascii="仿宋" w:hAnsi="仿宋" w:eastAsia="仿宋"/>
          <w:sz w:val="32"/>
          <w:szCs w:val="32"/>
        </w:rPr>
        <w:t>年就新建公共停车场</w:t>
      </w:r>
      <w:r>
        <w:rPr>
          <w:rFonts w:ascii="仿宋" w:hAnsi="仿宋" w:eastAsia="仿宋"/>
          <w:sz w:val="32"/>
          <w:szCs w:val="32"/>
        </w:rPr>
        <w:t>11</w:t>
      </w:r>
      <w:r>
        <w:rPr>
          <w:rFonts w:hint="eastAsia" w:ascii="仿宋" w:hAnsi="仿宋" w:eastAsia="仿宋"/>
          <w:sz w:val="32"/>
          <w:szCs w:val="32"/>
        </w:rPr>
        <w:t>个，加强了停车场导视牌指引、停车场管理、停车场升级等软硬件建设，有效缓解了停车位紧缺问题和交通压力，提升了城市停车服务管理的精细化、精准化水平。对外交通网络日趋完善，东环高铁、绕城高速、海榆中线和东线高速、即将通车的红沙隧道、亚龙湾互通立交，共同构成了吉阳立体交通网络格局。</w:t>
      </w:r>
    </w:p>
    <w:p>
      <w:pPr>
        <w:pStyle w:val="4"/>
        <w:shd w:val="clear" w:color="auto" w:fill="FFFFFF"/>
        <w:spacing w:before="240" w:after="120" w:line="360" w:lineRule="auto"/>
        <w:ind w:firstLine="453" w:firstLineChars="141"/>
        <w:rPr>
          <w:rStyle w:val="40"/>
          <w:rFonts w:ascii="仿宋" w:hAnsi="仿宋" w:eastAsia="仿宋"/>
        </w:rPr>
      </w:pPr>
      <w:bookmarkStart w:id="25" w:name="_Toc438920957"/>
      <w:bookmarkStart w:id="26" w:name="_Toc18177"/>
      <w:bookmarkStart w:id="27" w:name="_Toc4545"/>
      <w:bookmarkStart w:id="28" w:name="_Toc443338958"/>
      <w:r>
        <w:rPr>
          <w:rStyle w:val="40"/>
          <w:rFonts w:hint="eastAsia" w:ascii="仿宋" w:hAnsi="仿宋" w:eastAsia="仿宋"/>
        </w:rPr>
        <w:t>（四）民生事业全面推进，</w:t>
      </w:r>
      <w:bookmarkEnd w:id="23"/>
      <w:bookmarkEnd w:id="24"/>
      <w:r>
        <w:rPr>
          <w:rStyle w:val="40"/>
          <w:rFonts w:hint="eastAsia" w:ascii="仿宋" w:hAnsi="仿宋" w:eastAsia="仿宋"/>
        </w:rPr>
        <w:t>社会保障不断完善</w:t>
      </w:r>
      <w:bookmarkEnd w:id="25"/>
      <w:bookmarkEnd w:id="26"/>
      <w:bookmarkEnd w:id="27"/>
      <w:bookmarkEnd w:id="28"/>
    </w:p>
    <w:p>
      <w:pPr>
        <w:widowControl/>
        <w:ind w:firstLine="627" w:firstLineChars="196"/>
        <w:jc w:val="left"/>
        <w:rPr>
          <w:rFonts w:ascii="仿宋" w:hAnsi="仿宋" w:eastAsia="仿宋"/>
          <w:sz w:val="32"/>
          <w:szCs w:val="32"/>
        </w:rPr>
      </w:pPr>
      <w:r>
        <w:rPr>
          <w:rFonts w:hint="eastAsia" w:ascii="仿宋" w:hAnsi="仿宋" w:eastAsia="仿宋"/>
          <w:sz w:val="32"/>
          <w:szCs w:val="32"/>
        </w:rPr>
        <w:t>大力推进民生建设，</w:t>
      </w:r>
      <w:bookmarkStart w:id="29" w:name="_Toc429752357"/>
      <w:bookmarkStart w:id="30" w:name="_Toc430341764"/>
      <w:bookmarkStart w:id="31" w:name="_Toc429987431"/>
      <w:bookmarkStart w:id="32" w:name="_Toc429753327"/>
      <w:bookmarkStart w:id="33" w:name="_Toc430679838"/>
      <w:r>
        <w:rPr>
          <w:rFonts w:hint="eastAsia" w:ascii="仿宋" w:hAnsi="仿宋" w:eastAsia="仿宋"/>
          <w:sz w:val="32"/>
          <w:szCs w:val="32"/>
        </w:rPr>
        <w:t>市委市政府下达的民生工程任务全部得到落实。</w:t>
      </w:r>
      <w:r>
        <w:rPr>
          <w:rFonts w:ascii="仿宋" w:hAnsi="仿宋" w:eastAsia="仿宋"/>
          <w:sz w:val="32"/>
          <w:szCs w:val="32"/>
        </w:rPr>
        <w:t>2015</w:t>
      </w:r>
      <w:r>
        <w:rPr>
          <w:rFonts w:hint="eastAsia" w:ascii="仿宋" w:hAnsi="仿宋" w:eastAsia="仿宋"/>
          <w:sz w:val="32"/>
          <w:szCs w:val="32"/>
        </w:rPr>
        <w:t>年，启动创建教育强区三年计划，开展校园环境整治、基础硬件提升和师资队伍建设，教育投入力度不断加大</w:t>
      </w:r>
      <w:bookmarkEnd w:id="29"/>
      <w:bookmarkEnd w:id="30"/>
      <w:bookmarkEnd w:id="31"/>
      <w:bookmarkEnd w:id="32"/>
      <w:bookmarkEnd w:id="33"/>
      <w:r>
        <w:rPr>
          <w:rFonts w:hint="eastAsia" w:ascii="仿宋" w:hAnsi="仿宋" w:eastAsia="仿宋"/>
          <w:sz w:val="32"/>
          <w:szCs w:val="32"/>
        </w:rPr>
        <w:t>，基础教育办学条件有了较大改善。落实“五免一补”政策，惠及</w:t>
      </w:r>
      <w:r>
        <w:rPr>
          <w:rFonts w:ascii="仿宋" w:hAnsi="仿宋" w:eastAsia="仿宋"/>
          <w:sz w:val="32"/>
          <w:szCs w:val="32"/>
        </w:rPr>
        <w:t>1.8</w:t>
      </w:r>
      <w:r>
        <w:rPr>
          <w:rFonts w:hint="eastAsia" w:ascii="仿宋" w:hAnsi="仿宋" w:eastAsia="仿宋"/>
          <w:sz w:val="32"/>
          <w:szCs w:val="32"/>
        </w:rPr>
        <w:t>万名农村寄宿制学生，实施农村贫困中小学营养工程，使</w:t>
      </w:r>
      <w:r>
        <w:rPr>
          <w:rFonts w:ascii="仿宋" w:hAnsi="仿宋" w:eastAsia="仿宋"/>
          <w:sz w:val="32"/>
          <w:szCs w:val="32"/>
        </w:rPr>
        <w:t>1.2</w:t>
      </w:r>
      <w:r>
        <w:rPr>
          <w:rFonts w:hint="eastAsia" w:ascii="仿宋" w:hAnsi="仿宋" w:eastAsia="仿宋"/>
          <w:sz w:val="32"/>
          <w:szCs w:val="32"/>
        </w:rPr>
        <w:t>万名学生受益。</w:t>
      </w:r>
      <w:bookmarkStart w:id="34" w:name="_Toc429753328"/>
      <w:bookmarkStart w:id="35" w:name="_Toc430679839"/>
      <w:bookmarkStart w:id="36" w:name="_Toc430341765"/>
      <w:bookmarkStart w:id="37" w:name="_Toc429987432"/>
      <w:bookmarkStart w:id="38" w:name="_Toc429752358"/>
      <w:r>
        <w:rPr>
          <w:rFonts w:hint="eastAsia" w:ascii="仿宋" w:hAnsi="仿宋" w:eastAsia="仿宋"/>
          <w:sz w:val="32"/>
          <w:szCs w:val="32"/>
        </w:rPr>
        <w:t>社区卫生服务中心、服务站以及村卫生室等基础医疗建设稳步推进，</w:t>
      </w:r>
      <w:bookmarkEnd w:id="34"/>
      <w:bookmarkEnd w:id="35"/>
      <w:bookmarkEnd w:id="36"/>
      <w:bookmarkEnd w:id="37"/>
      <w:bookmarkEnd w:id="38"/>
      <w:r>
        <w:rPr>
          <w:rFonts w:hint="eastAsia" w:ascii="仿宋" w:hAnsi="仿宋" w:eastAsia="仿宋"/>
          <w:sz w:val="32"/>
          <w:szCs w:val="32"/>
        </w:rPr>
        <w:t>建成大茅、中廖两个村级标准化卫生室，推进居民健康档案建设，在基层单位设立儿童保健门诊，城乡医疗卫生服务水平稳步提升。</w:t>
      </w:r>
      <w:bookmarkStart w:id="39" w:name="_Toc430341768"/>
      <w:bookmarkStart w:id="40" w:name="_Toc430679842"/>
      <w:bookmarkStart w:id="41" w:name="_Toc429753331"/>
      <w:bookmarkStart w:id="42" w:name="_Toc429752361"/>
      <w:bookmarkStart w:id="43" w:name="_Toc429987435"/>
      <w:r>
        <w:rPr>
          <w:rFonts w:hint="eastAsia" w:ascii="仿宋" w:hAnsi="仿宋" w:eastAsia="仿宋"/>
          <w:sz w:val="32"/>
          <w:szCs w:val="32"/>
        </w:rPr>
        <w:t>公共文体服务建设得到重视</w:t>
      </w:r>
      <w:bookmarkEnd w:id="39"/>
      <w:bookmarkEnd w:id="40"/>
      <w:bookmarkEnd w:id="41"/>
      <w:bookmarkEnd w:id="42"/>
      <w:bookmarkEnd w:id="43"/>
      <w:r>
        <w:rPr>
          <w:rFonts w:hint="eastAsia" w:ascii="仿宋" w:hAnsi="仿宋" w:eastAsia="仿宋"/>
          <w:sz w:val="32"/>
          <w:szCs w:val="32"/>
        </w:rPr>
        <w:t>，加强了居委会图书室、健身活动中心和体育设施建设，农家书屋全部达到省、市标准，群众性文体活动日益活跃。</w:t>
      </w:r>
      <w:bookmarkStart w:id="44" w:name="_Toc429987433"/>
      <w:bookmarkStart w:id="45" w:name="_Toc430341766"/>
      <w:bookmarkStart w:id="46" w:name="_Toc429752359"/>
      <w:bookmarkStart w:id="47" w:name="_Toc430679840"/>
      <w:bookmarkStart w:id="48" w:name="_Toc429753329"/>
      <w:r>
        <w:rPr>
          <w:rFonts w:hint="eastAsia" w:ascii="仿宋" w:hAnsi="仿宋" w:eastAsia="仿宋"/>
          <w:sz w:val="32"/>
          <w:szCs w:val="32"/>
        </w:rPr>
        <w:t>社会保障覆盖</w:t>
      </w:r>
      <w:bookmarkEnd w:id="44"/>
      <w:bookmarkEnd w:id="45"/>
      <w:bookmarkEnd w:id="46"/>
      <w:bookmarkEnd w:id="47"/>
      <w:bookmarkEnd w:id="48"/>
      <w:r>
        <w:rPr>
          <w:rFonts w:hint="eastAsia" w:ascii="仿宋" w:hAnsi="仿宋" w:eastAsia="仿宋"/>
          <w:sz w:val="32"/>
          <w:szCs w:val="32"/>
        </w:rPr>
        <w:t>面持续扩大，</w:t>
      </w:r>
      <w:r>
        <w:rPr>
          <w:rFonts w:ascii="仿宋" w:hAnsi="仿宋" w:eastAsia="仿宋"/>
          <w:sz w:val="32"/>
          <w:szCs w:val="32"/>
        </w:rPr>
        <w:t>2015</w:t>
      </w:r>
      <w:r>
        <w:rPr>
          <w:rFonts w:hint="eastAsia" w:ascii="仿宋" w:hAnsi="仿宋" w:eastAsia="仿宋"/>
          <w:sz w:val="32"/>
          <w:szCs w:val="32"/>
        </w:rPr>
        <w:t>年新型农村养老保险和城镇居民养老保险达到</w:t>
      </w:r>
      <w:r>
        <w:rPr>
          <w:rFonts w:ascii="仿宋" w:hAnsi="仿宋" w:eastAsia="仿宋"/>
          <w:sz w:val="32"/>
          <w:szCs w:val="32"/>
        </w:rPr>
        <w:t>98%</w:t>
      </w:r>
      <w:r>
        <w:rPr>
          <w:rFonts w:hint="eastAsia" w:ascii="仿宋" w:hAnsi="仿宋" w:eastAsia="仿宋"/>
          <w:sz w:val="32"/>
          <w:szCs w:val="32"/>
        </w:rPr>
        <w:t>以上，超额完成了工作任务；健全社会救助体系，完成对辖区内城乡低保对象的核查工作。扎实开展农村富余劳动力、下岗失业人员、高校毕业生等职业介绍和就业再就业培训指导工作，促进居民就业创业，全区失业率控制在</w:t>
      </w:r>
      <w:r>
        <w:rPr>
          <w:rFonts w:ascii="仿宋" w:hAnsi="仿宋" w:eastAsia="仿宋"/>
          <w:sz w:val="32"/>
          <w:szCs w:val="32"/>
        </w:rPr>
        <w:t>2%</w:t>
      </w:r>
      <w:r>
        <w:rPr>
          <w:rFonts w:hint="eastAsia" w:ascii="仿宋" w:hAnsi="仿宋" w:eastAsia="仿宋"/>
          <w:sz w:val="32"/>
          <w:szCs w:val="32"/>
        </w:rPr>
        <w:t>以内。保障房建设稳步推进，基本实现应保尽保。农村土地确权登记工作顺利推进，强农惠农政策全面落实，建立农民“一卡通”网络，支持农民合作社建设。积极做好救灾救济工作，</w:t>
      </w:r>
      <w:r>
        <w:rPr>
          <w:rFonts w:ascii="仿宋" w:hAnsi="仿宋" w:eastAsia="仿宋"/>
          <w:sz w:val="32"/>
          <w:szCs w:val="32"/>
        </w:rPr>
        <w:t>2015</w:t>
      </w:r>
      <w:r>
        <w:rPr>
          <w:rFonts w:hint="eastAsia" w:ascii="仿宋" w:hAnsi="仿宋" w:eastAsia="仿宋"/>
          <w:sz w:val="32"/>
          <w:szCs w:val="32"/>
        </w:rPr>
        <w:t>年投入</w:t>
      </w:r>
      <w:r>
        <w:rPr>
          <w:rFonts w:ascii="仿宋" w:hAnsi="仿宋" w:eastAsia="仿宋"/>
          <w:sz w:val="32"/>
          <w:szCs w:val="32"/>
        </w:rPr>
        <w:t>281</w:t>
      </w:r>
      <w:r>
        <w:rPr>
          <w:rFonts w:hint="eastAsia" w:ascii="仿宋" w:hAnsi="仿宋" w:eastAsia="仿宋"/>
          <w:sz w:val="32"/>
          <w:szCs w:val="32"/>
        </w:rPr>
        <w:t>万元新增</w:t>
      </w:r>
      <w:r>
        <w:rPr>
          <w:rFonts w:ascii="仿宋" w:hAnsi="仿宋" w:eastAsia="仿宋"/>
          <w:sz w:val="32"/>
          <w:szCs w:val="32"/>
        </w:rPr>
        <w:t>20</w:t>
      </w:r>
      <w:r>
        <w:rPr>
          <w:rFonts w:hint="eastAsia" w:ascii="仿宋" w:hAnsi="仿宋" w:eastAsia="仿宋"/>
          <w:sz w:val="32"/>
          <w:szCs w:val="32"/>
        </w:rPr>
        <w:t>口机井，确保全区人畜饮水安全和农田抗旱保收。</w:t>
      </w:r>
    </w:p>
    <w:p>
      <w:pPr>
        <w:pStyle w:val="4"/>
        <w:shd w:val="clear" w:color="auto" w:fill="FFFFFF"/>
        <w:spacing w:before="240" w:after="120" w:line="360" w:lineRule="auto"/>
        <w:ind w:firstLine="453" w:firstLineChars="141"/>
        <w:rPr>
          <w:rStyle w:val="40"/>
          <w:rFonts w:ascii="仿宋" w:hAnsi="仿宋" w:eastAsia="仿宋"/>
        </w:rPr>
      </w:pPr>
      <w:bookmarkStart w:id="49" w:name="_Toc430341663"/>
      <w:bookmarkStart w:id="50" w:name="_Toc429134785"/>
      <w:bookmarkStart w:id="51" w:name="_Toc438920958"/>
      <w:bookmarkStart w:id="52" w:name="_Toc27758"/>
      <w:bookmarkStart w:id="53" w:name="_Toc13362"/>
      <w:bookmarkStart w:id="54" w:name="_Toc443338959"/>
      <w:r>
        <w:rPr>
          <w:rStyle w:val="40"/>
          <w:rFonts w:hint="eastAsia" w:ascii="仿宋" w:hAnsi="仿宋" w:eastAsia="仿宋"/>
        </w:rPr>
        <w:t>（五）着力加强环境</w:t>
      </w:r>
      <w:bookmarkEnd w:id="49"/>
      <w:bookmarkEnd w:id="50"/>
      <w:r>
        <w:rPr>
          <w:rStyle w:val="40"/>
          <w:rFonts w:hint="eastAsia" w:ascii="仿宋" w:hAnsi="仿宋" w:eastAsia="仿宋"/>
        </w:rPr>
        <w:t>治理，生态文明扎实推进</w:t>
      </w:r>
      <w:bookmarkEnd w:id="51"/>
      <w:bookmarkEnd w:id="52"/>
      <w:bookmarkEnd w:id="53"/>
      <w:bookmarkEnd w:id="54"/>
    </w:p>
    <w:p>
      <w:pPr>
        <w:widowControl/>
        <w:ind w:firstLine="627" w:firstLineChars="196"/>
        <w:jc w:val="left"/>
        <w:rPr>
          <w:rFonts w:ascii="仿宋" w:hAnsi="仿宋" w:eastAsia="仿宋"/>
          <w:sz w:val="32"/>
          <w:szCs w:val="32"/>
        </w:rPr>
      </w:pPr>
      <w:r>
        <w:rPr>
          <w:rFonts w:hint="eastAsia" w:ascii="仿宋" w:hAnsi="仿宋" w:eastAsia="仿宋"/>
          <w:sz w:val="32"/>
          <w:szCs w:val="32"/>
        </w:rPr>
        <w:t>高度重视生态环境保护和污染防治，生态文明建设取得巨大成就。积极配合市规划、林业、水务等部门对半岭水库</w:t>
      </w:r>
      <w:r>
        <w:rPr>
          <w:rFonts w:ascii="仿宋" w:hAnsi="仿宋" w:eastAsia="仿宋"/>
          <w:sz w:val="32"/>
          <w:szCs w:val="32"/>
        </w:rPr>
        <w:t>2</w:t>
      </w:r>
      <w:r>
        <w:rPr>
          <w:rFonts w:hint="eastAsia" w:ascii="仿宋" w:hAnsi="仿宋" w:eastAsia="仿宋"/>
          <w:sz w:val="32"/>
          <w:szCs w:val="32"/>
        </w:rPr>
        <w:t>级保护区水质生态环境进行调查，</w:t>
      </w:r>
      <w:r>
        <w:rPr>
          <w:rFonts w:ascii="仿宋" w:hAnsi="仿宋" w:eastAsia="仿宋"/>
          <w:sz w:val="32"/>
          <w:szCs w:val="32"/>
        </w:rPr>
        <w:t>2015</w:t>
      </w:r>
      <w:r>
        <w:rPr>
          <w:rFonts w:hint="eastAsia" w:ascii="仿宋" w:hAnsi="仿宋" w:eastAsia="仿宋"/>
          <w:sz w:val="32"/>
          <w:szCs w:val="32"/>
        </w:rPr>
        <w:t>年共拆除水源保护区范围内的违章建筑</w:t>
      </w:r>
      <w:r>
        <w:rPr>
          <w:rFonts w:ascii="仿宋" w:hAnsi="仿宋" w:eastAsia="仿宋"/>
          <w:sz w:val="32"/>
          <w:szCs w:val="32"/>
        </w:rPr>
        <w:t>15</w:t>
      </w:r>
      <w:r>
        <w:rPr>
          <w:rFonts w:hint="eastAsia" w:ascii="仿宋" w:hAnsi="仿宋" w:eastAsia="仿宋"/>
          <w:sz w:val="32"/>
          <w:szCs w:val="32"/>
        </w:rPr>
        <w:t>幢，对辖区内的两大河流进行水环境现状调查，制定水污染防治应急预案，加强了对</w:t>
      </w:r>
      <w:r>
        <w:rPr>
          <w:rFonts w:ascii="仿宋" w:hAnsi="仿宋" w:eastAsia="仿宋"/>
          <w:sz w:val="32"/>
          <w:szCs w:val="32"/>
        </w:rPr>
        <w:t>29</w:t>
      </w:r>
      <w:r>
        <w:rPr>
          <w:rFonts w:hint="eastAsia" w:ascii="仿宋" w:hAnsi="仿宋" w:eastAsia="仿宋"/>
          <w:sz w:val="32"/>
          <w:szCs w:val="32"/>
        </w:rPr>
        <w:t>个重点污染源的监督管理。重点整治沿河超标排污企业、拆除污染源及各类违建，三亚河、临春河两河风貌和水质明显好转。积极推进中心城区绿地改造，金鸡岭街头公园成为全市绿地改造精品样板。依法全面打响白鹭公园“保卫战”，严明执法与文明劝导并重，保护管理与生态修复同时开展，取得渐进式向好的效果。积极推动田独村、新红村等环境综合整治，进一步改善农村环境质量。不断强化环保制度建设，先后制定出台了《环境保护行政审批及管理服务事项指南》、《吉阳区环境保护工作方案》等政策文件，为加强生态环境保护工作提供指导。生态文明建设取得新成效，截至</w:t>
      </w:r>
      <w:r>
        <w:rPr>
          <w:rFonts w:ascii="仿宋" w:hAnsi="仿宋" w:eastAsia="仿宋"/>
          <w:sz w:val="32"/>
          <w:szCs w:val="32"/>
        </w:rPr>
        <w:t>2015</w:t>
      </w:r>
      <w:r>
        <w:rPr>
          <w:rFonts w:hint="eastAsia" w:ascii="仿宋" w:hAnsi="仿宋" w:eastAsia="仿宋"/>
          <w:sz w:val="32"/>
          <w:szCs w:val="32"/>
        </w:rPr>
        <w:t>年底，全区共创建国家级生态文明社区</w:t>
      </w:r>
      <w:r>
        <w:rPr>
          <w:rFonts w:ascii="仿宋" w:hAnsi="仿宋" w:eastAsia="仿宋"/>
          <w:sz w:val="32"/>
          <w:szCs w:val="32"/>
        </w:rPr>
        <w:t>1</w:t>
      </w:r>
      <w:r>
        <w:rPr>
          <w:rFonts w:hint="eastAsia" w:ascii="仿宋" w:hAnsi="仿宋" w:eastAsia="仿宋"/>
          <w:sz w:val="32"/>
          <w:szCs w:val="32"/>
        </w:rPr>
        <w:t>个，省级文明生态村（社区）</w:t>
      </w:r>
      <w:r>
        <w:rPr>
          <w:rFonts w:ascii="仿宋" w:hAnsi="仿宋" w:eastAsia="仿宋"/>
          <w:sz w:val="32"/>
          <w:szCs w:val="32"/>
        </w:rPr>
        <w:t>10</w:t>
      </w:r>
      <w:r>
        <w:rPr>
          <w:rFonts w:hint="eastAsia" w:ascii="仿宋" w:hAnsi="仿宋" w:eastAsia="仿宋"/>
          <w:sz w:val="32"/>
          <w:szCs w:val="32"/>
        </w:rPr>
        <w:t>个，市级文明生态村</w:t>
      </w:r>
      <w:r>
        <w:rPr>
          <w:rFonts w:ascii="仿宋" w:hAnsi="仿宋" w:eastAsia="仿宋"/>
          <w:sz w:val="32"/>
          <w:szCs w:val="32"/>
        </w:rPr>
        <w:t>21</w:t>
      </w:r>
      <w:r>
        <w:rPr>
          <w:rFonts w:hint="eastAsia" w:ascii="仿宋" w:hAnsi="仿宋" w:eastAsia="仿宋"/>
          <w:sz w:val="32"/>
          <w:szCs w:val="32"/>
        </w:rPr>
        <w:t>个。</w:t>
      </w:r>
    </w:p>
    <w:p>
      <w:pPr>
        <w:widowControl/>
        <w:ind w:firstLine="627" w:firstLineChars="196"/>
        <w:jc w:val="left"/>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“十二五”期间，吉阳区经济社会发展取得了突出成就，但也存在一些问题：一是三亚市</w:t>
      </w:r>
      <w:r>
        <w:rPr>
          <w:rFonts w:ascii="仿宋" w:hAnsi="仿宋" w:eastAsia="仿宋"/>
          <w:sz w:val="32"/>
          <w:szCs w:val="32"/>
        </w:rPr>
        <w:t>90%</w:t>
      </w:r>
      <w:r>
        <w:rPr>
          <w:rFonts w:hint="eastAsia" w:ascii="仿宋" w:hAnsi="仿宋" w:eastAsia="仿宋"/>
          <w:sz w:val="32"/>
          <w:szCs w:val="32"/>
        </w:rPr>
        <w:t>以上的保障房项目和大量房地产项目都布局在吉阳区，在一定程度上造成新兴产业发展空间不足和较为严重的职住失衡问题。二是吉阳区是三亚市外来人口最集中的地区，城市管理任务重、压力大、复杂性强，城市管理能力建设尚无法满足城区快速发展的需要。三是城乡发展差距大，民生建设相对滞后，医疗、卫生、文化等公共服务设施尚存在较大缺口。四是大量旅游人口带动物价、房价快速上涨，使本地居民的日常生活成本显著高于全国平均水平。五是生态敏感区较多，随着旅游人口的不断增加，生态保护责任重大。</w:t>
      </w:r>
    </w:p>
    <w:p>
      <w:pPr>
        <w:pStyle w:val="3"/>
        <w:spacing w:before="480" w:after="240" w:line="360" w:lineRule="auto"/>
        <w:rPr>
          <w:rFonts w:ascii="仿宋" w:hAnsi="仿宋" w:eastAsia="仿宋" w:cs="宋体"/>
          <w:kern w:val="0"/>
          <w:sz w:val="36"/>
        </w:rPr>
      </w:pPr>
      <w:bookmarkStart w:id="55" w:name="_Toc437028266"/>
      <w:bookmarkStart w:id="56" w:name="_Toc20736"/>
      <w:bookmarkStart w:id="57" w:name="_Toc443338960"/>
      <w:bookmarkStart w:id="58" w:name="_Toc7254"/>
      <w:r>
        <w:rPr>
          <w:rFonts w:hint="eastAsia" w:ascii="仿宋" w:hAnsi="仿宋" w:eastAsia="仿宋" w:cs="宋体"/>
          <w:kern w:val="0"/>
          <w:sz w:val="36"/>
        </w:rPr>
        <w:t>二、</w:t>
      </w:r>
      <w:bookmarkEnd w:id="55"/>
      <w:r>
        <w:rPr>
          <w:rFonts w:hint="eastAsia" w:ascii="仿宋" w:hAnsi="仿宋" w:eastAsia="仿宋" w:cs="宋体"/>
          <w:kern w:val="0"/>
          <w:sz w:val="36"/>
        </w:rPr>
        <w:t>面临形势</w:t>
      </w:r>
      <w:bookmarkEnd w:id="56"/>
      <w:bookmarkEnd w:id="57"/>
      <w:bookmarkEnd w:id="58"/>
    </w:p>
    <w:p>
      <w:pPr>
        <w:pStyle w:val="21"/>
        <w:adjustRightInd w:val="0"/>
        <w:snapToGrid w:val="0"/>
        <w:spacing w:beforeLines="50" w:afterLines="50" w:line="360" w:lineRule="auto"/>
        <w:ind w:firstLine="640" w:firstLineChars="200"/>
        <w:rPr>
          <w:rFonts w:ascii="仿宋" w:hAnsi="仿宋" w:eastAsia="仿宋" w:cs="Times New Roman"/>
          <w:sz w:val="32"/>
          <w:szCs w:val="32"/>
        </w:rPr>
      </w:pPr>
      <w:r>
        <w:rPr>
          <w:rFonts w:ascii="仿宋" w:hAnsi="仿宋" w:eastAsia="仿宋" w:cs="仿宋"/>
          <w:sz w:val="32"/>
          <w:szCs w:val="32"/>
        </w:rPr>
        <w:t xml:space="preserve"> </w:t>
      </w:r>
      <w:r>
        <w:rPr>
          <w:rFonts w:hint="eastAsia" w:ascii="仿宋" w:hAnsi="仿宋" w:eastAsia="仿宋" w:cs="仿宋"/>
          <w:sz w:val="32"/>
          <w:szCs w:val="32"/>
        </w:rPr>
        <w:t>“十三五”时期是全面建成小康社会的决战决胜期，是中国经济进入新常态的战略过渡期，也是吉阳区加快转型升级的战略机遇期，要把握机遇、直面挑战。</w:t>
      </w:r>
    </w:p>
    <w:p>
      <w:pPr>
        <w:pStyle w:val="4"/>
        <w:shd w:val="clear" w:color="auto" w:fill="FFFFFF"/>
        <w:spacing w:before="240" w:after="120" w:line="360" w:lineRule="auto"/>
        <w:ind w:firstLine="453" w:firstLineChars="141"/>
        <w:rPr>
          <w:rStyle w:val="40"/>
          <w:rFonts w:ascii="仿宋" w:hAnsi="仿宋" w:eastAsia="仿宋"/>
        </w:rPr>
      </w:pPr>
      <w:bookmarkStart w:id="59" w:name="_Toc32364"/>
      <w:bookmarkStart w:id="60" w:name="_Toc430344832"/>
      <w:bookmarkStart w:id="61" w:name="_Toc26868"/>
      <w:bookmarkStart w:id="62" w:name="_Toc443338961"/>
      <w:bookmarkStart w:id="63" w:name="_Toc438920960"/>
      <w:r>
        <w:rPr>
          <w:rStyle w:val="40"/>
          <w:rFonts w:hint="eastAsia" w:ascii="仿宋" w:hAnsi="仿宋" w:eastAsia="仿宋"/>
        </w:rPr>
        <w:t>（一）发展机遇</w:t>
      </w:r>
      <w:bookmarkEnd w:id="59"/>
      <w:bookmarkEnd w:id="60"/>
      <w:bookmarkEnd w:id="61"/>
      <w:bookmarkEnd w:id="62"/>
      <w:bookmarkEnd w:id="63"/>
    </w:p>
    <w:p>
      <w:pPr>
        <w:ind w:firstLine="643" w:firstLineChars="200"/>
        <w:rPr>
          <w:rFonts w:ascii="仿宋" w:hAnsi="仿宋" w:eastAsia="仿宋"/>
          <w:sz w:val="32"/>
          <w:szCs w:val="32"/>
        </w:rPr>
      </w:pPr>
      <w:r>
        <w:rPr>
          <w:rFonts w:hint="eastAsia" w:ascii="仿宋" w:hAnsi="仿宋" w:eastAsia="仿宋"/>
          <w:b/>
          <w:sz w:val="32"/>
          <w:szCs w:val="32"/>
        </w:rPr>
        <w:t>机遇之一：</w:t>
      </w:r>
      <w:r>
        <w:rPr>
          <w:rFonts w:hint="eastAsia" w:ascii="仿宋" w:hAnsi="仿宋" w:eastAsia="仿宋"/>
          <w:sz w:val="32"/>
          <w:szCs w:val="32"/>
        </w:rPr>
        <w:t>国家把三亚列为“</w:t>
      </w:r>
      <w:r>
        <w:rPr>
          <w:rFonts w:ascii="仿宋" w:hAnsi="仿宋" w:eastAsia="仿宋"/>
          <w:sz w:val="32"/>
          <w:szCs w:val="32"/>
        </w:rPr>
        <w:t>21</w:t>
      </w:r>
      <w:r>
        <w:rPr>
          <w:rFonts w:hint="eastAsia" w:ascii="仿宋" w:hAnsi="仿宋" w:eastAsia="仿宋"/>
          <w:sz w:val="32"/>
          <w:szCs w:val="32"/>
        </w:rPr>
        <w:t>世纪海上丝绸之路”战略支点，海南国际旅游岛建设步入快车道，“大三亚旅游经济圈”建设加快推进，有利于吉阳区进一步扩大对外开放，加强区域合作，促进旅游业提档升级、提质增效，辐射带动全区经济新一轮的发展。</w:t>
      </w:r>
    </w:p>
    <w:p>
      <w:pPr>
        <w:ind w:firstLine="643" w:firstLineChars="200"/>
        <w:rPr>
          <w:rFonts w:ascii="仿宋" w:hAnsi="仿宋" w:eastAsia="仿宋"/>
          <w:sz w:val="32"/>
          <w:szCs w:val="32"/>
        </w:rPr>
      </w:pPr>
      <w:r>
        <w:rPr>
          <w:rFonts w:hint="eastAsia" w:ascii="仿宋" w:hAnsi="仿宋" w:eastAsia="仿宋"/>
          <w:b/>
          <w:sz w:val="32"/>
          <w:szCs w:val="32"/>
        </w:rPr>
        <w:t>机遇之二：</w:t>
      </w:r>
      <w:r>
        <w:rPr>
          <w:rFonts w:hint="eastAsia" w:ascii="仿宋" w:hAnsi="仿宋" w:eastAsia="仿宋"/>
          <w:sz w:val="32"/>
          <w:szCs w:val="32"/>
        </w:rPr>
        <w:t>三亚被列为国家“双修”“双城”试点城市，吉阳区重点项目占全市近</w:t>
      </w:r>
      <w:r>
        <w:rPr>
          <w:rFonts w:ascii="仿宋" w:hAnsi="仿宋" w:eastAsia="仿宋"/>
          <w:sz w:val="32"/>
          <w:szCs w:val="32"/>
        </w:rPr>
        <w:t>1/3</w:t>
      </w:r>
      <w:r>
        <w:rPr>
          <w:rFonts w:hint="eastAsia" w:ascii="仿宋" w:hAnsi="仿宋" w:eastAsia="仿宋"/>
          <w:sz w:val="32"/>
          <w:szCs w:val="32"/>
        </w:rPr>
        <w:t>，有利于吉阳区加强精品城区建设、丰富精品城区内涵，进一步提高品牌效应和综合竞争力，为三亚建设国际化热带滨海旅游精品城市作出新贡献。</w:t>
      </w:r>
    </w:p>
    <w:p>
      <w:pPr>
        <w:ind w:firstLine="643" w:firstLineChars="200"/>
        <w:rPr>
          <w:rFonts w:ascii="仿宋" w:hAnsi="仿宋" w:eastAsia="仿宋"/>
          <w:sz w:val="32"/>
          <w:szCs w:val="32"/>
        </w:rPr>
      </w:pPr>
      <w:r>
        <w:rPr>
          <w:rFonts w:hint="eastAsia" w:ascii="仿宋" w:hAnsi="仿宋" w:eastAsia="仿宋"/>
          <w:b/>
          <w:sz w:val="32"/>
          <w:szCs w:val="32"/>
        </w:rPr>
        <w:t>机遇之三：</w:t>
      </w:r>
      <w:r>
        <w:rPr>
          <w:rFonts w:hint="eastAsia" w:ascii="仿宋" w:hAnsi="仿宋" w:eastAsia="仿宋"/>
          <w:sz w:val="32"/>
          <w:szCs w:val="32"/>
        </w:rPr>
        <w:t>海南省在三亚进行城乡一体化示范区试点，三亚加大风情小镇、产业小镇、美丽乡村等建设力度，有利于吉阳区争取省市更多支持，加快推进新型城镇化，促进城乡统筹发展。</w:t>
      </w:r>
    </w:p>
    <w:p>
      <w:pPr>
        <w:ind w:firstLine="643" w:firstLineChars="200"/>
        <w:rPr>
          <w:rFonts w:ascii="仿宋" w:hAnsi="仿宋" w:eastAsia="仿宋"/>
          <w:sz w:val="32"/>
          <w:szCs w:val="32"/>
        </w:rPr>
      </w:pPr>
      <w:r>
        <w:rPr>
          <w:rFonts w:hint="eastAsia" w:ascii="仿宋" w:hAnsi="仿宋" w:eastAsia="仿宋"/>
          <w:b/>
          <w:sz w:val="32"/>
          <w:szCs w:val="32"/>
        </w:rPr>
        <w:t>机遇之四：</w:t>
      </w:r>
      <w:r>
        <w:rPr>
          <w:rFonts w:hint="eastAsia" w:ascii="仿宋" w:hAnsi="仿宋" w:eastAsia="仿宋"/>
          <w:sz w:val="32"/>
          <w:szCs w:val="32"/>
        </w:rPr>
        <w:t>三亚市撤镇设区，有利于吉阳区整合优势资源，调整优化空间布局，在更大范围内实现资源要素的优化整合，促进吉阳区在更高层面的发展。</w:t>
      </w:r>
    </w:p>
    <w:p>
      <w:pPr>
        <w:pStyle w:val="4"/>
        <w:shd w:val="clear" w:color="auto" w:fill="FFFFFF"/>
        <w:spacing w:before="240" w:after="120" w:line="360" w:lineRule="auto"/>
        <w:ind w:firstLine="453" w:firstLineChars="141"/>
        <w:rPr>
          <w:rStyle w:val="40"/>
          <w:rFonts w:ascii="仿宋" w:hAnsi="仿宋" w:eastAsia="仿宋"/>
        </w:rPr>
      </w:pPr>
      <w:bookmarkStart w:id="64" w:name="_Toc443338962"/>
      <w:bookmarkStart w:id="65" w:name="_Toc438920961"/>
      <w:bookmarkStart w:id="66" w:name="_Toc31213"/>
      <w:bookmarkStart w:id="67" w:name="_Toc30572"/>
      <w:bookmarkStart w:id="68" w:name="_Toc430344833"/>
      <w:r>
        <w:rPr>
          <w:rStyle w:val="40"/>
          <w:rFonts w:hint="eastAsia" w:ascii="仿宋" w:hAnsi="仿宋" w:eastAsia="仿宋"/>
        </w:rPr>
        <w:t>（二）面临挑战</w:t>
      </w:r>
      <w:bookmarkEnd w:id="64"/>
      <w:bookmarkEnd w:id="65"/>
      <w:bookmarkEnd w:id="66"/>
      <w:bookmarkEnd w:id="67"/>
      <w:bookmarkEnd w:id="68"/>
    </w:p>
    <w:p>
      <w:pPr>
        <w:pStyle w:val="21"/>
        <w:adjustRightInd w:val="0"/>
        <w:snapToGrid w:val="0"/>
        <w:spacing w:beforeLines="50" w:afterLines="50" w:line="360" w:lineRule="auto"/>
        <w:ind w:firstLine="643" w:firstLineChars="200"/>
        <w:rPr>
          <w:rFonts w:ascii="仿宋" w:hAnsi="仿宋" w:eastAsia="仿宋"/>
          <w:sz w:val="32"/>
          <w:szCs w:val="32"/>
        </w:rPr>
      </w:pPr>
      <w:r>
        <w:rPr>
          <w:rFonts w:hint="eastAsia" w:ascii="仿宋" w:hAnsi="仿宋" w:eastAsia="仿宋" w:cs="Times New Roman"/>
          <w:b/>
          <w:kern w:val="2"/>
          <w:sz w:val="32"/>
          <w:szCs w:val="32"/>
        </w:rPr>
        <w:t>挑战之一：</w:t>
      </w:r>
      <w:r>
        <w:rPr>
          <w:rFonts w:hint="eastAsia" w:ascii="仿宋" w:hAnsi="仿宋" w:eastAsia="仿宋" w:cs="仿宋"/>
          <w:b/>
          <w:bCs/>
          <w:sz w:val="32"/>
          <w:szCs w:val="32"/>
        </w:rPr>
        <w:t>促增长调结构压力巨大。</w:t>
      </w:r>
      <w:r>
        <w:rPr>
          <w:rFonts w:hint="eastAsia" w:ascii="仿宋" w:hAnsi="仿宋" w:eastAsia="仿宋" w:cs="仿宋"/>
          <w:sz w:val="32"/>
          <w:szCs w:val="32"/>
        </w:rPr>
        <w:t>目前，吉阳区产业结构尚不合理，</w:t>
      </w:r>
      <w:r>
        <w:rPr>
          <w:rFonts w:hint="eastAsia" w:ascii="仿宋" w:hAnsi="仿宋" w:eastAsia="仿宋"/>
          <w:sz w:val="32"/>
          <w:szCs w:val="32"/>
        </w:rPr>
        <w:t>房地产业和旅游业占主导地位，但受国家政策和宏观经济形势影响较大，新型产业发展较快，但尚未形成支撑性力量，部分景区、景点设施老化、内容单一，</w:t>
      </w:r>
      <w:r>
        <w:rPr>
          <w:rFonts w:hint="eastAsia" w:ascii="仿宋" w:hAnsi="仿宋" w:eastAsia="仿宋" w:cs="仿宋"/>
          <w:sz w:val="32"/>
          <w:szCs w:val="32"/>
        </w:rPr>
        <w:t>产业竞争力和抗风险能力较弱等问题较为突出。在中国经济进入新常态、经济下行压力持续加大的背景下，面临着调结构、促增长、加快产业结构转型升级的艰巨挑战。</w:t>
      </w:r>
    </w:p>
    <w:p>
      <w:pPr>
        <w:pStyle w:val="21"/>
        <w:adjustRightInd w:val="0"/>
        <w:snapToGrid w:val="0"/>
        <w:spacing w:beforeLines="50" w:afterLines="50" w:line="360" w:lineRule="auto"/>
        <w:ind w:firstLine="643" w:firstLineChars="200"/>
        <w:rPr>
          <w:rFonts w:ascii="仿宋" w:hAnsi="仿宋" w:eastAsia="仿宋" w:cs="Times New Roman"/>
          <w:sz w:val="32"/>
          <w:szCs w:val="32"/>
        </w:rPr>
      </w:pPr>
      <w:r>
        <w:rPr>
          <w:rFonts w:hint="eastAsia" w:ascii="仿宋" w:hAnsi="仿宋" w:eastAsia="仿宋" w:cs="Times New Roman"/>
          <w:b/>
          <w:kern w:val="2"/>
          <w:sz w:val="32"/>
          <w:szCs w:val="32"/>
        </w:rPr>
        <w:t>挑战之二：</w:t>
      </w:r>
      <w:r>
        <w:rPr>
          <w:rFonts w:hint="eastAsia" w:ascii="仿宋" w:hAnsi="仿宋" w:eastAsia="仿宋" w:cs="仿宋"/>
          <w:b/>
          <w:bCs/>
          <w:sz w:val="32"/>
          <w:szCs w:val="32"/>
        </w:rPr>
        <w:t>统筹城乡发展任务艰巨。</w:t>
      </w:r>
      <w:r>
        <w:rPr>
          <w:rFonts w:hint="eastAsia" w:ascii="仿宋" w:hAnsi="仿宋" w:eastAsia="仿宋" w:cs="Times New Roman"/>
          <w:sz w:val="32"/>
          <w:szCs w:val="32"/>
        </w:rPr>
        <w:t>吉阳区已有的</w:t>
      </w:r>
      <w:r>
        <w:rPr>
          <w:rFonts w:hint="eastAsia" w:ascii="仿宋" w:hAnsi="仿宋" w:eastAsia="仿宋"/>
          <w:sz w:val="32"/>
          <w:szCs w:val="32"/>
        </w:rPr>
        <w:t>开发建设大多集中在滨海地带和中心城区，北部山区和边远地区的基础建设和村庄发展普遍较为落后，滨海地区的现代化风貌与北部乡村的落后状况形成鲜明对比，城乡发展严重不平衡，</w:t>
      </w:r>
      <w:r>
        <w:rPr>
          <w:rFonts w:hint="eastAsia" w:ascii="仿宋" w:hAnsi="仿宋" w:eastAsia="仿宋" w:cs="Times New Roman"/>
          <w:sz w:val="32"/>
          <w:szCs w:val="32"/>
        </w:rPr>
        <w:t>面临着统筹</w:t>
      </w:r>
      <w:r>
        <w:rPr>
          <w:rFonts w:hint="eastAsia" w:ascii="仿宋" w:hAnsi="仿宋" w:eastAsia="仿宋"/>
          <w:sz w:val="32"/>
          <w:szCs w:val="32"/>
        </w:rPr>
        <w:t>城乡发展</w:t>
      </w:r>
      <w:r>
        <w:rPr>
          <w:rFonts w:hint="eastAsia" w:ascii="仿宋" w:hAnsi="仿宋" w:eastAsia="仿宋" w:cs="Times New Roman"/>
          <w:sz w:val="32"/>
          <w:szCs w:val="32"/>
        </w:rPr>
        <w:t>的艰巨挑战。</w:t>
      </w:r>
    </w:p>
    <w:p>
      <w:pPr>
        <w:pStyle w:val="21"/>
        <w:adjustRightInd w:val="0"/>
        <w:snapToGrid w:val="0"/>
        <w:spacing w:beforeLines="50" w:afterLines="50" w:line="360" w:lineRule="auto"/>
        <w:ind w:firstLine="643" w:firstLineChars="200"/>
        <w:rPr>
          <w:rFonts w:ascii="仿宋" w:hAnsi="仿宋" w:eastAsia="仿宋" w:cs="仿宋"/>
          <w:sz w:val="32"/>
          <w:szCs w:val="32"/>
        </w:rPr>
      </w:pPr>
      <w:r>
        <w:rPr>
          <w:rFonts w:hint="eastAsia" w:ascii="仿宋" w:hAnsi="仿宋" w:eastAsia="仿宋" w:cs="Times New Roman"/>
          <w:b/>
          <w:kern w:val="2"/>
          <w:sz w:val="32"/>
          <w:szCs w:val="32"/>
        </w:rPr>
        <w:t>挑战之三：</w:t>
      </w:r>
      <w:r>
        <w:rPr>
          <w:rFonts w:hint="eastAsia" w:ascii="仿宋" w:hAnsi="仿宋" w:eastAsia="仿宋" w:cs="仿宋"/>
          <w:b/>
          <w:bCs/>
          <w:sz w:val="32"/>
          <w:szCs w:val="32"/>
        </w:rPr>
        <w:t>社会治理能力亟待提升。</w:t>
      </w:r>
      <w:r>
        <w:rPr>
          <w:rFonts w:hint="eastAsia" w:ascii="仿宋" w:hAnsi="仿宋" w:eastAsia="仿宋" w:cs="仿宋"/>
          <w:sz w:val="32"/>
          <w:szCs w:val="32"/>
        </w:rPr>
        <w:t>目前，吉阳区社会管理和服务水平仍远滞后于城市快速发展的需要：</w:t>
      </w:r>
      <w:r>
        <w:rPr>
          <w:rFonts w:hint="eastAsia" w:ascii="仿宋" w:hAnsi="仿宋" w:eastAsia="仿宋" w:cs="Times New Roman"/>
          <w:sz w:val="32"/>
          <w:szCs w:val="32"/>
        </w:rPr>
        <w:t>撤镇设区后，</w:t>
      </w:r>
      <w:r>
        <w:rPr>
          <w:rFonts w:hint="eastAsia" w:ascii="仿宋" w:hAnsi="仿宋" w:eastAsia="仿宋" w:cs="仿宋"/>
          <w:sz w:val="32"/>
          <w:szCs w:val="32"/>
        </w:rPr>
        <w:t>一些主管部门的职责尚未完全理顺理清；部分原村镇干部文化教育程度较低，很难适应</w:t>
      </w:r>
      <w:r>
        <w:rPr>
          <w:rFonts w:hint="eastAsia" w:ascii="仿宋" w:hAnsi="仿宋" w:eastAsia="仿宋"/>
          <w:sz w:val="32"/>
          <w:szCs w:val="32"/>
        </w:rPr>
        <w:t>数字化、信息化、网络化管理和服务要求；外来</w:t>
      </w:r>
      <w:r>
        <w:rPr>
          <w:rFonts w:hint="eastAsia" w:ascii="仿宋" w:hAnsi="仿宋" w:eastAsia="仿宋" w:cs="仿宋"/>
          <w:sz w:val="32"/>
          <w:szCs w:val="32"/>
        </w:rPr>
        <w:t>人口集中且人口季节差很大，</w:t>
      </w:r>
      <w:r>
        <w:rPr>
          <w:rFonts w:hint="eastAsia" w:ascii="仿宋" w:hAnsi="仿宋" w:eastAsia="仿宋"/>
          <w:sz w:val="32"/>
          <w:szCs w:val="32"/>
        </w:rPr>
        <w:t>城市管理任务重、压力大、复杂性强，</w:t>
      </w:r>
      <w:r>
        <w:rPr>
          <w:rFonts w:hint="eastAsia" w:ascii="仿宋" w:hAnsi="仿宋" w:eastAsia="仿宋" w:cs="仿宋"/>
          <w:sz w:val="32"/>
          <w:szCs w:val="32"/>
        </w:rPr>
        <w:t>社会治理和管理服务能力严重不足，亟待进一步强化和提升。</w:t>
      </w:r>
    </w:p>
    <w:p>
      <w:pPr>
        <w:pStyle w:val="21"/>
        <w:adjustRightInd w:val="0"/>
        <w:snapToGrid w:val="0"/>
        <w:spacing w:beforeLines="50" w:afterLines="50" w:line="360" w:lineRule="auto"/>
        <w:ind w:firstLine="643" w:firstLineChars="200"/>
        <w:rPr>
          <w:rFonts w:ascii="仿宋" w:hAnsi="仿宋" w:eastAsia="仿宋"/>
          <w:sz w:val="32"/>
          <w:szCs w:val="32"/>
        </w:rPr>
      </w:pPr>
      <w:r>
        <w:rPr>
          <w:rFonts w:hint="eastAsia" w:ascii="仿宋" w:hAnsi="仿宋" w:eastAsia="仿宋" w:cs="仿宋"/>
          <w:b/>
          <w:bCs/>
          <w:sz w:val="32"/>
          <w:szCs w:val="32"/>
        </w:rPr>
        <w:t>挑战之四：精品城区建设任重道远。</w:t>
      </w:r>
      <w:r>
        <w:rPr>
          <w:rFonts w:hint="eastAsia" w:ascii="仿宋" w:hAnsi="仿宋" w:eastAsia="仿宋" w:cs="仿宋"/>
          <w:sz w:val="32"/>
          <w:szCs w:val="32"/>
        </w:rPr>
        <w:t>随着旅游人口增加和城区开发建设规模不断扩大，生态</w:t>
      </w:r>
      <w:r>
        <w:rPr>
          <w:rFonts w:hint="eastAsia" w:ascii="仿宋" w:hAnsi="仿宋" w:eastAsia="仿宋" w:cs="仿宋"/>
          <w:sz w:val="32"/>
          <w:szCs w:val="32"/>
          <w:lang w:val="en-US" w:eastAsia="zh-CN"/>
        </w:rPr>
        <w:t>环</w:t>
      </w:r>
      <w:r>
        <w:rPr>
          <w:rFonts w:hint="eastAsia" w:ascii="仿宋" w:hAnsi="仿宋" w:eastAsia="仿宋" w:cs="仿宋"/>
          <w:sz w:val="32"/>
          <w:szCs w:val="32"/>
        </w:rPr>
        <w:t>境压力持续加大，局部地区出现生态环境退化；民生事业发展相对滞后，文化、体育、教育、医疗、卫生等基本公共服务仍存在较大缺口，建设</w:t>
      </w:r>
      <w:r>
        <w:rPr>
          <w:rFonts w:hint="eastAsia" w:ascii="仿宋" w:hAnsi="仿宋" w:eastAsia="仿宋"/>
          <w:sz w:val="32"/>
          <w:szCs w:val="32"/>
        </w:rPr>
        <w:t>现代化、国际化精品城区依然任重道远。</w:t>
      </w:r>
    </w:p>
    <w:p>
      <w:pPr>
        <w:pStyle w:val="21"/>
        <w:adjustRightInd w:val="0"/>
        <w:snapToGrid w:val="0"/>
        <w:spacing w:beforeLines="50" w:afterLines="50" w:line="360" w:lineRule="auto"/>
        <w:ind w:firstLine="640" w:firstLineChars="200"/>
        <w:rPr>
          <w:rFonts w:ascii="仿宋" w:hAnsi="仿宋" w:eastAsia="仿宋"/>
          <w:sz w:val="32"/>
          <w:szCs w:val="32"/>
        </w:rPr>
      </w:pPr>
    </w:p>
    <w:p>
      <w:pPr>
        <w:pStyle w:val="2"/>
        <w:spacing w:before="480" w:after="240" w:line="360" w:lineRule="auto"/>
        <w:jc w:val="center"/>
        <w:rPr>
          <w:rFonts w:ascii="仿宋" w:hAnsi="仿宋" w:eastAsia="仿宋"/>
          <w:sz w:val="40"/>
          <w:szCs w:val="32"/>
        </w:rPr>
      </w:pPr>
      <w:bookmarkStart w:id="69" w:name="_Toc9405"/>
      <w:bookmarkStart w:id="70" w:name="_Toc437028267"/>
      <w:bookmarkStart w:id="71" w:name="_Toc443338963"/>
      <w:bookmarkStart w:id="72" w:name="_Toc31882"/>
      <w:bookmarkStart w:id="73" w:name="_Toc430344835"/>
      <w:r>
        <w:rPr>
          <w:rFonts w:hint="eastAsia" w:ascii="仿宋" w:hAnsi="仿宋" w:eastAsia="仿宋"/>
          <w:sz w:val="40"/>
          <w:szCs w:val="32"/>
        </w:rPr>
        <w:t>第二部分</w:t>
      </w:r>
      <w:r>
        <w:rPr>
          <w:rFonts w:ascii="仿宋" w:hAnsi="仿宋" w:eastAsia="仿宋"/>
          <w:sz w:val="40"/>
          <w:szCs w:val="32"/>
        </w:rPr>
        <w:t xml:space="preserve">  </w:t>
      </w:r>
      <w:r>
        <w:rPr>
          <w:rFonts w:hint="eastAsia" w:ascii="仿宋" w:hAnsi="仿宋" w:eastAsia="仿宋"/>
          <w:sz w:val="40"/>
          <w:szCs w:val="32"/>
        </w:rPr>
        <w:t>指导思想与目标</w:t>
      </w:r>
      <w:bookmarkEnd w:id="69"/>
      <w:bookmarkEnd w:id="70"/>
      <w:bookmarkEnd w:id="71"/>
      <w:bookmarkEnd w:id="72"/>
    </w:p>
    <w:p>
      <w:pPr>
        <w:pStyle w:val="3"/>
        <w:spacing w:before="480" w:after="240" w:line="360" w:lineRule="auto"/>
        <w:rPr>
          <w:rFonts w:ascii="仿宋" w:hAnsi="仿宋" w:eastAsia="仿宋" w:cs="宋体"/>
          <w:kern w:val="0"/>
          <w:sz w:val="36"/>
        </w:rPr>
      </w:pPr>
      <w:bookmarkStart w:id="74" w:name="_Toc443338964"/>
      <w:bookmarkStart w:id="75" w:name="_Toc21508"/>
      <w:bookmarkStart w:id="76" w:name="_Toc12681"/>
      <w:r>
        <w:rPr>
          <w:rFonts w:hint="eastAsia" w:ascii="仿宋" w:hAnsi="仿宋" w:eastAsia="仿宋" w:cs="宋体"/>
          <w:kern w:val="0"/>
          <w:sz w:val="36"/>
        </w:rPr>
        <w:t>一、指导思想</w:t>
      </w:r>
      <w:bookmarkEnd w:id="73"/>
      <w:bookmarkEnd w:id="74"/>
      <w:bookmarkEnd w:id="75"/>
      <w:bookmarkEnd w:id="76"/>
    </w:p>
    <w:p>
      <w:pPr>
        <w:widowControl/>
        <w:spacing w:beforeLines="50" w:afterLines="50"/>
        <w:ind w:firstLine="640" w:firstLineChars="200"/>
        <w:rPr>
          <w:rFonts w:ascii="仿宋" w:hAnsi="仿宋" w:eastAsia="仿宋" w:cs="宋体"/>
          <w:kern w:val="0"/>
          <w:sz w:val="32"/>
          <w:szCs w:val="32"/>
        </w:rPr>
      </w:pPr>
      <w:r>
        <w:rPr>
          <w:rFonts w:hint="eastAsia" w:ascii="仿宋" w:hAnsi="仿宋" w:eastAsia="仿宋" w:cs="仿宋"/>
          <w:sz w:val="32"/>
          <w:szCs w:val="32"/>
        </w:rPr>
        <w:t>以邓小平理论、“三个代表”重要思想和科学发展观为指导，全面贯彻党的十八大和十八届三中、四中、五中全会以及习近平总书记的重要讲话精神，</w:t>
      </w:r>
      <w:r>
        <w:rPr>
          <w:rFonts w:hint="eastAsia" w:ascii="仿宋" w:hAnsi="仿宋" w:eastAsia="仿宋" w:cs="宋体"/>
          <w:kern w:val="0"/>
          <w:sz w:val="32"/>
          <w:szCs w:val="32"/>
        </w:rPr>
        <w:t>紧紧围绕三亚建设“国际化热带滨海旅游精品城市”的总体目标，全面融入“一带一路”、“海南国际旅游岛”和“大三亚旅游经济圈”建设，</w:t>
      </w:r>
      <w:r>
        <w:rPr>
          <w:rFonts w:hint="eastAsia" w:ascii="仿宋" w:hAnsi="仿宋" w:eastAsia="仿宋" w:cs="宋体"/>
          <w:b/>
          <w:kern w:val="0"/>
          <w:sz w:val="32"/>
          <w:szCs w:val="32"/>
        </w:rPr>
        <w:t>坚持</w:t>
      </w:r>
      <w:r>
        <w:rPr>
          <w:rFonts w:hint="eastAsia" w:ascii="仿宋" w:hAnsi="仿宋" w:eastAsia="仿宋" w:cs="仿宋"/>
          <w:b/>
          <w:sz w:val="32"/>
          <w:szCs w:val="32"/>
        </w:rPr>
        <w:t>创新、协调、绿色、开放、共享五大发展理念，</w:t>
      </w:r>
      <w:r>
        <w:rPr>
          <w:rFonts w:hint="eastAsia" w:ascii="仿宋" w:hAnsi="仿宋" w:eastAsia="仿宋" w:cs="宋体"/>
          <w:b/>
          <w:kern w:val="0"/>
          <w:sz w:val="32"/>
          <w:szCs w:val="32"/>
        </w:rPr>
        <w:t>以“调优增效、转型升级、做精做强”为主线，以“双修双城”和重大项目建设为抓手，以改革开放创新为动力，努力打造“实力、活力、魅力、幸福”新吉阳，</w:t>
      </w:r>
      <w:r>
        <w:rPr>
          <w:rFonts w:hint="eastAsia" w:ascii="仿宋" w:hAnsi="仿宋" w:eastAsia="仿宋" w:cs="宋体"/>
          <w:kern w:val="0"/>
          <w:sz w:val="32"/>
          <w:szCs w:val="32"/>
        </w:rPr>
        <w:t>为三亚国际化精品城市建设履行新使命、做出新贡献。</w:t>
      </w:r>
    </w:p>
    <w:p>
      <w:pPr>
        <w:pStyle w:val="3"/>
        <w:spacing w:before="480" w:after="240" w:line="360" w:lineRule="auto"/>
        <w:rPr>
          <w:rFonts w:ascii="仿宋" w:hAnsi="仿宋" w:eastAsia="仿宋" w:cs="宋体"/>
          <w:kern w:val="0"/>
          <w:sz w:val="36"/>
        </w:rPr>
      </w:pPr>
      <w:bookmarkStart w:id="77" w:name="_Toc12313"/>
      <w:bookmarkStart w:id="78" w:name="_Toc443338965"/>
      <w:bookmarkStart w:id="79" w:name="_Toc13205"/>
      <w:r>
        <w:rPr>
          <w:rFonts w:hint="eastAsia" w:ascii="仿宋" w:hAnsi="仿宋" w:eastAsia="仿宋" w:cs="宋体"/>
          <w:kern w:val="0"/>
          <w:sz w:val="36"/>
        </w:rPr>
        <w:t>二、基本原则</w:t>
      </w:r>
      <w:bookmarkEnd w:id="77"/>
      <w:bookmarkEnd w:id="78"/>
      <w:bookmarkEnd w:id="79"/>
    </w:p>
    <w:p>
      <w:pPr>
        <w:widowControl/>
        <w:spacing w:beforeLines="50" w:afterLines="50" w:line="300" w:lineRule="auto"/>
        <w:ind w:firstLine="643" w:firstLineChars="200"/>
        <w:rPr>
          <w:rFonts w:ascii="仿宋" w:hAnsi="仿宋" w:eastAsia="仿宋" w:cs="宋体"/>
          <w:kern w:val="0"/>
          <w:sz w:val="32"/>
          <w:szCs w:val="32"/>
        </w:rPr>
      </w:pPr>
      <w:r>
        <w:rPr>
          <w:rFonts w:hint="eastAsia" w:ascii="仿宋" w:hAnsi="仿宋" w:eastAsia="仿宋" w:cs="宋体"/>
          <w:b/>
          <w:kern w:val="0"/>
          <w:sz w:val="32"/>
          <w:szCs w:val="32"/>
        </w:rPr>
        <w:t>坚持高端引领。</w:t>
      </w:r>
      <w:r>
        <w:rPr>
          <w:rFonts w:hint="eastAsia" w:ascii="仿宋" w:hAnsi="仿宋" w:eastAsia="仿宋" w:cs="宋体"/>
          <w:kern w:val="0"/>
          <w:sz w:val="32"/>
          <w:szCs w:val="32"/>
        </w:rPr>
        <w:t>综合考虑吉阳区的资源禀赋和综合承载能力，坚持国际化、高端化</w:t>
      </w:r>
      <w:r>
        <w:rPr>
          <w:rFonts w:hint="eastAsia" w:ascii="仿宋" w:hAnsi="仿宋" w:eastAsia="仿宋"/>
          <w:sz w:val="32"/>
          <w:szCs w:val="32"/>
        </w:rPr>
        <w:t>、精品化</w:t>
      </w:r>
      <w:r>
        <w:rPr>
          <w:rFonts w:hint="eastAsia" w:ascii="仿宋" w:hAnsi="仿宋" w:eastAsia="仿宋" w:cs="宋体"/>
          <w:kern w:val="0"/>
          <w:sz w:val="32"/>
          <w:szCs w:val="32"/>
        </w:rPr>
        <w:t>发展方向，</w:t>
      </w:r>
      <w:r>
        <w:rPr>
          <w:rFonts w:hint="eastAsia" w:ascii="仿宋" w:hAnsi="仿宋" w:eastAsia="仿宋"/>
          <w:sz w:val="32"/>
          <w:szCs w:val="32"/>
        </w:rPr>
        <w:t>以国际理念、一流标准、精品思维，精雕细琢做好城区建设，</w:t>
      </w:r>
      <w:r>
        <w:rPr>
          <w:rFonts w:hint="eastAsia" w:ascii="仿宋" w:hAnsi="仿宋" w:eastAsia="仿宋" w:cs="宋体"/>
          <w:kern w:val="0"/>
          <w:sz w:val="32"/>
          <w:szCs w:val="32"/>
        </w:rPr>
        <w:t>大力发展游艇帆船、公共外交、健康养生等高端旅游产品，着力提升城区品质，引领带动吉阳经济转型升级。</w:t>
      </w:r>
    </w:p>
    <w:p>
      <w:pPr>
        <w:widowControl/>
        <w:spacing w:beforeLines="50" w:afterLines="50" w:line="300" w:lineRule="auto"/>
        <w:ind w:firstLine="643" w:firstLineChars="200"/>
        <w:rPr>
          <w:rFonts w:ascii="仿宋" w:hAnsi="仿宋" w:eastAsia="仿宋" w:cs="宋体"/>
          <w:kern w:val="0"/>
          <w:sz w:val="32"/>
          <w:szCs w:val="32"/>
        </w:rPr>
      </w:pPr>
      <w:r>
        <w:rPr>
          <w:rFonts w:hint="eastAsia" w:ascii="仿宋" w:hAnsi="仿宋" w:eastAsia="仿宋" w:cs="宋体"/>
          <w:b/>
          <w:kern w:val="0"/>
          <w:sz w:val="32"/>
          <w:szCs w:val="32"/>
        </w:rPr>
        <w:t>坚持绿色低碳。</w:t>
      </w:r>
      <w:r>
        <w:rPr>
          <w:rFonts w:hint="eastAsia" w:ascii="仿宋" w:hAnsi="仿宋" w:eastAsia="仿宋" w:cs="宋体"/>
          <w:kern w:val="0"/>
          <w:sz w:val="32"/>
          <w:szCs w:val="32"/>
        </w:rPr>
        <w:t>全面落实绿色、低碳、集约、智慧等生态文明理念，将之融入城区建设发展的全过程和各方面，促进经济、社会、环境协调可持续发展。</w:t>
      </w:r>
    </w:p>
    <w:p>
      <w:pPr>
        <w:widowControl/>
        <w:spacing w:beforeLines="50" w:afterLines="50" w:line="300" w:lineRule="auto"/>
        <w:ind w:firstLine="643" w:firstLineChars="200"/>
        <w:rPr>
          <w:rFonts w:ascii="仿宋" w:hAnsi="仿宋" w:eastAsia="仿宋" w:cs="宋体"/>
          <w:kern w:val="0"/>
          <w:sz w:val="32"/>
          <w:szCs w:val="32"/>
        </w:rPr>
      </w:pPr>
      <w:r>
        <w:rPr>
          <w:rFonts w:hint="eastAsia" w:ascii="仿宋" w:hAnsi="仿宋" w:eastAsia="仿宋" w:cs="宋体"/>
          <w:b/>
          <w:kern w:val="0"/>
          <w:sz w:val="32"/>
          <w:szCs w:val="32"/>
        </w:rPr>
        <w:t>坚持城乡统筹。</w:t>
      </w:r>
      <w:r>
        <w:rPr>
          <w:rFonts w:hint="eastAsia" w:ascii="仿宋" w:hAnsi="仿宋" w:eastAsia="仿宋" w:cs="宋体"/>
          <w:kern w:val="0"/>
          <w:sz w:val="32"/>
          <w:szCs w:val="32"/>
        </w:rPr>
        <w:t>坚持把城市和乡村作为一个整体，在规划建设、产业发展、公共服务、生态环境、组织管理等方面统筹推进，使城乡资源要素相互融合、相互促进、相互服务，形成城乡一体、协同发展的良好态势。</w:t>
      </w:r>
    </w:p>
    <w:p>
      <w:pPr>
        <w:widowControl/>
        <w:spacing w:beforeLines="50" w:afterLines="50" w:line="300" w:lineRule="auto"/>
        <w:ind w:firstLine="643" w:firstLineChars="200"/>
        <w:rPr>
          <w:rFonts w:ascii="仿宋" w:hAnsi="仿宋" w:eastAsia="仿宋"/>
          <w:sz w:val="32"/>
          <w:szCs w:val="32"/>
        </w:rPr>
      </w:pPr>
      <w:r>
        <w:rPr>
          <w:rFonts w:hint="eastAsia" w:ascii="仿宋" w:hAnsi="仿宋" w:eastAsia="仿宋" w:cs="宋体"/>
          <w:b/>
          <w:kern w:val="0"/>
          <w:sz w:val="32"/>
          <w:szCs w:val="32"/>
        </w:rPr>
        <w:t>坚持开放创新。</w:t>
      </w:r>
      <w:r>
        <w:rPr>
          <w:rFonts w:hint="eastAsia" w:ascii="仿宋" w:hAnsi="仿宋" w:eastAsia="仿宋" w:cs="宋体"/>
          <w:kern w:val="0"/>
          <w:sz w:val="32"/>
          <w:szCs w:val="32"/>
        </w:rPr>
        <w:t>紧抓国家“一带一路”、海南深化“国际旅游岛”建设、琼南建设“大三亚旅游圈”等战略机遇，利用吉阳区相对突出的教育资源优势，以体制机制改革为抓手，以开放创新为动力，不断提高吉阳区对外开放、区域合作和创新创业水平，构建开放发展、融合发展、创新发展的新格局。</w:t>
      </w:r>
    </w:p>
    <w:p>
      <w:pPr>
        <w:widowControl/>
        <w:spacing w:beforeLines="50" w:afterLines="50" w:line="300" w:lineRule="auto"/>
        <w:ind w:firstLine="643" w:firstLineChars="200"/>
        <w:rPr>
          <w:rFonts w:ascii="仿宋" w:hAnsi="仿宋" w:eastAsia="仿宋"/>
          <w:sz w:val="32"/>
          <w:szCs w:val="32"/>
        </w:rPr>
      </w:pPr>
      <w:r>
        <w:rPr>
          <w:rFonts w:hint="eastAsia" w:ascii="仿宋" w:hAnsi="仿宋" w:eastAsia="仿宋"/>
          <w:b/>
          <w:sz w:val="32"/>
          <w:szCs w:val="32"/>
        </w:rPr>
        <w:t>坚持共享发展。</w:t>
      </w:r>
      <w:r>
        <w:rPr>
          <w:rFonts w:hint="eastAsia" w:ascii="仿宋" w:hAnsi="仿宋" w:eastAsia="仿宋"/>
          <w:sz w:val="32"/>
          <w:szCs w:val="32"/>
        </w:rPr>
        <w:t>把保障和改善民生作为吉阳区经济社会发展的出发点和落脚点，加快发展各项社会事业，不断完善基本公共服务，积极开展精准扶贫，全面提高居民生活水平和质量，使发展成果惠及全体人民。</w:t>
      </w:r>
    </w:p>
    <w:p>
      <w:pPr>
        <w:pStyle w:val="3"/>
        <w:spacing w:before="480" w:after="240" w:line="360" w:lineRule="auto"/>
        <w:rPr>
          <w:rFonts w:ascii="仿宋" w:hAnsi="仿宋" w:eastAsia="仿宋" w:cs="宋体"/>
          <w:kern w:val="0"/>
          <w:sz w:val="36"/>
        </w:rPr>
      </w:pPr>
      <w:bookmarkStart w:id="80" w:name="_Toc5907"/>
      <w:bookmarkStart w:id="81" w:name="_Toc23552"/>
      <w:bookmarkStart w:id="82" w:name="_Toc430344836"/>
      <w:bookmarkStart w:id="83" w:name="_Toc443338966"/>
      <w:bookmarkStart w:id="84" w:name="_Toc429164065"/>
      <w:r>
        <w:rPr>
          <w:rFonts w:hint="eastAsia" w:ascii="仿宋" w:hAnsi="仿宋" w:eastAsia="仿宋" w:cs="宋体"/>
          <w:kern w:val="0"/>
          <w:sz w:val="36"/>
        </w:rPr>
        <w:t>三、战略定位</w:t>
      </w:r>
      <w:bookmarkEnd w:id="80"/>
      <w:bookmarkEnd w:id="81"/>
      <w:bookmarkEnd w:id="82"/>
      <w:bookmarkEnd w:id="83"/>
    </w:p>
    <w:bookmarkEnd w:id="84"/>
    <w:p>
      <w:pPr>
        <w:ind w:firstLine="640" w:firstLineChars="200"/>
        <w:rPr>
          <w:rFonts w:ascii="仿宋" w:hAnsi="仿宋" w:eastAsia="仿宋" w:cs="宋体"/>
          <w:b/>
          <w:kern w:val="0"/>
          <w:sz w:val="32"/>
          <w:szCs w:val="32"/>
        </w:rPr>
      </w:pPr>
      <w:bookmarkStart w:id="85" w:name="_Toc429164066"/>
      <w:r>
        <w:rPr>
          <w:rFonts w:hint="eastAsia" w:ascii="仿宋" w:hAnsi="仿宋" w:eastAsia="仿宋" w:cs="宋体"/>
          <w:kern w:val="0"/>
          <w:sz w:val="32"/>
          <w:szCs w:val="32"/>
        </w:rPr>
        <w:t>根据吉阳区的资源禀赋和优势条件，对接三亚市的发展定位和总体目标，</w:t>
      </w:r>
      <w:r>
        <w:rPr>
          <w:rFonts w:hint="eastAsia" w:ascii="仿宋" w:hAnsi="仿宋" w:eastAsia="仿宋"/>
          <w:sz w:val="32"/>
          <w:szCs w:val="32"/>
        </w:rPr>
        <w:t>吉阳区在“十三五”期间的战略定位可以简要归纳为</w:t>
      </w:r>
      <w:r>
        <w:rPr>
          <w:rFonts w:hint="eastAsia" w:ascii="仿宋" w:hAnsi="仿宋" w:eastAsia="仿宋"/>
          <w:b/>
          <w:sz w:val="32"/>
          <w:szCs w:val="32"/>
        </w:rPr>
        <w:t>“四区”</w:t>
      </w:r>
      <w:r>
        <w:rPr>
          <w:rFonts w:hint="eastAsia" w:ascii="仿宋" w:hAnsi="仿宋" w:eastAsia="仿宋"/>
          <w:sz w:val="32"/>
          <w:szCs w:val="32"/>
        </w:rPr>
        <w:t>：</w:t>
      </w:r>
      <w:r>
        <w:rPr>
          <w:rFonts w:hint="eastAsia" w:ascii="仿宋" w:hAnsi="仿宋" w:eastAsia="仿宋"/>
          <w:b/>
          <w:sz w:val="32"/>
          <w:szCs w:val="32"/>
        </w:rPr>
        <w:t>高端旅游核心区、精品城市示范区、创新创业引领区、金融商务中心区</w:t>
      </w:r>
      <w:r>
        <w:rPr>
          <w:rFonts w:hint="eastAsia" w:ascii="仿宋" w:hAnsi="仿宋" w:eastAsia="仿宋" w:cs="宋体"/>
          <w:b/>
          <w:kern w:val="0"/>
          <w:sz w:val="32"/>
          <w:szCs w:val="32"/>
        </w:rPr>
        <w:t>。</w:t>
      </w:r>
    </w:p>
    <w:bookmarkEnd w:id="85"/>
    <w:p>
      <w:pPr>
        <w:widowControl/>
        <w:tabs>
          <w:tab w:val="left" w:pos="3484"/>
        </w:tabs>
        <w:spacing w:beforeLines="50" w:afterLines="50" w:line="300" w:lineRule="auto"/>
        <w:ind w:firstLine="643" w:firstLineChars="200"/>
        <w:rPr>
          <w:rFonts w:ascii="仿宋" w:hAnsi="仿宋" w:eastAsia="仿宋" w:cs="宋体"/>
          <w:kern w:val="0"/>
          <w:sz w:val="32"/>
          <w:szCs w:val="32"/>
        </w:rPr>
      </w:pPr>
      <w:r>
        <w:rPr>
          <w:rFonts w:hint="eastAsia" w:ascii="仿宋" w:hAnsi="仿宋" w:eastAsia="仿宋" w:cs="宋体"/>
          <w:b/>
          <w:kern w:val="0"/>
          <w:sz w:val="32"/>
          <w:szCs w:val="32"/>
        </w:rPr>
        <w:t>高端旅游核心区</w:t>
      </w:r>
      <w:r>
        <w:rPr>
          <w:rFonts w:hint="eastAsia" w:ascii="仿宋" w:hAnsi="仿宋" w:eastAsia="仿宋" w:cs="宋体"/>
          <w:kern w:val="0"/>
          <w:sz w:val="32"/>
          <w:szCs w:val="32"/>
        </w:rPr>
        <w:t>。按照三亚打造旅游</w:t>
      </w:r>
      <w:r>
        <w:rPr>
          <w:rFonts w:ascii="仿宋" w:hAnsi="仿宋" w:eastAsia="仿宋" w:cs="宋体"/>
          <w:kern w:val="0"/>
          <w:sz w:val="32"/>
          <w:szCs w:val="32"/>
        </w:rPr>
        <w:t>3.0</w:t>
      </w:r>
      <w:r>
        <w:rPr>
          <w:rFonts w:hint="eastAsia" w:ascii="仿宋" w:hAnsi="仿宋" w:eastAsia="仿宋" w:cs="宋体"/>
          <w:kern w:val="0"/>
          <w:sz w:val="32"/>
          <w:szCs w:val="32"/>
        </w:rPr>
        <w:t>的要求，改造提升传统景区，规划建设新景区，积极培育和做大做强健康养生、外交休闲、海洋旅游、运动休闲等高端旅游产品，提升完善区域旅游配套和国际化服务水平，打造三亚高端旅游核心区。</w:t>
      </w:r>
    </w:p>
    <w:p>
      <w:pPr>
        <w:widowControl/>
        <w:spacing w:beforeLines="50" w:afterLines="50" w:line="300" w:lineRule="auto"/>
        <w:ind w:firstLine="643" w:firstLineChars="200"/>
        <w:rPr>
          <w:rFonts w:ascii="仿宋" w:hAnsi="仿宋" w:eastAsia="仿宋" w:cs="宋体"/>
          <w:b/>
          <w:kern w:val="0"/>
          <w:sz w:val="32"/>
          <w:szCs w:val="32"/>
        </w:rPr>
      </w:pPr>
      <w:r>
        <w:rPr>
          <w:rFonts w:hint="eastAsia" w:ascii="仿宋" w:hAnsi="仿宋" w:eastAsia="仿宋"/>
          <w:b/>
          <w:sz w:val="32"/>
          <w:szCs w:val="32"/>
        </w:rPr>
        <w:t>精品城市示范区</w:t>
      </w:r>
      <w:r>
        <w:rPr>
          <w:rFonts w:hint="eastAsia" w:ascii="仿宋" w:hAnsi="仿宋" w:eastAsia="仿宋" w:cs="宋体"/>
          <w:b/>
          <w:kern w:val="0"/>
          <w:sz w:val="32"/>
          <w:szCs w:val="32"/>
        </w:rPr>
        <w:t>。</w:t>
      </w:r>
      <w:r>
        <w:rPr>
          <w:rFonts w:hint="eastAsia" w:ascii="仿宋" w:hAnsi="仿宋" w:eastAsia="仿宋" w:cs="宋体"/>
          <w:kern w:val="0"/>
          <w:sz w:val="32"/>
          <w:szCs w:val="32"/>
        </w:rPr>
        <w:t>着力提升城区规划建设水平，在“塑精品、上档次”上下工夫，加快完成大东海、鹿回头、白鹭公园、临春岭公园等城市公园、绿地广场的升级改造，着力建设东岸、高园、红树林等一批湿地公园，把吉阳区建设成为国际化精品旅游城市示范区，体现三亚现代风貌的重要窗口，广纳四海宾朋的“精美城市客厅”。</w:t>
      </w:r>
    </w:p>
    <w:p>
      <w:pPr>
        <w:widowControl/>
        <w:spacing w:beforeLines="50" w:afterLines="50" w:line="300" w:lineRule="auto"/>
        <w:ind w:firstLine="643" w:firstLineChars="200"/>
        <w:rPr>
          <w:rFonts w:ascii="仿宋" w:hAnsi="仿宋" w:eastAsia="仿宋" w:cs="宋体"/>
          <w:b/>
          <w:kern w:val="0"/>
          <w:sz w:val="32"/>
          <w:szCs w:val="32"/>
        </w:rPr>
      </w:pPr>
      <w:r>
        <w:rPr>
          <w:rFonts w:hint="eastAsia" w:ascii="仿宋" w:hAnsi="仿宋" w:eastAsia="仿宋" w:cs="宋体"/>
          <w:b/>
          <w:kern w:val="0"/>
          <w:sz w:val="32"/>
          <w:szCs w:val="32"/>
        </w:rPr>
        <w:t>创新创业引领区</w:t>
      </w:r>
      <w:r>
        <w:rPr>
          <w:rFonts w:hint="eastAsia" w:ascii="仿宋" w:hAnsi="仿宋" w:eastAsia="仿宋" w:cs="宋体"/>
          <w:kern w:val="0"/>
          <w:sz w:val="32"/>
          <w:szCs w:val="32"/>
        </w:rPr>
        <w:t>。依托</w:t>
      </w:r>
      <w:r>
        <w:rPr>
          <w:rFonts w:hint="eastAsia" w:ascii="仿宋" w:hAnsi="仿宋" w:eastAsia="仿宋"/>
          <w:sz w:val="32"/>
          <w:szCs w:val="32"/>
        </w:rPr>
        <w:t>三亚学院、琼州学院、</w:t>
      </w:r>
      <w:r>
        <w:rPr>
          <w:rFonts w:hint="eastAsia" w:ascii="仿宋" w:hAnsi="仿宋" w:eastAsia="仿宋" w:cs="宋体"/>
          <w:kern w:val="0"/>
          <w:sz w:val="32"/>
          <w:szCs w:val="32"/>
        </w:rPr>
        <w:t>三亚云港、动漫城等高校和创新创业载体，积极推进“大众创新、万众创业”，打造引领三亚创新发展和转型升级的创新创业高地。</w:t>
      </w:r>
    </w:p>
    <w:p>
      <w:pPr>
        <w:widowControl/>
        <w:spacing w:beforeLines="50" w:afterLines="50" w:line="300" w:lineRule="auto"/>
        <w:ind w:firstLine="643" w:firstLineChars="200"/>
        <w:rPr>
          <w:rFonts w:ascii="仿宋" w:hAnsi="仿宋" w:eastAsia="仿宋"/>
          <w:sz w:val="32"/>
          <w:szCs w:val="32"/>
        </w:rPr>
      </w:pPr>
      <w:r>
        <w:rPr>
          <w:rFonts w:hint="eastAsia" w:ascii="仿宋" w:hAnsi="仿宋" w:eastAsia="仿宋" w:cs="宋体"/>
          <w:b/>
          <w:kern w:val="0"/>
          <w:sz w:val="32"/>
          <w:szCs w:val="32"/>
        </w:rPr>
        <w:t>金融商务中心区</w:t>
      </w:r>
      <w:r>
        <w:rPr>
          <w:rFonts w:hint="eastAsia" w:ascii="仿宋" w:hAnsi="仿宋" w:eastAsia="仿宋" w:cs="宋体"/>
          <w:kern w:val="0"/>
          <w:sz w:val="32"/>
          <w:szCs w:val="32"/>
        </w:rPr>
        <w:t>。立足较好的总部经济和金融发展基础，积极发挥吉阳区自身优势，进一步优化商务金融环境，大力吸引各类企业总部以及金融、保险、法律、咨询、中介、传媒等高端商务服务机构落户吉阳，打造服务于三亚未来发展的金融商务中心区。</w:t>
      </w:r>
    </w:p>
    <w:p>
      <w:pPr>
        <w:pStyle w:val="3"/>
        <w:spacing w:before="480" w:after="240" w:line="360" w:lineRule="auto"/>
        <w:rPr>
          <w:rFonts w:ascii="仿宋" w:hAnsi="仿宋" w:eastAsia="仿宋" w:cs="宋体"/>
          <w:kern w:val="0"/>
          <w:sz w:val="36"/>
        </w:rPr>
      </w:pPr>
      <w:bookmarkStart w:id="86" w:name="_Toc2419"/>
      <w:bookmarkStart w:id="87" w:name="_Toc430344837"/>
      <w:bookmarkStart w:id="88" w:name="_Toc24118"/>
      <w:bookmarkStart w:id="89" w:name="_Toc443338967"/>
      <w:r>
        <w:rPr>
          <w:rFonts w:hint="eastAsia" w:ascii="仿宋" w:hAnsi="仿宋" w:eastAsia="仿宋" w:cs="宋体"/>
          <w:kern w:val="0"/>
          <w:sz w:val="36"/>
        </w:rPr>
        <w:t>四、发展目标</w:t>
      </w:r>
      <w:bookmarkEnd w:id="86"/>
      <w:bookmarkEnd w:id="87"/>
      <w:bookmarkEnd w:id="88"/>
      <w:bookmarkEnd w:id="89"/>
    </w:p>
    <w:p>
      <w:pPr>
        <w:ind w:firstLine="646" w:firstLineChars="202"/>
        <w:rPr>
          <w:rFonts w:ascii="仿宋" w:hAnsi="仿宋" w:eastAsia="仿宋"/>
          <w:sz w:val="32"/>
          <w:szCs w:val="32"/>
        </w:rPr>
      </w:pPr>
      <w:r>
        <w:rPr>
          <w:rFonts w:hint="eastAsia" w:ascii="仿宋" w:hAnsi="仿宋" w:eastAsia="仿宋"/>
          <w:sz w:val="32"/>
          <w:szCs w:val="32"/>
        </w:rPr>
        <w:t>“十三五”时期，吉阳区经济社会发展目标是：经济保持健康快速发展，综合实力和创新活力进一步提升，城乡居民生活明显改善，精品城区建设取得新成效，到</w:t>
      </w:r>
      <w:r>
        <w:rPr>
          <w:rFonts w:ascii="仿宋" w:hAnsi="仿宋" w:eastAsia="仿宋"/>
          <w:sz w:val="32"/>
          <w:szCs w:val="32"/>
        </w:rPr>
        <w:t>2020</w:t>
      </w:r>
      <w:r>
        <w:rPr>
          <w:rFonts w:hint="eastAsia" w:ascii="仿宋" w:hAnsi="仿宋" w:eastAsia="仿宋"/>
          <w:sz w:val="32"/>
          <w:szCs w:val="32"/>
        </w:rPr>
        <w:t>年全区地区生产总值和城乡居民人均收入比</w:t>
      </w:r>
      <w:r>
        <w:rPr>
          <w:rFonts w:ascii="仿宋" w:hAnsi="仿宋" w:eastAsia="仿宋"/>
          <w:sz w:val="32"/>
          <w:szCs w:val="32"/>
        </w:rPr>
        <w:t>2010</w:t>
      </w:r>
      <w:r>
        <w:rPr>
          <w:rFonts w:hint="eastAsia" w:ascii="仿宋" w:hAnsi="仿宋" w:eastAsia="仿宋"/>
          <w:sz w:val="32"/>
          <w:szCs w:val="32"/>
        </w:rPr>
        <w:t>年翻一番，全面建成小康社会和实力吉阳、活力吉阳、魅力吉阳、幸福吉阳。具体如下：</w:t>
      </w:r>
    </w:p>
    <w:p>
      <w:pPr>
        <w:ind w:firstLine="646" w:firstLineChars="202"/>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实力吉阳：以经济结构调整为主线，以重点项目为驱动，以科技创新为支撑，不断提高经济发展的综合竞争力，力争地区生产总值年均增长</w:t>
      </w:r>
      <w:r>
        <w:rPr>
          <w:rFonts w:ascii="仿宋" w:hAnsi="仿宋" w:eastAsia="仿宋"/>
          <w:sz w:val="32"/>
          <w:szCs w:val="32"/>
        </w:rPr>
        <w:t>8%</w:t>
      </w:r>
      <w:r>
        <w:rPr>
          <w:rFonts w:hint="eastAsia" w:ascii="仿宋" w:hAnsi="仿宋" w:eastAsia="仿宋"/>
          <w:sz w:val="32"/>
          <w:szCs w:val="32"/>
        </w:rPr>
        <w:t>左右，高于全市平均水平。</w:t>
      </w:r>
    </w:p>
    <w:p>
      <w:pPr>
        <w:ind w:firstLine="646" w:firstLineChars="202"/>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活力吉阳：通过改革创新，不断释放体制机制的活力，增强发展的内生动力，培育包容开放、朝气蓬勃的精神风貌，努力打造富有创造力、品牌知名度和区域影响力不断扩大的活力城区。</w:t>
      </w:r>
    </w:p>
    <w:p>
      <w:pPr>
        <w:ind w:firstLine="646" w:firstLineChars="202"/>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魅力吉阳：以新型城镇化建设为平台，以建设风情小镇、美丽乡村为抓手，以建设精品城区为目标，不断优化城乡人居环境和公共服务，打造安全舒适、优美静谧、乐游宜居、近悦远来的魅力城区。</w:t>
      </w:r>
    </w:p>
    <w:p>
      <w:pPr>
        <w:ind w:firstLine="646" w:firstLineChars="202"/>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幸福吉阳：城乡居民人均收入在全市居于领先水平，社会保障体系不断完善，基本公共服务均等化程度和服务质量显著提升，农村贫困人口全部脱贫，人民生活水平明显提高。</w:t>
      </w:r>
    </w:p>
    <w:p>
      <w:pPr>
        <w:spacing w:beforeLines="50" w:afterLines="50" w:line="300" w:lineRule="auto"/>
        <w:ind w:firstLine="482" w:firstLineChars="200"/>
        <w:jc w:val="center"/>
        <w:rPr>
          <w:rFonts w:ascii="黑体" w:hAnsi="黑体" w:eastAsia="黑体"/>
          <w:b/>
          <w:bCs/>
          <w:kern w:val="0"/>
          <w:sz w:val="24"/>
          <w:szCs w:val="24"/>
        </w:rPr>
      </w:pPr>
      <w:r>
        <w:rPr>
          <w:rFonts w:hint="eastAsia" w:ascii="黑体" w:hAnsi="黑体" w:eastAsia="黑体" w:cs="黑体"/>
          <w:b/>
          <w:bCs/>
          <w:kern w:val="0"/>
          <w:sz w:val="24"/>
          <w:szCs w:val="24"/>
        </w:rPr>
        <w:t>表</w:t>
      </w:r>
      <w:r>
        <w:rPr>
          <w:rFonts w:ascii="黑体" w:hAnsi="黑体" w:eastAsia="黑体" w:cs="黑体"/>
          <w:b/>
          <w:bCs/>
          <w:kern w:val="0"/>
          <w:sz w:val="24"/>
          <w:szCs w:val="24"/>
        </w:rPr>
        <w:t xml:space="preserve">1 </w:t>
      </w:r>
      <w:r>
        <w:rPr>
          <w:rFonts w:hint="eastAsia" w:ascii="黑体" w:hAnsi="黑体" w:eastAsia="黑体" w:cs="黑体"/>
          <w:b/>
          <w:bCs/>
          <w:kern w:val="0"/>
          <w:sz w:val="24"/>
          <w:szCs w:val="24"/>
        </w:rPr>
        <w:t>吉阳区“十三五”时期经济社会发展目标</w:t>
      </w:r>
    </w:p>
    <w:tbl>
      <w:tblPr>
        <w:tblStyle w:val="26"/>
        <w:tblW w:w="884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19"/>
        <w:gridCol w:w="549"/>
        <w:gridCol w:w="3171"/>
        <w:gridCol w:w="993"/>
        <w:gridCol w:w="1134"/>
        <w:gridCol w:w="1316"/>
        <w:gridCol w:w="116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9" w:hRule="atLeast"/>
          <w:tblHeader/>
          <w:jc w:val="center"/>
        </w:trPr>
        <w:tc>
          <w:tcPr>
            <w:tcW w:w="519" w:type="dxa"/>
            <w:vAlign w:val="center"/>
          </w:tcPr>
          <w:p>
            <w:pPr>
              <w:rPr>
                <w:b/>
                <w:bCs/>
                <w:kern w:val="0"/>
              </w:rPr>
            </w:pPr>
            <w:r>
              <w:rPr>
                <w:rFonts w:hint="eastAsia" w:cs="宋体"/>
                <w:b/>
                <w:bCs/>
                <w:kern w:val="0"/>
              </w:rPr>
              <w:t>分类</w:t>
            </w:r>
          </w:p>
        </w:tc>
        <w:tc>
          <w:tcPr>
            <w:tcW w:w="549" w:type="dxa"/>
            <w:vAlign w:val="center"/>
          </w:tcPr>
          <w:p>
            <w:pPr>
              <w:rPr>
                <w:b/>
                <w:bCs/>
                <w:kern w:val="0"/>
              </w:rPr>
            </w:pPr>
            <w:r>
              <w:rPr>
                <w:rFonts w:hint="eastAsia" w:cs="宋体"/>
                <w:b/>
                <w:bCs/>
                <w:kern w:val="0"/>
              </w:rPr>
              <w:t>序号</w:t>
            </w:r>
          </w:p>
        </w:tc>
        <w:tc>
          <w:tcPr>
            <w:tcW w:w="3171" w:type="dxa"/>
            <w:vAlign w:val="center"/>
          </w:tcPr>
          <w:p>
            <w:pPr>
              <w:rPr>
                <w:b/>
                <w:bCs/>
                <w:kern w:val="0"/>
              </w:rPr>
            </w:pPr>
            <w:r>
              <w:rPr>
                <w:rFonts w:hint="eastAsia" w:cs="宋体"/>
                <w:b/>
                <w:bCs/>
                <w:kern w:val="0"/>
              </w:rPr>
              <w:t>指标名称</w:t>
            </w:r>
          </w:p>
        </w:tc>
        <w:tc>
          <w:tcPr>
            <w:tcW w:w="993" w:type="dxa"/>
            <w:vAlign w:val="center"/>
          </w:tcPr>
          <w:p>
            <w:pPr>
              <w:rPr>
                <w:b/>
                <w:bCs/>
                <w:kern w:val="0"/>
              </w:rPr>
            </w:pPr>
            <w:r>
              <w:rPr>
                <w:b/>
                <w:bCs/>
                <w:kern w:val="0"/>
              </w:rPr>
              <w:t>2014</w:t>
            </w:r>
            <w:r>
              <w:rPr>
                <w:rFonts w:hint="eastAsia" w:cs="宋体"/>
                <w:b/>
                <w:bCs/>
                <w:kern w:val="0"/>
              </w:rPr>
              <w:t>年</w:t>
            </w:r>
          </w:p>
        </w:tc>
        <w:tc>
          <w:tcPr>
            <w:tcW w:w="1134" w:type="dxa"/>
            <w:tcBorders>
              <w:right w:val="single" w:color="auto" w:sz="4" w:space="0"/>
            </w:tcBorders>
            <w:vAlign w:val="center"/>
          </w:tcPr>
          <w:p>
            <w:pPr>
              <w:rPr>
                <w:b/>
                <w:bCs/>
                <w:kern w:val="0"/>
              </w:rPr>
            </w:pPr>
            <w:r>
              <w:rPr>
                <w:b/>
                <w:bCs/>
                <w:kern w:val="0"/>
              </w:rPr>
              <w:t>2020</w:t>
            </w:r>
            <w:r>
              <w:rPr>
                <w:rFonts w:hint="eastAsia" w:cs="宋体"/>
                <w:b/>
                <w:bCs/>
                <w:kern w:val="0"/>
              </w:rPr>
              <w:t>年</w:t>
            </w:r>
          </w:p>
        </w:tc>
        <w:tc>
          <w:tcPr>
            <w:tcW w:w="1316" w:type="dxa"/>
            <w:tcBorders>
              <w:left w:val="single" w:color="auto" w:sz="4" w:space="0"/>
            </w:tcBorders>
            <w:vAlign w:val="center"/>
          </w:tcPr>
          <w:p>
            <w:pPr>
              <w:rPr>
                <w:b/>
                <w:bCs/>
                <w:spacing w:val="-6"/>
                <w:kern w:val="0"/>
              </w:rPr>
            </w:pPr>
            <w:r>
              <w:rPr>
                <w:rFonts w:hint="eastAsia" w:cs="宋体"/>
                <w:b/>
                <w:bCs/>
                <w:spacing w:val="-6"/>
                <w:kern w:val="0"/>
              </w:rPr>
              <w:t>年均增长率</w:t>
            </w:r>
          </w:p>
        </w:tc>
        <w:tc>
          <w:tcPr>
            <w:tcW w:w="1163" w:type="dxa"/>
            <w:vAlign w:val="center"/>
          </w:tcPr>
          <w:p>
            <w:pPr>
              <w:rPr>
                <w:b/>
                <w:bCs/>
                <w:spacing w:val="-6"/>
                <w:kern w:val="0"/>
              </w:rPr>
            </w:pPr>
            <w:r>
              <w:rPr>
                <w:rFonts w:hint="eastAsia" w:cs="宋体"/>
                <w:b/>
                <w:bCs/>
                <w:spacing w:val="-6"/>
                <w:kern w:val="0"/>
              </w:rPr>
              <w:t>指标属性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jc w:val="center"/>
        </w:trPr>
        <w:tc>
          <w:tcPr>
            <w:tcW w:w="519" w:type="dxa"/>
            <w:vMerge w:val="restart"/>
            <w:vAlign w:val="center"/>
          </w:tcPr>
          <w:p>
            <w:pPr>
              <w:rPr>
                <w:rFonts w:cs="宋体"/>
                <w:kern w:val="0"/>
              </w:rPr>
            </w:pPr>
            <w:r>
              <w:rPr>
                <w:rFonts w:hint="eastAsia" w:cs="宋体"/>
                <w:kern w:val="0"/>
              </w:rPr>
              <w:t>实力</w:t>
            </w:r>
          </w:p>
          <w:p>
            <w:pPr>
              <w:rPr>
                <w:kern w:val="0"/>
              </w:rPr>
            </w:pPr>
            <w:r>
              <w:rPr>
                <w:rFonts w:hint="eastAsia" w:cs="宋体"/>
                <w:kern w:val="0"/>
              </w:rPr>
              <w:t>吉阳</w:t>
            </w:r>
          </w:p>
        </w:tc>
        <w:tc>
          <w:tcPr>
            <w:tcW w:w="549" w:type="dxa"/>
            <w:vAlign w:val="center"/>
          </w:tcPr>
          <w:p>
            <w:pPr>
              <w:rPr>
                <w:kern w:val="0"/>
              </w:rPr>
            </w:pPr>
            <w:r>
              <w:rPr>
                <w:kern w:val="0"/>
              </w:rPr>
              <w:t>1</w:t>
            </w:r>
          </w:p>
        </w:tc>
        <w:tc>
          <w:tcPr>
            <w:tcW w:w="3171" w:type="dxa"/>
            <w:vAlign w:val="center"/>
          </w:tcPr>
          <w:p>
            <w:pPr>
              <w:rPr>
                <w:kern w:val="0"/>
              </w:rPr>
            </w:pPr>
            <w:r>
              <w:rPr>
                <w:rFonts w:hint="eastAsia" w:cs="宋体"/>
                <w:kern w:val="0"/>
              </w:rPr>
              <w:t>地区生产总值（亿元）</w:t>
            </w:r>
          </w:p>
        </w:tc>
        <w:tc>
          <w:tcPr>
            <w:tcW w:w="993" w:type="dxa"/>
            <w:vAlign w:val="center"/>
          </w:tcPr>
          <w:p>
            <w:pPr>
              <w:rPr>
                <w:kern w:val="0"/>
              </w:rPr>
            </w:pPr>
            <w:r>
              <w:rPr>
                <w:kern w:val="0"/>
              </w:rPr>
              <w:t>184.85</w:t>
            </w:r>
          </w:p>
        </w:tc>
        <w:tc>
          <w:tcPr>
            <w:tcW w:w="1134" w:type="dxa"/>
            <w:tcBorders>
              <w:right w:val="single" w:color="auto" w:sz="4" w:space="0"/>
            </w:tcBorders>
            <w:vAlign w:val="center"/>
          </w:tcPr>
          <w:p>
            <w:pPr>
              <w:rPr>
                <w:kern w:val="0"/>
              </w:rPr>
            </w:pPr>
            <w:r>
              <w:rPr>
                <w:kern w:val="0"/>
              </w:rPr>
              <w:t>290</w:t>
            </w:r>
          </w:p>
        </w:tc>
        <w:tc>
          <w:tcPr>
            <w:tcW w:w="1316" w:type="dxa"/>
            <w:tcBorders>
              <w:left w:val="single" w:color="auto" w:sz="4" w:space="0"/>
            </w:tcBorders>
            <w:vAlign w:val="center"/>
          </w:tcPr>
          <w:p>
            <w:pPr>
              <w:rPr>
                <w:kern w:val="0"/>
              </w:rPr>
            </w:pPr>
            <w:r>
              <w:rPr>
                <w:kern w:val="0"/>
              </w:rPr>
              <w:t>8%</w:t>
            </w:r>
          </w:p>
        </w:tc>
        <w:tc>
          <w:tcPr>
            <w:tcW w:w="1163" w:type="dxa"/>
            <w:vMerge w:val="restart"/>
            <w:vAlign w:val="center"/>
          </w:tcPr>
          <w:p>
            <w:pPr>
              <w:rPr>
                <w:kern w:val="0"/>
              </w:rPr>
            </w:pPr>
            <w:r>
              <w:rPr>
                <w:rFonts w:hint="eastAsia" w:cs="宋体"/>
                <w:kern w:val="0"/>
              </w:rPr>
              <w:t>预期性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19" w:type="dxa"/>
            <w:vMerge w:val="continue"/>
            <w:vAlign w:val="center"/>
          </w:tcPr>
          <w:p>
            <w:pPr>
              <w:rPr>
                <w:kern w:val="0"/>
              </w:rPr>
            </w:pPr>
          </w:p>
        </w:tc>
        <w:tc>
          <w:tcPr>
            <w:tcW w:w="549" w:type="dxa"/>
            <w:vAlign w:val="center"/>
          </w:tcPr>
          <w:p>
            <w:pPr>
              <w:rPr>
                <w:kern w:val="0"/>
              </w:rPr>
            </w:pPr>
            <w:r>
              <w:rPr>
                <w:kern w:val="0"/>
              </w:rPr>
              <w:t>2</w:t>
            </w:r>
          </w:p>
        </w:tc>
        <w:tc>
          <w:tcPr>
            <w:tcW w:w="3171" w:type="dxa"/>
            <w:vAlign w:val="center"/>
          </w:tcPr>
          <w:p>
            <w:pPr>
              <w:rPr>
                <w:kern w:val="0"/>
              </w:rPr>
            </w:pPr>
            <w:r>
              <w:rPr>
                <w:rFonts w:hint="eastAsia" w:cs="宋体"/>
                <w:kern w:val="0"/>
              </w:rPr>
              <w:t>人均地区生产总值（元）</w:t>
            </w:r>
          </w:p>
        </w:tc>
        <w:tc>
          <w:tcPr>
            <w:tcW w:w="993" w:type="dxa"/>
            <w:vAlign w:val="center"/>
          </w:tcPr>
          <w:p>
            <w:pPr>
              <w:rPr>
                <w:kern w:val="0"/>
              </w:rPr>
            </w:pPr>
            <w:r>
              <w:rPr>
                <w:kern w:val="0"/>
              </w:rPr>
              <w:t>60010</w:t>
            </w:r>
          </w:p>
        </w:tc>
        <w:tc>
          <w:tcPr>
            <w:tcW w:w="1134" w:type="dxa"/>
            <w:tcBorders>
              <w:right w:val="single" w:color="auto" w:sz="4" w:space="0"/>
            </w:tcBorders>
            <w:vAlign w:val="center"/>
          </w:tcPr>
          <w:p>
            <w:pPr>
              <w:rPr>
                <w:kern w:val="0"/>
              </w:rPr>
            </w:pPr>
            <w:r>
              <w:rPr>
                <w:kern w:val="0"/>
              </w:rPr>
              <w:t>85000</w:t>
            </w:r>
          </w:p>
        </w:tc>
        <w:tc>
          <w:tcPr>
            <w:tcW w:w="1316" w:type="dxa"/>
            <w:tcBorders>
              <w:left w:val="single" w:color="auto" w:sz="4" w:space="0"/>
            </w:tcBorders>
            <w:vAlign w:val="center"/>
          </w:tcPr>
          <w:p>
            <w:pPr>
              <w:rPr>
                <w:kern w:val="0"/>
              </w:rPr>
            </w:pPr>
            <w:r>
              <w:rPr>
                <w:kern w:val="0"/>
              </w:rPr>
              <w:t>6%</w:t>
            </w:r>
          </w:p>
        </w:tc>
        <w:tc>
          <w:tcPr>
            <w:tcW w:w="1163" w:type="dxa"/>
            <w:vMerge w:val="continue"/>
            <w:vAlign w:val="center"/>
          </w:tcPr>
          <w:p>
            <w:pPr>
              <w:rPr>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19" w:type="dxa"/>
            <w:vMerge w:val="continue"/>
            <w:vAlign w:val="center"/>
          </w:tcPr>
          <w:p>
            <w:pPr>
              <w:rPr>
                <w:kern w:val="0"/>
              </w:rPr>
            </w:pPr>
          </w:p>
        </w:tc>
        <w:tc>
          <w:tcPr>
            <w:tcW w:w="549" w:type="dxa"/>
            <w:vAlign w:val="center"/>
          </w:tcPr>
          <w:p>
            <w:pPr>
              <w:rPr>
                <w:kern w:val="0"/>
              </w:rPr>
            </w:pPr>
            <w:r>
              <w:rPr>
                <w:kern w:val="0"/>
              </w:rPr>
              <w:t>3</w:t>
            </w:r>
          </w:p>
        </w:tc>
        <w:tc>
          <w:tcPr>
            <w:tcW w:w="3171" w:type="dxa"/>
            <w:vAlign w:val="center"/>
          </w:tcPr>
          <w:p>
            <w:pPr>
              <w:rPr>
                <w:kern w:val="0"/>
              </w:rPr>
            </w:pPr>
            <w:r>
              <w:rPr>
                <w:rFonts w:hint="eastAsia" w:cs="宋体"/>
                <w:kern w:val="0"/>
              </w:rPr>
              <w:t>第三产业占</w:t>
            </w:r>
            <w:r>
              <w:rPr>
                <w:kern w:val="0"/>
              </w:rPr>
              <w:t>GDP</w:t>
            </w:r>
            <w:r>
              <w:rPr>
                <w:rFonts w:hint="eastAsia" w:cs="宋体"/>
                <w:kern w:val="0"/>
              </w:rPr>
              <w:t>的比重（</w:t>
            </w:r>
            <w:r>
              <w:rPr>
                <w:kern w:val="0"/>
              </w:rPr>
              <w:t>%</w:t>
            </w:r>
            <w:r>
              <w:rPr>
                <w:rFonts w:hint="eastAsia" w:cs="宋体"/>
                <w:kern w:val="0"/>
              </w:rPr>
              <w:t>）</w:t>
            </w:r>
          </w:p>
        </w:tc>
        <w:tc>
          <w:tcPr>
            <w:tcW w:w="993" w:type="dxa"/>
            <w:vAlign w:val="center"/>
          </w:tcPr>
          <w:p>
            <w:pPr>
              <w:rPr>
                <w:kern w:val="0"/>
              </w:rPr>
            </w:pPr>
            <w:r>
              <w:rPr>
                <w:kern w:val="0"/>
              </w:rPr>
              <w:t>76.1</w:t>
            </w:r>
          </w:p>
        </w:tc>
        <w:tc>
          <w:tcPr>
            <w:tcW w:w="1134" w:type="dxa"/>
            <w:tcBorders>
              <w:right w:val="single" w:color="auto" w:sz="4" w:space="0"/>
            </w:tcBorders>
            <w:vAlign w:val="center"/>
          </w:tcPr>
          <w:p>
            <w:pPr>
              <w:rPr>
                <w:kern w:val="0"/>
              </w:rPr>
            </w:pPr>
            <w:r>
              <w:rPr>
                <w:kern w:val="0"/>
              </w:rPr>
              <w:t>76.5</w:t>
            </w:r>
          </w:p>
        </w:tc>
        <w:tc>
          <w:tcPr>
            <w:tcW w:w="1316" w:type="dxa"/>
            <w:tcBorders>
              <w:left w:val="single" w:color="auto" w:sz="4" w:space="0"/>
            </w:tcBorders>
            <w:vAlign w:val="center"/>
          </w:tcPr>
          <w:p>
            <w:pPr>
              <w:rPr>
                <w:kern w:val="0"/>
              </w:rPr>
            </w:pPr>
          </w:p>
        </w:tc>
        <w:tc>
          <w:tcPr>
            <w:tcW w:w="1163" w:type="dxa"/>
            <w:vMerge w:val="continue"/>
            <w:vAlign w:val="center"/>
          </w:tcPr>
          <w:p>
            <w:pPr>
              <w:rPr>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19" w:type="dxa"/>
            <w:vMerge w:val="continue"/>
            <w:vAlign w:val="center"/>
          </w:tcPr>
          <w:p>
            <w:pPr>
              <w:rPr>
                <w:kern w:val="0"/>
              </w:rPr>
            </w:pPr>
          </w:p>
        </w:tc>
        <w:tc>
          <w:tcPr>
            <w:tcW w:w="549" w:type="dxa"/>
            <w:vAlign w:val="center"/>
          </w:tcPr>
          <w:p>
            <w:pPr>
              <w:rPr>
                <w:kern w:val="0"/>
              </w:rPr>
            </w:pPr>
            <w:r>
              <w:rPr>
                <w:kern w:val="0"/>
              </w:rPr>
              <w:t>4</w:t>
            </w:r>
          </w:p>
        </w:tc>
        <w:tc>
          <w:tcPr>
            <w:tcW w:w="3171" w:type="dxa"/>
            <w:vAlign w:val="center"/>
          </w:tcPr>
          <w:p>
            <w:pPr>
              <w:rPr>
                <w:kern w:val="0"/>
              </w:rPr>
            </w:pPr>
            <w:r>
              <w:rPr>
                <w:rFonts w:hint="eastAsia" w:cs="宋体"/>
                <w:kern w:val="0"/>
              </w:rPr>
              <w:t>地方一般公共预算收入（亿元）</w:t>
            </w:r>
          </w:p>
        </w:tc>
        <w:tc>
          <w:tcPr>
            <w:tcW w:w="993" w:type="dxa"/>
            <w:vAlign w:val="center"/>
          </w:tcPr>
          <w:p>
            <w:pPr>
              <w:rPr>
                <w:kern w:val="0"/>
              </w:rPr>
            </w:pPr>
            <w:r>
              <w:rPr>
                <w:kern w:val="0"/>
              </w:rPr>
              <w:t>4</w:t>
            </w:r>
          </w:p>
        </w:tc>
        <w:tc>
          <w:tcPr>
            <w:tcW w:w="1134" w:type="dxa"/>
            <w:vAlign w:val="center"/>
          </w:tcPr>
          <w:p>
            <w:pPr>
              <w:rPr>
                <w:kern w:val="0"/>
              </w:rPr>
            </w:pPr>
            <w:r>
              <w:rPr>
                <w:kern w:val="0"/>
              </w:rPr>
              <w:t>7</w:t>
            </w:r>
          </w:p>
        </w:tc>
        <w:tc>
          <w:tcPr>
            <w:tcW w:w="1316" w:type="dxa"/>
            <w:vAlign w:val="center"/>
          </w:tcPr>
          <w:p>
            <w:pPr>
              <w:rPr>
                <w:kern w:val="0"/>
              </w:rPr>
            </w:pPr>
            <w:r>
              <w:rPr>
                <w:kern w:val="0"/>
              </w:rPr>
              <w:t>10%</w:t>
            </w:r>
          </w:p>
        </w:tc>
        <w:tc>
          <w:tcPr>
            <w:tcW w:w="1163" w:type="dxa"/>
            <w:vMerge w:val="continue"/>
            <w:vAlign w:val="center"/>
          </w:tcPr>
          <w:p>
            <w:pPr>
              <w:rPr>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19" w:type="dxa"/>
            <w:vMerge w:val="continue"/>
            <w:vAlign w:val="center"/>
          </w:tcPr>
          <w:p>
            <w:pPr>
              <w:rPr>
                <w:kern w:val="0"/>
              </w:rPr>
            </w:pPr>
          </w:p>
        </w:tc>
        <w:tc>
          <w:tcPr>
            <w:tcW w:w="549" w:type="dxa"/>
            <w:vAlign w:val="center"/>
          </w:tcPr>
          <w:p>
            <w:pPr>
              <w:rPr>
                <w:kern w:val="0"/>
              </w:rPr>
            </w:pPr>
            <w:r>
              <w:rPr>
                <w:kern w:val="0"/>
              </w:rPr>
              <w:t>5</w:t>
            </w:r>
          </w:p>
        </w:tc>
        <w:tc>
          <w:tcPr>
            <w:tcW w:w="3171" w:type="dxa"/>
            <w:vAlign w:val="center"/>
          </w:tcPr>
          <w:p>
            <w:pPr>
              <w:rPr>
                <w:kern w:val="0"/>
              </w:rPr>
            </w:pPr>
            <w:r>
              <w:rPr>
                <w:rFonts w:hint="eastAsia" w:cs="宋体"/>
                <w:kern w:val="0"/>
              </w:rPr>
              <w:t>旅游总收入</w:t>
            </w:r>
            <w:r>
              <w:t>(</w:t>
            </w:r>
            <w:r>
              <w:rPr>
                <w:rFonts w:hint="eastAsia" w:cs="宋体"/>
              </w:rPr>
              <w:t>亿元</w:t>
            </w:r>
            <w:r>
              <w:t>)</w:t>
            </w:r>
          </w:p>
        </w:tc>
        <w:tc>
          <w:tcPr>
            <w:tcW w:w="993" w:type="dxa"/>
            <w:vAlign w:val="center"/>
          </w:tcPr>
          <w:p>
            <w:pPr>
              <w:rPr>
                <w:kern w:val="0"/>
              </w:rPr>
            </w:pPr>
          </w:p>
        </w:tc>
        <w:tc>
          <w:tcPr>
            <w:tcW w:w="1134" w:type="dxa"/>
            <w:vAlign w:val="center"/>
          </w:tcPr>
          <w:p>
            <w:pPr>
              <w:rPr>
                <w:kern w:val="0"/>
              </w:rPr>
            </w:pPr>
          </w:p>
        </w:tc>
        <w:tc>
          <w:tcPr>
            <w:tcW w:w="1316" w:type="dxa"/>
            <w:vAlign w:val="center"/>
          </w:tcPr>
          <w:p>
            <w:pPr>
              <w:rPr>
                <w:kern w:val="0"/>
                <w:szCs w:val="22"/>
              </w:rPr>
            </w:pPr>
          </w:p>
        </w:tc>
        <w:tc>
          <w:tcPr>
            <w:tcW w:w="1163" w:type="dxa"/>
            <w:vMerge w:val="continue"/>
            <w:vAlign w:val="center"/>
          </w:tcPr>
          <w:p>
            <w:pPr>
              <w:rPr>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19" w:type="dxa"/>
            <w:vMerge w:val="continue"/>
            <w:vAlign w:val="center"/>
          </w:tcPr>
          <w:p>
            <w:pPr>
              <w:rPr>
                <w:kern w:val="0"/>
              </w:rPr>
            </w:pPr>
          </w:p>
        </w:tc>
        <w:tc>
          <w:tcPr>
            <w:tcW w:w="549" w:type="dxa"/>
            <w:vAlign w:val="center"/>
          </w:tcPr>
          <w:p>
            <w:pPr>
              <w:rPr>
                <w:kern w:val="0"/>
              </w:rPr>
            </w:pPr>
            <w:r>
              <w:rPr>
                <w:kern w:val="0"/>
              </w:rPr>
              <w:t>6</w:t>
            </w:r>
          </w:p>
        </w:tc>
        <w:tc>
          <w:tcPr>
            <w:tcW w:w="3171" w:type="dxa"/>
            <w:vAlign w:val="center"/>
          </w:tcPr>
          <w:p>
            <w:pPr>
              <w:rPr>
                <w:kern w:val="0"/>
              </w:rPr>
            </w:pPr>
            <w:r>
              <w:rPr>
                <w:rFonts w:hint="eastAsia" w:cs="宋体"/>
                <w:kern w:val="0"/>
              </w:rPr>
              <w:t>旅游外汇收入</w:t>
            </w:r>
            <w:r>
              <w:rPr>
                <w:kern w:val="0"/>
              </w:rPr>
              <w:t>(</w:t>
            </w:r>
            <w:r>
              <w:rPr>
                <w:rFonts w:hint="eastAsia" w:cs="宋体"/>
                <w:kern w:val="0"/>
              </w:rPr>
              <w:t>万美元</w:t>
            </w:r>
            <w:r>
              <w:rPr>
                <w:kern w:val="0"/>
              </w:rPr>
              <w:t>)</w:t>
            </w:r>
          </w:p>
        </w:tc>
        <w:tc>
          <w:tcPr>
            <w:tcW w:w="993" w:type="dxa"/>
            <w:vAlign w:val="center"/>
          </w:tcPr>
          <w:p>
            <w:pPr>
              <w:rPr>
                <w:kern w:val="0"/>
              </w:rPr>
            </w:pPr>
          </w:p>
        </w:tc>
        <w:tc>
          <w:tcPr>
            <w:tcW w:w="1134" w:type="dxa"/>
            <w:vAlign w:val="center"/>
          </w:tcPr>
          <w:p>
            <w:pPr>
              <w:rPr>
                <w:kern w:val="0"/>
              </w:rPr>
            </w:pPr>
          </w:p>
        </w:tc>
        <w:tc>
          <w:tcPr>
            <w:tcW w:w="1316" w:type="dxa"/>
            <w:vAlign w:val="center"/>
          </w:tcPr>
          <w:p>
            <w:pPr>
              <w:rPr>
                <w:kern w:val="0"/>
                <w:szCs w:val="22"/>
              </w:rPr>
            </w:pPr>
          </w:p>
        </w:tc>
        <w:tc>
          <w:tcPr>
            <w:tcW w:w="1163" w:type="dxa"/>
            <w:vMerge w:val="continue"/>
            <w:vAlign w:val="center"/>
          </w:tcPr>
          <w:p>
            <w:pPr>
              <w:rPr>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19" w:type="dxa"/>
            <w:vMerge w:val="continue"/>
            <w:vAlign w:val="center"/>
          </w:tcPr>
          <w:p>
            <w:pPr>
              <w:rPr>
                <w:kern w:val="0"/>
              </w:rPr>
            </w:pPr>
          </w:p>
        </w:tc>
        <w:tc>
          <w:tcPr>
            <w:tcW w:w="549" w:type="dxa"/>
            <w:vAlign w:val="center"/>
          </w:tcPr>
          <w:p>
            <w:pPr>
              <w:rPr>
                <w:kern w:val="0"/>
              </w:rPr>
            </w:pPr>
            <w:r>
              <w:rPr>
                <w:kern w:val="0"/>
              </w:rPr>
              <w:t>7</w:t>
            </w:r>
          </w:p>
        </w:tc>
        <w:tc>
          <w:tcPr>
            <w:tcW w:w="3171" w:type="dxa"/>
            <w:vAlign w:val="center"/>
          </w:tcPr>
          <w:p>
            <w:pPr>
              <w:rPr>
                <w:kern w:val="0"/>
              </w:rPr>
            </w:pPr>
            <w:r>
              <w:rPr>
                <w:rFonts w:hint="eastAsia" w:cs="宋体"/>
                <w:kern w:val="0"/>
              </w:rPr>
              <w:t>外贸进出口总额（万美元）</w:t>
            </w:r>
          </w:p>
        </w:tc>
        <w:tc>
          <w:tcPr>
            <w:tcW w:w="993" w:type="dxa"/>
            <w:vAlign w:val="center"/>
          </w:tcPr>
          <w:p>
            <w:pPr/>
          </w:p>
        </w:tc>
        <w:tc>
          <w:tcPr>
            <w:tcW w:w="1134" w:type="dxa"/>
            <w:vAlign w:val="center"/>
          </w:tcPr>
          <w:p>
            <w:pPr>
              <w:rPr>
                <w:kern w:val="0"/>
              </w:rPr>
            </w:pPr>
          </w:p>
        </w:tc>
        <w:tc>
          <w:tcPr>
            <w:tcW w:w="1316" w:type="dxa"/>
            <w:vAlign w:val="center"/>
          </w:tcPr>
          <w:p>
            <w:pPr>
              <w:rPr>
                <w:kern w:val="0"/>
              </w:rPr>
            </w:pPr>
          </w:p>
        </w:tc>
        <w:tc>
          <w:tcPr>
            <w:tcW w:w="1163" w:type="dxa"/>
            <w:vMerge w:val="continue"/>
            <w:vAlign w:val="center"/>
          </w:tcPr>
          <w:p>
            <w:pPr>
              <w:rPr>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19" w:type="dxa"/>
            <w:vMerge w:val="restart"/>
            <w:vAlign w:val="center"/>
          </w:tcPr>
          <w:p>
            <w:pPr>
              <w:rPr>
                <w:rFonts w:cs="宋体"/>
                <w:kern w:val="0"/>
              </w:rPr>
            </w:pPr>
            <w:r>
              <w:rPr>
                <w:rFonts w:hint="eastAsia" w:cs="宋体"/>
                <w:kern w:val="0"/>
              </w:rPr>
              <w:t>活力</w:t>
            </w:r>
          </w:p>
          <w:p>
            <w:pPr>
              <w:rPr>
                <w:kern w:val="0"/>
              </w:rPr>
            </w:pPr>
            <w:r>
              <w:rPr>
                <w:rFonts w:hint="eastAsia" w:cs="宋体"/>
                <w:kern w:val="0"/>
              </w:rPr>
              <w:t>吉阳</w:t>
            </w:r>
          </w:p>
        </w:tc>
        <w:tc>
          <w:tcPr>
            <w:tcW w:w="549" w:type="dxa"/>
            <w:vAlign w:val="center"/>
          </w:tcPr>
          <w:p>
            <w:pPr>
              <w:rPr>
                <w:kern w:val="0"/>
              </w:rPr>
            </w:pPr>
            <w:r>
              <w:rPr>
                <w:kern w:val="0"/>
              </w:rPr>
              <w:t>8</w:t>
            </w:r>
          </w:p>
        </w:tc>
        <w:tc>
          <w:tcPr>
            <w:tcW w:w="3171" w:type="dxa"/>
            <w:vAlign w:val="center"/>
          </w:tcPr>
          <w:p>
            <w:pPr>
              <w:rPr>
                <w:rFonts w:cs="宋体"/>
                <w:kern w:val="0"/>
              </w:rPr>
            </w:pPr>
            <w:r>
              <w:rPr>
                <w:rFonts w:hint="eastAsia" w:cs="宋体"/>
                <w:kern w:val="0"/>
              </w:rPr>
              <w:t>全社会固定资产投资额（亿元）</w:t>
            </w:r>
          </w:p>
        </w:tc>
        <w:tc>
          <w:tcPr>
            <w:tcW w:w="993" w:type="dxa"/>
            <w:vAlign w:val="center"/>
          </w:tcPr>
          <w:p>
            <w:pPr/>
            <w:r>
              <w:t>257.71</w:t>
            </w:r>
          </w:p>
        </w:tc>
        <w:tc>
          <w:tcPr>
            <w:tcW w:w="1134" w:type="dxa"/>
            <w:tcBorders>
              <w:right w:val="single" w:color="auto" w:sz="4" w:space="0"/>
            </w:tcBorders>
            <w:vAlign w:val="center"/>
          </w:tcPr>
          <w:p>
            <w:pPr>
              <w:rPr>
                <w:kern w:val="0"/>
              </w:rPr>
            </w:pPr>
          </w:p>
        </w:tc>
        <w:tc>
          <w:tcPr>
            <w:tcW w:w="1316" w:type="dxa"/>
            <w:tcBorders>
              <w:left w:val="single" w:color="auto" w:sz="4" w:space="0"/>
            </w:tcBorders>
            <w:vAlign w:val="center"/>
          </w:tcPr>
          <w:p>
            <w:pPr>
              <w:rPr>
                <w:kern w:val="0"/>
              </w:rPr>
            </w:pPr>
          </w:p>
        </w:tc>
        <w:tc>
          <w:tcPr>
            <w:tcW w:w="1163" w:type="dxa"/>
            <w:vMerge w:val="restart"/>
            <w:vAlign w:val="center"/>
          </w:tcPr>
          <w:p>
            <w:pPr>
              <w:rPr>
                <w:rFonts w:cs="宋体"/>
                <w:kern w:val="0"/>
              </w:rPr>
            </w:pPr>
            <w:r>
              <w:rPr>
                <w:rFonts w:hint="eastAsia" w:cs="宋体"/>
                <w:kern w:val="0"/>
              </w:rPr>
              <w:t>预期性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19" w:type="dxa"/>
            <w:vMerge w:val="continue"/>
            <w:vAlign w:val="center"/>
          </w:tcPr>
          <w:p>
            <w:pPr>
              <w:rPr>
                <w:kern w:val="0"/>
              </w:rPr>
            </w:pPr>
          </w:p>
        </w:tc>
        <w:tc>
          <w:tcPr>
            <w:tcW w:w="549" w:type="dxa"/>
            <w:vAlign w:val="center"/>
          </w:tcPr>
          <w:p>
            <w:pPr>
              <w:rPr>
                <w:kern w:val="0"/>
              </w:rPr>
            </w:pPr>
            <w:r>
              <w:rPr>
                <w:kern w:val="0"/>
              </w:rPr>
              <w:t>9</w:t>
            </w:r>
          </w:p>
        </w:tc>
        <w:tc>
          <w:tcPr>
            <w:tcW w:w="3171" w:type="dxa"/>
            <w:vAlign w:val="center"/>
          </w:tcPr>
          <w:p>
            <w:pPr>
              <w:rPr>
                <w:rFonts w:cs="宋体"/>
                <w:kern w:val="0"/>
              </w:rPr>
            </w:pPr>
            <w:r>
              <w:rPr>
                <w:rFonts w:hint="eastAsia" w:cs="宋体"/>
                <w:kern w:val="0"/>
              </w:rPr>
              <w:t>社会消费品零售总额（亿元）</w:t>
            </w:r>
          </w:p>
        </w:tc>
        <w:tc>
          <w:tcPr>
            <w:tcW w:w="993" w:type="dxa"/>
            <w:vAlign w:val="center"/>
          </w:tcPr>
          <w:p>
            <w:pPr/>
          </w:p>
        </w:tc>
        <w:tc>
          <w:tcPr>
            <w:tcW w:w="1134" w:type="dxa"/>
            <w:tcBorders>
              <w:right w:val="single" w:color="auto" w:sz="4" w:space="0"/>
            </w:tcBorders>
            <w:vAlign w:val="center"/>
          </w:tcPr>
          <w:p>
            <w:pPr>
              <w:rPr>
                <w:kern w:val="0"/>
              </w:rPr>
            </w:pPr>
          </w:p>
        </w:tc>
        <w:tc>
          <w:tcPr>
            <w:tcW w:w="1316" w:type="dxa"/>
            <w:tcBorders>
              <w:left w:val="single" w:color="auto" w:sz="4" w:space="0"/>
            </w:tcBorders>
            <w:vAlign w:val="center"/>
          </w:tcPr>
          <w:p>
            <w:pPr>
              <w:rPr>
                <w:kern w:val="0"/>
              </w:rPr>
            </w:pPr>
          </w:p>
        </w:tc>
        <w:tc>
          <w:tcPr>
            <w:tcW w:w="1163" w:type="dxa"/>
            <w:vMerge w:val="continue"/>
            <w:vAlign w:val="center"/>
          </w:tcPr>
          <w:p>
            <w:pPr>
              <w:rPr>
                <w:rFonts w:cs="宋体"/>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19" w:type="dxa"/>
            <w:vMerge w:val="continue"/>
            <w:vAlign w:val="center"/>
          </w:tcPr>
          <w:p>
            <w:pPr>
              <w:rPr>
                <w:kern w:val="0"/>
              </w:rPr>
            </w:pPr>
          </w:p>
        </w:tc>
        <w:tc>
          <w:tcPr>
            <w:tcW w:w="549" w:type="dxa"/>
            <w:vAlign w:val="center"/>
          </w:tcPr>
          <w:p>
            <w:pPr>
              <w:rPr>
                <w:kern w:val="0"/>
              </w:rPr>
            </w:pPr>
            <w:r>
              <w:rPr>
                <w:kern w:val="0"/>
              </w:rPr>
              <w:t>10</w:t>
            </w:r>
          </w:p>
        </w:tc>
        <w:tc>
          <w:tcPr>
            <w:tcW w:w="3171" w:type="dxa"/>
            <w:vAlign w:val="center"/>
          </w:tcPr>
          <w:p>
            <w:pPr>
              <w:rPr>
                <w:rFonts w:cs="宋体"/>
                <w:kern w:val="0"/>
              </w:rPr>
            </w:pPr>
            <w:r>
              <w:rPr>
                <w:rFonts w:hint="eastAsia" w:cs="宋体"/>
                <w:kern w:val="0"/>
              </w:rPr>
              <w:t>实际利用外资（万美元）</w:t>
            </w:r>
          </w:p>
        </w:tc>
        <w:tc>
          <w:tcPr>
            <w:tcW w:w="993" w:type="dxa"/>
            <w:vAlign w:val="center"/>
          </w:tcPr>
          <w:p>
            <w:pPr/>
          </w:p>
        </w:tc>
        <w:tc>
          <w:tcPr>
            <w:tcW w:w="1134" w:type="dxa"/>
            <w:tcBorders>
              <w:right w:val="single" w:color="auto" w:sz="4" w:space="0"/>
            </w:tcBorders>
            <w:vAlign w:val="center"/>
          </w:tcPr>
          <w:p>
            <w:pPr>
              <w:rPr>
                <w:kern w:val="0"/>
              </w:rPr>
            </w:pPr>
          </w:p>
        </w:tc>
        <w:tc>
          <w:tcPr>
            <w:tcW w:w="1316" w:type="dxa"/>
            <w:tcBorders>
              <w:left w:val="single" w:color="auto" w:sz="4" w:space="0"/>
            </w:tcBorders>
            <w:vAlign w:val="center"/>
          </w:tcPr>
          <w:p>
            <w:pPr>
              <w:rPr>
                <w:kern w:val="0"/>
              </w:rPr>
            </w:pPr>
          </w:p>
        </w:tc>
        <w:tc>
          <w:tcPr>
            <w:tcW w:w="1163" w:type="dxa"/>
            <w:vMerge w:val="continue"/>
            <w:vAlign w:val="center"/>
          </w:tcPr>
          <w:p>
            <w:pPr>
              <w:rPr>
                <w:rFonts w:cs="宋体"/>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19" w:type="dxa"/>
            <w:vMerge w:val="continue"/>
            <w:vAlign w:val="center"/>
          </w:tcPr>
          <w:p>
            <w:pPr>
              <w:rPr>
                <w:kern w:val="0"/>
              </w:rPr>
            </w:pPr>
          </w:p>
        </w:tc>
        <w:tc>
          <w:tcPr>
            <w:tcW w:w="549" w:type="dxa"/>
            <w:vAlign w:val="center"/>
          </w:tcPr>
          <w:p>
            <w:pPr>
              <w:rPr>
                <w:kern w:val="0"/>
              </w:rPr>
            </w:pPr>
            <w:r>
              <w:rPr>
                <w:kern w:val="0"/>
              </w:rPr>
              <w:t>11</w:t>
            </w:r>
          </w:p>
        </w:tc>
        <w:tc>
          <w:tcPr>
            <w:tcW w:w="3171" w:type="dxa"/>
            <w:vAlign w:val="center"/>
          </w:tcPr>
          <w:p>
            <w:pPr>
              <w:rPr>
                <w:kern w:val="0"/>
              </w:rPr>
            </w:pPr>
            <w:r>
              <w:rPr>
                <w:rFonts w:hint="eastAsia" w:cs="宋体"/>
                <w:kern w:val="0"/>
              </w:rPr>
              <w:t>旅游接待过夜人数</w:t>
            </w:r>
            <w:r>
              <w:t>(</w:t>
            </w:r>
            <w:r>
              <w:rPr>
                <w:rFonts w:hint="eastAsia" w:cs="宋体"/>
              </w:rPr>
              <w:t>万人次</w:t>
            </w:r>
            <w:r>
              <w:t>)</w:t>
            </w:r>
          </w:p>
        </w:tc>
        <w:tc>
          <w:tcPr>
            <w:tcW w:w="993" w:type="dxa"/>
            <w:vAlign w:val="center"/>
          </w:tcPr>
          <w:p>
            <w:pPr>
              <w:rPr>
                <w:kern w:val="0"/>
              </w:rPr>
            </w:pPr>
          </w:p>
        </w:tc>
        <w:tc>
          <w:tcPr>
            <w:tcW w:w="1134" w:type="dxa"/>
            <w:tcBorders>
              <w:right w:val="single" w:color="auto" w:sz="4" w:space="0"/>
            </w:tcBorders>
            <w:vAlign w:val="center"/>
          </w:tcPr>
          <w:p>
            <w:pPr>
              <w:rPr>
                <w:kern w:val="0"/>
              </w:rPr>
            </w:pPr>
          </w:p>
        </w:tc>
        <w:tc>
          <w:tcPr>
            <w:tcW w:w="1316" w:type="dxa"/>
            <w:tcBorders>
              <w:left w:val="single" w:color="auto" w:sz="4" w:space="0"/>
            </w:tcBorders>
            <w:vAlign w:val="center"/>
          </w:tcPr>
          <w:p>
            <w:pPr>
              <w:rPr>
                <w:kern w:val="0"/>
              </w:rPr>
            </w:pPr>
          </w:p>
        </w:tc>
        <w:tc>
          <w:tcPr>
            <w:tcW w:w="1163" w:type="dxa"/>
            <w:vMerge w:val="continue"/>
            <w:vAlign w:val="center"/>
          </w:tcPr>
          <w:p>
            <w:pPr>
              <w:rPr>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19" w:type="dxa"/>
            <w:vMerge w:val="continue"/>
            <w:vAlign w:val="center"/>
          </w:tcPr>
          <w:p>
            <w:pPr>
              <w:rPr>
                <w:kern w:val="0"/>
              </w:rPr>
            </w:pPr>
          </w:p>
        </w:tc>
        <w:tc>
          <w:tcPr>
            <w:tcW w:w="549" w:type="dxa"/>
            <w:vAlign w:val="center"/>
          </w:tcPr>
          <w:p>
            <w:pPr>
              <w:rPr>
                <w:kern w:val="0"/>
              </w:rPr>
            </w:pPr>
            <w:r>
              <w:rPr>
                <w:kern w:val="0"/>
              </w:rPr>
              <w:t>12</w:t>
            </w:r>
          </w:p>
        </w:tc>
        <w:tc>
          <w:tcPr>
            <w:tcW w:w="3171" w:type="dxa"/>
            <w:vAlign w:val="center"/>
          </w:tcPr>
          <w:p>
            <w:pPr>
              <w:rPr>
                <w:kern w:val="0"/>
              </w:rPr>
            </w:pPr>
            <w:r>
              <w:rPr>
                <w:rFonts w:hint="eastAsia" w:cs="宋体"/>
                <w:kern w:val="0"/>
              </w:rPr>
              <w:t>入境游客人数</w:t>
            </w:r>
            <w:r>
              <w:t>(</w:t>
            </w:r>
            <w:r>
              <w:rPr>
                <w:rFonts w:hint="eastAsia" w:cs="宋体"/>
              </w:rPr>
              <w:t>万人次</w:t>
            </w:r>
            <w:r>
              <w:t>)</w:t>
            </w:r>
          </w:p>
        </w:tc>
        <w:tc>
          <w:tcPr>
            <w:tcW w:w="993" w:type="dxa"/>
            <w:vAlign w:val="center"/>
          </w:tcPr>
          <w:p>
            <w:pPr>
              <w:rPr>
                <w:kern w:val="0"/>
              </w:rPr>
            </w:pPr>
          </w:p>
        </w:tc>
        <w:tc>
          <w:tcPr>
            <w:tcW w:w="1134" w:type="dxa"/>
            <w:tcBorders>
              <w:right w:val="single" w:color="auto" w:sz="4" w:space="0"/>
            </w:tcBorders>
            <w:vAlign w:val="center"/>
          </w:tcPr>
          <w:p>
            <w:pPr>
              <w:rPr>
                <w:kern w:val="0"/>
              </w:rPr>
            </w:pPr>
          </w:p>
        </w:tc>
        <w:tc>
          <w:tcPr>
            <w:tcW w:w="1316" w:type="dxa"/>
            <w:tcBorders>
              <w:left w:val="single" w:color="auto" w:sz="4" w:space="0"/>
            </w:tcBorders>
            <w:vAlign w:val="center"/>
          </w:tcPr>
          <w:p>
            <w:pPr>
              <w:rPr>
                <w:kern w:val="0"/>
              </w:rPr>
            </w:pPr>
          </w:p>
        </w:tc>
        <w:tc>
          <w:tcPr>
            <w:tcW w:w="1163" w:type="dxa"/>
            <w:vMerge w:val="continue"/>
            <w:vAlign w:val="center"/>
          </w:tcPr>
          <w:p>
            <w:pPr>
              <w:rPr>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19" w:type="dxa"/>
            <w:vMerge w:val="continue"/>
            <w:vAlign w:val="center"/>
          </w:tcPr>
          <w:p>
            <w:pPr>
              <w:rPr>
                <w:kern w:val="0"/>
              </w:rPr>
            </w:pPr>
          </w:p>
        </w:tc>
        <w:tc>
          <w:tcPr>
            <w:tcW w:w="549" w:type="dxa"/>
            <w:vAlign w:val="center"/>
          </w:tcPr>
          <w:p>
            <w:pPr>
              <w:rPr>
                <w:kern w:val="0"/>
              </w:rPr>
            </w:pPr>
            <w:r>
              <w:rPr>
                <w:kern w:val="0"/>
              </w:rPr>
              <w:t>13</w:t>
            </w:r>
          </w:p>
        </w:tc>
        <w:tc>
          <w:tcPr>
            <w:tcW w:w="3171" w:type="dxa"/>
            <w:vAlign w:val="center"/>
          </w:tcPr>
          <w:p>
            <w:pPr>
              <w:rPr>
                <w:kern w:val="0"/>
              </w:rPr>
            </w:pPr>
            <w:r>
              <w:rPr>
                <w:rFonts w:hint="eastAsia" w:cs="宋体"/>
                <w:kern w:val="0"/>
              </w:rPr>
              <w:t>研发经费占</w:t>
            </w:r>
            <w:r>
              <w:rPr>
                <w:rFonts w:cs="宋体"/>
                <w:kern w:val="0"/>
              </w:rPr>
              <w:t>GDP</w:t>
            </w:r>
            <w:r>
              <w:rPr>
                <w:rFonts w:hint="eastAsia" w:cs="宋体"/>
                <w:kern w:val="0"/>
              </w:rPr>
              <w:t>比重</w:t>
            </w:r>
            <w:r>
              <w:rPr>
                <w:kern w:val="0"/>
              </w:rPr>
              <w:t>(%)</w:t>
            </w:r>
          </w:p>
        </w:tc>
        <w:tc>
          <w:tcPr>
            <w:tcW w:w="993" w:type="dxa"/>
            <w:vAlign w:val="center"/>
          </w:tcPr>
          <w:p>
            <w:pPr/>
          </w:p>
        </w:tc>
        <w:tc>
          <w:tcPr>
            <w:tcW w:w="1134" w:type="dxa"/>
            <w:tcBorders>
              <w:right w:val="single" w:color="auto" w:sz="4" w:space="0"/>
            </w:tcBorders>
            <w:vAlign w:val="center"/>
          </w:tcPr>
          <w:p>
            <w:pPr>
              <w:rPr>
                <w:kern w:val="0"/>
              </w:rPr>
            </w:pPr>
          </w:p>
        </w:tc>
        <w:tc>
          <w:tcPr>
            <w:tcW w:w="1316" w:type="dxa"/>
            <w:tcBorders>
              <w:left w:val="single" w:color="auto" w:sz="4" w:space="0"/>
            </w:tcBorders>
            <w:vAlign w:val="center"/>
          </w:tcPr>
          <w:p>
            <w:pPr>
              <w:rPr>
                <w:kern w:val="0"/>
              </w:rPr>
            </w:pPr>
          </w:p>
        </w:tc>
        <w:tc>
          <w:tcPr>
            <w:tcW w:w="1163" w:type="dxa"/>
            <w:vAlign w:val="center"/>
          </w:tcPr>
          <w:p>
            <w:pPr>
              <w:rPr>
                <w:kern w:val="0"/>
              </w:rPr>
            </w:pPr>
            <w:r>
              <w:rPr>
                <w:rFonts w:hint="eastAsia" w:cs="宋体"/>
                <w:kern w:val="0"/>
              </w:rPr>
              <w:t>约束性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19" w:type="dxa"/>
            <w:vMerge w:val="restart"/>
            <w:tcBorders>
              <w:top w:val="single" w:color="auto" w:sz="4" w:space="0"/>
            </w:tcBorders>
            <w:vAlign w:val="center"/>
          </w:tcPr>
          <w:p>
            <w:pPr>
              <w:rPr>
                <w:kern w:val="0"/>
              </w:rPr>
            </w:pPr>
            <w:r>
              <w:rPr>
                <w:rFonts w:hint="eastAsia" w:cs="宋体"/>
                <w:kern w:val="0"/>
              </w:rPr>
              <w:t>魅力吉阳</w:t>
            </w:r>
          </w:p>
        </w:tc>
        <w:tc>
          <w:tcPr>
            <w:tcW w:w="549" w:type="dxa"/>
            <w:vAlign w:val="center"/>
          </w:tcPr>
          <w:p>
            <w:pPr>
              <w:rPr>
                <w:kern w:val="0"/>
              </w:rPr>
            </w:pPr>
            <w:r>
              <w:rPr>
                <w:kern w:val="0"/>
              </w:rPr>
              <w:t>14</w:t>
            </w:r>
          </w:p>
        </w:tc>
        <w:tc>
          <w:tcPr>
            <w:tcW w:w="3171" w:type="dxa"/>
            <w:vAlign w:val="center"/>
          </w:tcPr>
          <w:p>
            <w:pPr>
              <w:rPr>
                <w:rFonts w:cs="宋体"/>
                <w:kern w:val="0"/>
              </w:rPr>
            </w:pPr>
            <w:r>
              <w:rPr>
                <w:rFonts w:hint="eastAsia" w:cs="宋体"/>
                <w:kern w:val="0"/>
              </w:rPr>
              <w:t>空气质量优良天数比例天数</w:t>
            </w:r>
            <w:r>
              <w:rPr>
                <w:kern w:val="0"/>
              </w:rPr>
              <w:t>(</w:t>
            </w:r>
            <w:r>
              <w:rPr>
                <w:rFonts w:cs="宋体"/>
                <w:kern w:val="0"/>
              </w:rPr>
              <w:t>%</w:t>
            </w:r>
            <w:r>
              <w:rPr>
                <w:kern w:val="0"/>
              </w:rPr>
              <w:t>)</w:t>
            </w:r>
          </w:p>
        </w:tc>
        <w:tc>
          <w:tcPr>
            <w:tcW w:w="993" w:type="dxa"/>
            <w:vAlign w:val="center"/>
          </w:tcPr>
          <w:p>
            <w:pPr>
              <w:rPr>
                <w:kern w:val="0"/>
              </w:rPr>
            </w:pPr>
          </w:p>
        </w:tc>
        <w:tc>
          <w:tcPr>
            <w:tcW w:w="1134" w:type="dxa"/>
            <w:tcBorders>
              <w:right w:val="single" w:color="auto" w:sz="4" w:space="0"/>
            </w:tcBorders>
            <w:vAlign w:val="center"/>
          </w:tcPr>
          <w:p>
            <w:pPr>
              <w:rPr>
                <w:kern w:val="0"/>
              </w:rPr>
            </w:pPr>
            <w:r>
              <w:rPr>
                <w:kern w:val="0"/>
              </w:rPr>
              <w:t>&gt;95</w:t>
            </w:r>
          </w:p>
        </w:tc>
        <w:tc>
          <w:tcPr>
            <w:tcW w:w="1316" w:type="dxa"/>
            <w:tcBorders>
              <w:left w:val="single" w:color="auto" w:sz="4" w:space="0"/>
            </w:tcBorders>
            <w:vAlign w:val="center"/>
          </w:tcPr>
          <w:p>
            <w:pPr>
              <w:rPr>
                <w:kern w:val="0"/>
              </w:rPr>
            </w:pPr>
          </w:p>
        </w:tc>
        <w:tc>
          <w:tcPr>
            <w:tcW w:w="1163" w:type="dxa"/>
            <w:vMerge w:val="restart"/>
            <w:vAlign w:val="center"/>
          </w:tcPr>
          <w:p>
            <w:pPr>
              <w:rPr>
                <w:rFonts w:cs="宋体"/>
                <w:kern w:val="0"/>
              </w:rPr>
            </w:pPr>
            <w:r>
              <w:rPr>
                <w:rFonts w:hint="eastAsia" w:cs="宋体"/>
                <w:kern w:val="0"/>
              </w:rPr>
              <w:t>约束性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19" w:type="dxa"/>
            <w:vMerge w:val="continue"/>
            <w:vAlign w:val="center"/>
          </w:tcPr>
          <w:p>
            <w:pPr>
              <w:rPr>
                <w:kern w:val="0"/>
              </w:rPr>
            </w:pPr>
          </w:p>
        </w:tc>
        <w:tc>
          <w:tcPr>
            <w:tcW w:w="549" w:type="dxa"/>
            <w:vAlign w:val="center"/>
          </w:tcPr>
          <w:p>
            <w:pPr>
              <w:rPr>
                <w:kern w:val="0"/>
              </w:rPr>
            </w:pPr>
            <w:r>
              <w:rPr>
                <w:kern w:val="0"/>
              </w:rPr>
              <w:t>15</w:t>
            </w:r>
          </w:p>
        </w:tc>
        <w:tc>
          <w:tcPr>
            <w:tcW w:w="3171" w:type="dxa"/>
            <w:vAlign w:val="center"/>
          </w:tcPr>
          <w:p>
            <w:pPr>
              <w:rPr>
                <w:kern w:val="0"/>
              </w:rPr>
            </w:pPr>
            <w:r>
              <w:rPr>
                <w:rFonts w:hint="eastAsia" w:cs="宋体"/>
                <w:kern w:val="0"/>
              </w:rPr>
              <w:t>城镇生活污水集中处理率（</w:t>
            </w:r>
            <w:r>
              <w:rPr>
                <w:kern w:val="0"/>
              </w:rPr>
              <w:t>%</w:t>
            </w:r>
            <w:r>
              <w:rPr>
                <w:rFonts w:hint="eastAsia" w:cs="宋体"/>
                <w:kern w:val="0"/>
              </w:rPr>
              <w:t>）</w:t>
            </w:r>
          </w:p>
        </w:tc>
        <w:tc>
          <w:tcPr>
            <w:tcW w:w="993" w:type="dxa"/>
            <w:vAlign w:val="center"/>
          </w:tcPr>
          <w:p>
            <w:pPr>
              <w:rPr>
                <w:kern w:val="0"/>
              </w:rPr>
            </w:pPr>
          </w:p>
        </w:tc>
        <w:tc>
          <w:tcPr>
            <w:tcW w:w="1134" w:type="dxa"/>
            <w:tcBorders>
              <w:right w:val="single" w:color="auto" w:sz="4" w:space="0"/>
            </w:tcBorders>
            <w:vAlign w:val="center"/>
          </w:tcPr>
          <w:p>
            <w:pPr>
              <w:rPr>
                <w:kern w:val="0"/>
              </w:rPr>
            </w:pPr>
            <w:r>
              <w:rPr>
                <w:kern w:val="0"/>
              </w:rPr>
              <w:t>&gt;90</w:t>
            </w:r>
          </w:p>
        </w:tc>
        <w:tc>
          <w:tcPr>
            <w:tcW w:w="1316" w:type="dxa"/>
            <w:tcBorders>
              <w:left w:val="single" w:color="auto" w:sz="4" w:space="0"/>
            </w:tcBorders>
            <w:vAlign w:val="center"/>
          </w:tcPr>
          <w:p>
            <w:pPr>
              <w:rPr>
                <w:kern w:val="0"/>
              </w:rPr>
            </w:pPr>
          </w:p>
        </w:tc>
        <w:tc>
          <w:tcPr>
            <w:tcW w:w="1163" w:type="dxa"/>
            <w:vMerge w:val="continue"/>
            <w:vAlign w:val="center"/>
          </w:tcPr>
          <w:p>
            <w:pPr>
              <w:rPr>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19" w:type="dxa"/>
            <w:vMerge w:val="continue"/>
            <w:vAlign w:val="center"/>
          </w:tcPr>
          <w:p>
            <w:pPr>
              <w:rPr>
                <w:kern w:val="0"/>
              </w:rPr>
            </w:pPr>
          </w:p>
        </w:tc>
        <w:tc>
          <w:tcPr>
            <w:tcW w:w="549" w:type="dxa"/>
            <w:vAlign w:val="center"/>
          </w:tcPr>
          <w:p>
            <w:pPr>
              <w:rPr>
                <w:kern w:val="0"/>
              </w:rPr>
            </w:pPr>
            <w:r>
              <w:rPr>
                <w:kern w:val="0"/>
              </w:rPr>
              <w:t>16</w:t>
            </w:r>
          </w:p>
        </w:tc>
        <w:tc>
          <w:tcPr>
            <w:tcW w:w="3171" w:type="dxa"/>
            <w:vAlign w:val="center"/>
          </w:tcPr>
          <w:p>
            <w:pPr>
              <w:rPr>
                <w:rFonts w:cs="宋体"/>
                <w:kern w:val="0"/>
              </w:rPr>
            </w:pPr>
            <w:r>
              <w:rPr>
                <w:rFonts w:hint="eastAsia" w:cs="宋体"/>
                <w:kern w:val="0"/>
              </w:rPr>
              <w:t>城镇生活垃圾无害化处理率（</w:t>
            </w:r>
            <w:r>
              <w:rPr>
                <w:rFonts w:cs="宋体"/>
                <w:kern w:val="0"/>
              </w:rPr>
              <w:t>%</w:t>
            </w:r>
            <w:r>
              <w:rPr>
                <w:rFonts w:hint="eastAsia" w:cs="宋体"/>
                <w:kern w:val="0"/>
              </w:rPr>
              <w:t>）</w:t>
            </w:r>
          </w:p>
        </w:tc>
        <w:tc>
          <w:tcPr>
            <w:tcW w:w="993" w:type="dxa"/>
            <w:vAlign w:val="center"/>
          </w:tcPr>
          <w:p>
            <w:pPr>
              <w:rPr>
                <w:kern w:val="0"/>
              </w:rPr>
            </w:pPr>
            <w:r>
              <w:rPr>
                <w:kern w:val="0"/>
              </w:rPr>
              <w:t>100</w:t>
            </w:r>
          </w:p>
        </w:tc>
        <w:tc>
          <w:tcPr>
            <w:tcW w:w="1134" w:type="dxa"/>
            <w:tcBorders>
              <w:right w:val="single" w:color="auto" w:sz="4" w:space="0"/>
            </w:tcBorders>
            <w:vAlign w:val="center"/>
          </w:tcPr>
          <w:p>
            <w:pPr>
              <w:rPr>
                <w:kern w:val="0"/>
              </w:rPr>
            </w:pPr>
            <w:r>
              <w:rPr>
                <w:kern w:val="0"/>
              </w:rPr>
              <w:t>100</w:t>
            </w:r>
          </w:p>
        </w:tc>
        <w:tc>
          <w:tcPr>
            <w:tcW w:w="1316" w:type="dxa"/>
            <w:tcBorders>
              <w:left w:val="single" w:color="auto" w:sz="4" w:space="0"/>
            </w:tcBorders>
            <w:vAlign w:val="center"/>
          </w:tcPr>
          <w:p>
            <w:pPr>
              <w:rPr>
                <w:kern w:val="0"/>
              </w:rPr>
            </w:pPr>
          </w:p>
        </w:tc>
        <w:tc>
          <w:tcPr>
            <w:tcW w:w="1163" w:type="dxa"/>
            <w:vMerge w:val="continue"/>
            <w:vAlign w:val="center"/>
          </w:tcPr>
          <w:p>
            <w:pPr>
              <w:rPr>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19" w:type="dxa"/>
            <w:vMerge w:val="continue"/>
            <w:vAlign w:val="center"/>
          </w:tcPr>
          <w:p>
            <w:pPr>
              <w:rPr>
                <w:kern w:val="0"/>
              </w:rPr>
            </w:pPr>
          </w:p>
        </w:tc>
        <w:tc>
          <w:tcPr>
            <w:tcW w:w="549" w:type="dxa"/>
            <w:vAlign w:val="center"/>
          </w:tcPr>
          <w:p>
            <w:pPr>
              <w:rPr>
                <w:kern w:val="0"/>
              </w:rPr>
            </w:pPr>
            <w:r>
              <w:rPr>
                <w:kern w:val="0"/>
              </w:rPr>
              <w:t>17</w:t>
            </w:r>
          </w:p>
        </w:tc>
        <w:tc>
          <w:tcPr>
            <w:tcW w:w="3171" w:type="dxa"/>
            <w:vAlign w:val="center"/>
          </w:tcPr>
          <w:p>
            <w:pPr>
              <w:rPr>
                <w:kern w:val="0"/>
              </w:rPr>
            </w:pPr>
            <w:r>
              <w:rPr>
                <w:rFonts w:hint="eastAsia" w:cs="宋体"/>
                <w:kern w:val="0"/>
              </w:rPr>
              <w:t>建成区人均公共绿地面积（</w:t>
            </w:r>
            <w:r>
              <w:rPr>
                <w:kern w:val="0"/>
              </w:rPr>
              <w:t>m</w:t>
            </w:r>
            <w:r>
              <w:rPr>
                <w:kern w:val="0"/>
                <w:vertAlign w:val="superscript"/>
              </w:rPr>
              <w:t>2</w:t>
            </w:r>
            <w:r>
              <w:rPr>
                <w:rFonts w:hint="eastAsia" w:cs="宋体"/>
                <w:kern w:val="0"/>
              </w:rPr>
              <w:t>）</w:t>
            </w:r>
          </w:p>
        </w:tc>
        <w:tc>
          <w:tcPr>
            <w:tcW w:w="993" w:type="dxa"/>
            <w:vAlign w:val="center"/>
          </w:tcPr>
          <w:p>
            <w:pPr>
              <w:rPr>
                <w:kern w:val="0"/>
              </w:rPr>
            </w:pPr>
            <w:r>
              <w:rPr>
                <w:kern w:val="0"/>
              </w:rPr>
              <w:t>8.8</w:t>
            </w:r>
          </w:p>
        </w:tc>
        <w:tc>
          <w:tcPr>
            <w:tcW w:w="1134" w:type="dxa"/>
            <w:tcBorders>
              <w:right w:val="single" w:color="auto" w:sz="4" w:space="0"/>
            </w:tcBorders>
            <w:vAlign w:val="center"/>
          </w:tcPr>
          <w:p>
            <w:pPr>
              <w:rPr>
                <w:kern w:val="0"/>
              </w:rPr>
            </w:pPr>
          </w:p>
        </w:tc>
        <w:tc>
          <w:tcPr>
            <w:tcW w:w="1316" w:type="dxa"/>
            <w:tcBorders>
              <w:left w:val="single" w:color="auto" w:sz="4" w:space="0"/>
            </w:tcBorders>
            <w:vAlign w:val="center"/>
          </w:tcPr>
          <w:p>
            <w:pPr>
              <w:rPr>
                <w:kern w:val="0"/>
              </w:rPr>
            </w:pPr>
          </w:p>
        </w:tc>
        <w:tc>
          <w:tcPr>
            <w:tcW w:w="1163" w:type="dxa"/>
            <w:vMerge w:val="continue"/>
            <w:vAlign w:val="center"/>
          </w:tcPr>
          <w:p>
            <w:pPr>
              <w:rPr>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19" w:type="dxa"/>
            <w:vMerge w:val="continue"/>
            <w:vAlign w:val="center"/>
          </w:tcPr>
          <w:p>
            <w:pPr>
              <w:rPr>
                <w:kern w:val="0"/>
              </w:rPr>
            </w:pPr>
          </w:p>
        </w:tc>
        <w:tc>
          <w:tcPr>
            <w:tcW w:w="549" w:type="dxa"/>
            <w:vAlign w:val="center"/>
          </w:tcPr>
          <w:p>
            <w:pPr>
              <w:rPr>
                <w:kern w:val="0"/>
              </w:rPr>
            </w:pPr>
            <w:r>
              <w:rPr>
                <w:kern w:val="0"/>
              </w:rPr>
              <w:t>18</w:t>
            </w:r>
          </w:p>
        </w:tc>
        <w:tc>
          <w:tcPr>
            <w:tcW w:w="3171" w:type="dxa"/>
            <w:vAlign w:val="center"/>
          </w:tcPr>
          <w:p>
            <w:pPr>
              <w:rPr>
                <w:kern w:val="0"/>
              </w:rPr>
            </w:pPr>
            <w:r>
              <w:rPr>
                <w:rFonts w:hint="eastAsia"/>
                <w:kern w:val="0"/>
              </w:rPr>
              <w:t>森林覆盖率（</w:t>
            </w:r>
            <w:r>
              <w:rPr>
                <w:kern w:val="0"/>
              </w:rPr>
              <w:t>%</w:t>
            </w:r>
            <w:r>
              <w:rPr>
                <w:rFonts w:hint="eastAsia"/>
                <w:kern w:val="0"/>
              </w:rPr>
              <w:t>）</w:t>
            </w:r>
          </w:p>
        </w:tc>
        <w:tc>
          <w:tcPr>
            <w:tcW w:w="993" w:type="dxa"/>
            <w:vAlign w:val="center"/>
          </w:tcPr>
          <w:p>
            <w:pPr>
              <w:rPr>
                <w:kern w:val="0"/>
              </w:rPr>
            </w:pPr>
          </w:p>
        </w:tc>
        <w:tc>
          <w:tcPr>
            <w:tcW w:w="1134" w:type="dxa"/>
            <w:tcBorders>
              <w:right w:val="single" w:color="auto" w:sz="4" w:space="0"/>
            </w:tcBorders>
            <w:vAlign w:val="center"/>
          </w:tcPr>
          <w:p>
            <w:pPr>
              <w:rPr>
                <w:kern w:val="0"/>
              </w:rPr>
            </w:pPr>
          </w:p>
        </w:tc>
        <w:tc>
          <w:tcPr>
            <w:tcW w:w="1316" w:type="dxa"/>
            <w:tcBorders>
              <w:left w:val="single" w:color="auto" w:sz="4" w:space="0"/>
            </w:tcBorders>
            <w:vAlign w:val="center"/>
          </w:tcPr>
          <w:p>
            <w:pPr>
              <w:rPr>
                <w:kern w:val="0"/>
              </w:rPr>
            </w:pPr>
          </w:p>
        </w:tc>
        <w:tc>
          <w:tcPr>
            <w:tcW w:w="1163" w:type="dxa"/>
            <w:vMerge w:val="continue"/>
            <w:vAlign w:val="center"/>
          </w:tcPr>
          <w:p>
            <w:pPr>
              <w:rPr>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19" w:type="dxa"/>
            <w:vMerge w:val="continue"/>
            <w:vAlign w:val="center"/>
          </w:tcPr>
          <w:p>
            <w:pPr>
              <w:rPr>
                <w:kern w:val="0"/>
              </w:rPr>
            </w:pPr>
          </w:p>
        </w:tc>
        <w:tc>
          <w:tcPr>
            <w:tcW w:w="549" w:type="dxa"/>
            <w:vAlign w:val="center"/>
          </w:tcPr>
          <w:p>
            <w:pPr>
              <w:rPr>
                <w:kern w:val="0"/>
              </w:rPr>
            </w:pPr>
            <w:r>
              <w:rPr>
                <w:kern w:val="0"/>
              </w:rPr>
              <w:t>19</w:t>
            </w:r>
          </w:p>
        </w:tc>
        <w:tc>
          <w:tcPr>
            <w:tcW w:w="3171" w:type="dxa"/>
            <w:vAlign w:val="center"/>
          </w:tcPr>
          <w:p>
            <w:pPr>
              <w:rPr>
                <w:kern w:val="0"/>
              </w:rPr>
            </w:pPr>
            <w:r>
              <w:rPr>
                <w:rFonts w:hint="eastAsia" w:cs="宋体"/>
                <w:kern w:val="0"/>
                <w:szCs w:val="21"/>
              </w:rPr>
              <w:t>主要污染物排放总量（吨）</w:t>
            </w:r>
          </w:p>
        </w:tc>
        <w:tc>
          <w:tcPr>
            <w:tcW w:w="993" w:type="dxa"/>
            <w:vAlign w:val="center"/>
          </w:tcPr>
          <w:p>
            <w:pPr>
              <w:rPr>
                <w:kern w:val="0"/>
              </w:rPr>
            </w:pPr>
          </w:p>
        </w:tc>
        <w:tc>
          <w:tcPr>
            <w:tcW w:w="1134" w:type="dxa"/>
            <w:tcBorders>
              <w:right w:val="single" w:color="auto" w:sz="4" w:space="0"/>
            </w:tcBorders>
            <w:vAlign w:val="center"/>
          </w:tcPr>
          <w:p>
            <w:pPr>
              <w:rPr>
                <w:kern w:val="0"/>
              </w:rPr>
            </w:pPr>
            <w:r>
              <w:rPr>
                <w:rFonts w:hint="eastAsia" w:cs="宋体"/>
                <w:kern w:val="0"/>
                <w:szCs w:val="21"/>
              </w:rPr>
              <w:t>完成市下达任务</w:t>
            </w:r>
          </w:p>
        </w:tc>
        <w:tc>
          <w:tcPr>
            <w:tcW w:w="1316" w:type="dxa"/>
            <w:tcBorders>
              <w:left w:val="single" w:color="auto" w:sz="4" w:space="0"/>
            </w:tcBorders>
            <w:vAlign w:val="center"/>
          </w:tcPr>
          <w:p>
            <w:pPr>
              <w:rPr>
                <w:kern w:val="0"/>
              </w:rPr>
            </w:pPr>
          </w:p>
        </w:tc>
        <w:tc>
          <w:tcPr>
            <w:tcW w:w="1163" w:type="dxa"/>
            <w:vMerge w:val="continue"/>
            <w:vAlign w:val="center"/>
          </w:tcPr>
          <w:p>
            <w:pPr>
              <w:rPr>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19" w:type="dxa"/>
            <w:vMerge w:val="continue"/>
            <w:vAlign w:val="center"/>
          </w:tcPr>
          <w:p>
            <w:pPr>
              <w:rPr>
                <w:kern w:val="0"/>
              </w:rPr>
            </w:pPr>
          </w:p>
        </w:tc>
        <w:tc>
          <w:tcPr>
            <w:tcW w:w="549" w:type="dxa"/>
            <w:vAlign w:val="center"/>
          </w:tcPr>
          <w:p>
            <w:pPr>
              <w:rPr>
                <w:kern w:val="0"/>
              </w:rPr>
            </w:pPr>
            <w:r>
              <w:rPr>
                <w:kern w:val="0"/>
              </w:rPr>
              <w:t>20</w:t>
            </w:r>
          </w:p>
        </w:tc>
        <w:tc>
          <w:tcPr>
            <w:tcW w:w="3171" w:type="dxa"/>
            <w:vAlign w:val="center"/>
          </w:tcPr>
          <w:p>
            <w:pPr>
              <w:rPr>
                <w:kern w:val="0"/>
              </w:rPr>
            </w:pPr>
            <w:r>
              <w:rPr>
                <w:rFonts w:hint="eastAsia" w:cs="宋体"/>
                <w:kern w:val="0"/>
              </w:rPr>
              <w:t>碳排放强度（千克</w:t>
            </w:r>
            <w:r>
              <w:rPr>
                <w:kern w:val="0"/>
              </w:rPr>
              <w:t>/</w:t>
            </w:r>
            <w:r>
              <w:rPr>
                <w:rFonts w:hint="eastAsia" w:cs="宋体"/>
                <w:kern w:val="0"/>
              </w:rPr>
              <w:t>万元）</w:t>
            </w:r>
          </w:p>
        </w:tc>
        <w:tc>
          <w:tcPr>
            <w:tcW w:w="993" w:type="dxa"/>
            <w:vAlign w:val="center"/>
          </w:tcPr>
          <w:p>
            <w:pPr>
              <w:rPr>
                <w:kern w:val="0"/>
              </w:rPr>
            </w:pPr>
          </w:p>
        </w:tc>
        <w:tc>
          <w:tcPr>
            <w:tcW w:w="1134" w:type="dxa"/>
            <w:tcBorders>
              <w:right w:val="single" w:color="auto" w:sz="4" w:space="0"/>
            </w:tcBorders>
            <w:vAlign w:val="center"/>
          </w:tcPr>
          <w:p>
            <w:pPr>
              <w:rPr>
                <w:kern w:val="0"/>
              </w:rPr>
            </w:pPr>
            <w:r>
              <w:rPr>
                <w:rFonts w:hint="eastAsia" w:cs="宋体"/>
                <w:kern w:val="0"/>
                <w:szCs w:val="21"/>
              </w:rPr>
              <w:t>完成市下达任务</w:t>
            </w:r>
          </w:p>
        </w:tc>
        <w:tc>
          <w:tcPr>
            <w:tcW w:w="1316" w:type="dxa"/>
            <w:tcBorders>
              <w:left w:val="single" w:color="auto" w:sz="4" w:space="0"/>
            </w:tcBorders>
            <w:vAlign w:val="center"/>
          </w:tcPr>
          <w:p>
            <w:pPr>
              <w:rPr>
                <w:kern w:val="0"/>
              </w:rPr>
            </w:pPr>
          </w:p>
        </w:tc>
        <w:tc>
          <w:tcPr>
            <w:tcW w:w="1163" w:type="dxa"/>
            <w:vMerge w:val="continue"/>
            <w:vAlign w:val="center"/>
          </w:tcPr>
          <w:p>
            <w:pPr>
              <w:rPr>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19" w:type="dxa"/>
            <w:vMerge w:val="restart"/>
            <w:vAlign w:val="center"/>
          </w:tcPr>
          <w:p>
            <w:pPr>
              <w:rPr>
                <w:kern w:val="0"/>
              </w:rPr>
            </w:pPr>
            <w:r>
              <w:rPr>
                <w:rFonts w:hint="eastAsia"/>
                <w:kern w:val="0"/>
              </w:rPr>
              <w:t>幸福吉阳</w:t>
            </w:r>
          </w:p>
        </w:tc>
        <w:tc>
          <w:tcPr>
            <w:tcW w:w="549" w:type="dxa"/>
            <w:vAlign w:val="center"/>
          </w:tcPr>
          <w:p>
            <w:pPr>
              <w:rPr>
                <w:kern w:val="0"/>
              </w:rPr>
            </w:pPr>
            <w:r>
              <w:rPr>
                <w:kern w:val="0"/>
              </w:rPr>
              <w:t>21</w:t>
            </w:r>
          </w:p>
        </w:tc>
        <w:tc>
          <w:tcPr>
            <w:tcW w:w="3171" w:type="dxa"/>
            <w:vAlign w:val="center"/>
          </w:tcPr>
          <w:p>
            <w:pPr>
              <w:rPr>
                <w:rFonts w:cs="宋体"/>
                <w:kern w:val="0"/>
              </w:rPr>
            </w:pPr>
            <w:r>
              <w:rPr>
                <w:rFonts w:hint="eastAsia" w:cs="宋体"/>
                <w:kern w:val="0"/>
              </w:rPr>
              <w:t>城镇居民人均可支配收入（元）</w:t>
            </w:r>
          </w:p>
        </w:tc>
        <w:tc>
          <w:tcPr>
            <w:tcW w:w="993" w:type="dxa"/>
            <w:vAlign w:val="center"/>
          </w:tcPr>
          <w:p>
            <w:pPr>
              <w:rPr>
                <w:kern w:val="0"/>
              </w:rPr>
            </w:pPr>
          </w:p>
        </w:tc>
        <w:tc>
          <w:tcPr>
            <w:tcW w:w="1134" w:type="dxa"/>
            <w:tcBorders>
              <w:right w:val="single" w:color="auto" w:sz="4" w:space="0"/>
            </w:tcBorders>
            <w:vAlign w:val="center"/>
          </w:tcPr>
          <w:p>
            <w:pPr>
              <w:rPr>
                <w:kern w:val="0"/>
              </w:rPr>
            </w:pPr>
          </w:p>
        </w:tc>
        <w:tc>
          <w:tcPr>
            <w:tcW w:w="1316" w:type="dxa"/>
            <w:tcBorders>
              <w:left w:val="single" w:color="auto" w:sz="4" w:space="0"/>
            </w:tcBorders>
            <w:vAlign w:val="center"/>
          </w:tcPr>
          <w:p>
            <w:pPr>
              <w:rPr>
                <w:kern w:val="0"/>
              </w:rPr>
            </w:pPr>
          </w:p>
        </w:tc>
        <w:tc>
          <w:tcPr>
            <w:tcW w:w="1163" w:type="dxa"/>
            <w:vMerge w:val="restart"/>
            <w:vAlign w:val="center"/>
          </w:tcPr>
          <w:p>
            <w:pPr>
              <w:rPr>
                <w:kern w:val="0"/>
              </w:rPr>
            </w:pPr>
            <w:r>
              <w:rPr>
                <w:rFonts w:hint="eastAsia" w:cs="宋体"/>
                <w:kern w:val="0"/>
              </w:rPr>
              <w:t>约束性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19" w:type="dxa"/>
            <w:vMerge w:val="continue"/>
            <w:vAlign w:val="center"/>
          </w:tcPr>
          <w:p>
            <w:pPr>
              <w:rPr>
                <w:kern w:val="0"/>
              </w:rPr>
            </w:pPr>
          </w:p>
        </w:tc>
        <w:tc>
          <w:tcPr>
            <w:tcW w:w="549" w:type="dxa"/>
            <w:vAlign w:val="center"/>
          </w:tcPr>
          <w:p>
            <w:pPr>
              <w:rPr>
                <w:kern w:val="0"/>
              </w:rPr>
            </w:pPr>
            <w:r>
              <w:rPr>
                <w:kern w:val="0"/>
              </w:rPr>
              <w:t>22</w:t>
            </w:r>
          </w:p>
        </w:tc>
        <w:tc>
          <w:tcPr>
            <w:tcW w:w="3171" w:type="dxa"/>
            <w:vAlign w:val="center"/>
          </w:tcPr>
          <w:p>
            <w:pPr>
              <w:rPr>
                <w:kern w:val="0"/>
              </w:rPr>
            </w:pPr>
            <w:r>
              <w:rPr>
                <w:rFonts w:hint="eastAsia" w:cs="宋体"/>
                <w:kern w:val="0"/>
              </w:rPr>
              <w:t>农村居民人均纯收入（元）</w:t>
            </w:r>
          </w:p>
        </w:tc>
        <w:tc>
          <w:tcPr>
            <w:tcW w:w="993" w:type="dxa"/>
            <w:vAlign w:val="center"/>
          </w:tcPr>
          <w:p>
            <w:pPr>
              <w:rPr>
                <w:kern w:val="0"/>
              </w:rPr>
            </w:pPr>
            <w:r>
              <w:rPr>
                <w:kern w:val="0"/>
              </w:rPr>
              <w:t>11000</w:t>
            </w:r>
          </w:p>
        </w:tc>
        <w:tc>
          <w:tcPr>
            <w:tcW w:w="1134" w:type="dxa"/>
            <w:tcBorders>
              <w:right w:val="single" w:color="auto" w:sz="4" w:space="0"/>
            </w:tcBorders>
            <w:vAlign w:val="center"/>
          </w:tcPr>
          <w:p>
            <w:pPr>
              <w:rPr>
                <w:kern w:val="0"/>
              </w:rPr>
            </w:pPr>
          </w:p>
        </w:tc>
        <w:tc>
          <w:tcPr>
            <w:tcW w:w="1316" w:type="dxa"/>
            <w:tcBorders>
              <w:left w:val="single" w:color="auto" w:sz="4" w:space="0"/>
            </w:tcBorders>
            <w:vAlign w:val="center"/>
          </w:tcPr>
          <w:p>
            <w:pPr>
              <w:rPr>
                <w:kern w:val="0"/>
              </w:rPr>
            </w:pPr>
          </w:p>
        </w:tc>
        <w:tc>
          <w:tcPr>
            <w:tcW w:w="1163" w:type="dxa"/>
            <w:vMerge w:val="continue"/>
            <w:vAlign w:val="center"/>
          </w:tcPr>
          <w:p>
            <w:pPr>
              <w:rPr>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19" w:type="dxa"/>
            <w:vMerge w:val="continue"/>
            <w:vAlign w:val="center"/>
          </w:tcPr>
          <w:p>
            <w:pPr>
              <w:rPr>
                <w:kern w:val="0"/>
              </w:rPr>
            </w:pPr>
          </w:p>
        </w:tc>
        <w:tc>
          <w:tcPr>
            <w:tcW w:w="549" w:type="dxa"/>
            <w:vAlign w:val="center"/>
          </w:tcPr>
          <w:p>
            <w:pPr>
              <w:rPr>
                <w:kern w:val="0"/>
              </w:rPr>
            </w:pPr>
            <w:r>
              <w:rPr>
                <w:kern w:val="0"/>
              </w:rPr>
              <w:t>23</w:t>
            </w:r>
          </w:p>
        </w:tc>
        <w:tc>
          <w:tcPr>
            <w:tcW w:w="3171" w:type="dxa"/>
            <w:vAlign w:val="center"/>
          </w:tcPr>
          <w:p>
            <w:pPr>
              <w:rPr>
                <w:kern w:val="0"/>
              </w:rPr>
            </w:pPr>
            <w:r>
              <w:rPr>
                <w:rFonts w:hint="eastAsia" w:cs="宋体"/>
                <w:kern w:val="0"/>
              </w:rPr>
              <w:t>城乡居民基本养老保险参保率</w:t>
            </w:r>
            <w:r>
              <w:rPr>
                <w:kern w:val="0"/>
              </w:rPr>
              <w:t>(%)</w:t>
            </w:r>
          </w:p>
        </w:tc>
        <w:tc>
          <w:tcPr>
            <w:tcW w:w="993" w:type="dxa"/>
            <w:vAlign w:val="center"/>
          </w:tcPr>
          <w:p>
            <w:pPr>
              <w:rPr>
                <w:kern w:val="0"/>
              </w:rPr>
            </w:pPr>
            <w:r>
              <w:rPr>
                <w:kern w:val="0"/>
              </w:rPr>
              <w:t>97</w:t>
            </w:r>
          </w:p>
        </w:tc>
        <w:tc>
          <w:tcPr>
            <w:tcW w:w="1134" w:type="dxa"/>
            <w:tcBorders>
              <w:right w:val="single" w:color="auto" w:sz="4" w:space="0"/>
            </w:tcBorders>
            <w:vAlign w:val="center"/>
          </w:tcPr>
          <w:p>
            <w:pPr>
              <w:rPr>
                <w:kern w:val="0"/>
              </w:rPr>
            </w:pPr>
            <w:r>
              <w:rPr>
                <w:kern w:val="0"/>
              </w:rPr>
              <w:t>&gt;99</w:t>
            </w:r>
          </w:p>
        </w:tc>
        <w:tc>
          <w:tcPr>
            <w:tcW w:w="1316" w:type="dxa"/>
            <w:tcBorders>
              <w:left w:val="single" w:color="auto" w:sz="4" w:space="0"/>
            </w:tcBorders>
            <w:vAlign w:val="center"/>
          </w:tcPr>
          <w:p>
            <w:pPr>
              <w:rPr>
                <w:kern w:val="0"/>
              </w:rPr>
            </w:pPr>
          </w:p>
        </w:tc>
        <w:tc>
          <w:tcPr>
            <w:tcW w:w="1163" w:type="dxa"/>
            <w:vMerge w:val="continue"/>
            <w:vAlign w:val="center"/>
          </w:tcPr>
          <w:p>
            <w:pPr>
              <w:rPr>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19" w:type="dxa"/>
            <w:vMerge w:val="continue"/>
            <w:vAlign w:val="center"/>
          </w:tcPr>
          <w:p>
            <w:pPr>
              <w:rPr>
                <w:kern w:val="0"/>
              </w:rPr>
            </w:pPr>
          </w:p>
        </w:tc>
        <w:tc>
          <w:tcPr>
            <w:tcW w:w="549" w:type="dxa"/>
            <w:vAlign w:val="center"/>
          </w:tcPr>
          <w:p>
            <w:pPr>
              <w:rPr>
                <w:kern w:val="0"/>
              </w:rPr>
            </w:pPr>
            <w:r>
              <w:rPr>
                <w:kern w:val="0"/>
              </w:rPr>
              <w:t>24</w:t>
            </w:r>
          </w:p>
        </w:tc>
        <w:tc>
          <w:tcPr>
            <w:tcW w:w="3171" w:type="dxa"/>
            <w:vAlign w:val="center"/>
          </w:tcPr>
          <w:p>
            <w:pPr>
              <w:rPr>
                <w:kern w:val="0"/>
              </w:rPr>
            </w:pPr>
            <w:r>
              <w:rPr>
                <w:rFonts w:hint="eastAsia" w:cs="宋体"/>
                <w:kern w:val="0"/>
              </w:rPr>
              <w:t>城乡居民基本医疗保险参保率</w:t>
            </w:r>
            <w:r>
              <w:rPr>
                <w:kern w:val="0"/>
              </w:rPr>
              <w:t>(%)</w:t>
            </w:r>
          </w:p>
        </w:tc>
        <w:tc>
          <w:tcPr>
            <w:tcW w:w="993" w:type="dxa"/>
            <w:vAlign w:val="center"/>
          </w:tcPr>
          <w:p>
            <w:pPr>
              <w:rPr>
                <w:kern w:val="0"/>
              </w:rPr>
            </w:pPr>
            <w:r>
              <w:rPr>
                <w:kern w:val="0"/>
              </w:rPr>
              <w:t>98</w:t>
            </w:r>
          </w:p>
        </w:tc>
        <w:tc>
          <w:tcPr>
            <w:tcW w:w="1134" w:type="dxa"/>
            <w:tcBorders>
              <w:right w:val="single" w:color="auto" w:sz="4" w:space="0"/>
            </w:tcBorders>
            <w:vAlign w:val="center"/>
          </w:tcPr>
          <w:p>
            <w:pPr>
              <w:rPr>
                <w:kern w:val="0"/>
              </w:rPr>
            </w:pPr>
            <w:r>
              <w:rPr>
                <w:kern w:val="0"/>
              </w:rPr>
              <w:t>&gt;99</w:t>
            </w:r>
          </w:p>
        </w:tc>
        <w:tc>
          <w:tcPr>
            <w:tcW w:w="1316" w:type="dxa"/>
            <w:tcBorders>
              <w:left w:val="single" w:color="auto" w:sz="4" w:space="0"/>
            </w:tcBorders>
            <w:vAlign w:val="center"/>
          </w:tcPr>
          <w:p>
            <w:pPr>
              <w:rPr>
                <w:kern w:val="0"/>
              </w:rPr>
            </w:pPr>
          </w:p>
        </w:tc>
        <w:tc>
          <w:tcPr>
            <w:tcW w:w="1163" w:type="dxa"/>
            <w:vMerge w:val="continue"/>
            <w:vAlign w:val="center"/>
          </w:tcPr>
          <w:p>
            <w:pPr>
              <w:rPr>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19" w:type="dxa"/>
            <w:vMerge w:val="continue"/>
            <w:vAlign w:val="center"/>
          </w:tcPr>
          <w:p>
            <w:pPr>
              <w:rPr>
                <w:kern w:val="0"/>
              </w:rPr>
            </w:pPr>
          </w:p>
        </w:tc>
        <w:tc>
          <w:tcPr>
            <w:tcW w:w="549" w:type="dxa"/>
            <w:vAlign w:val="center"/>
          </w:tcPr>
          <w:p>
            <w:pPr>
              <w:rPr>
                <w:kern w:val="0"/>
              </w:rPr>
            </w:pPr>
            <w:r>
              <w:rPr>
                <w:kern w:val="0"/>
              </w:rPr>
              <w:t>25</w:t>
            </w:r>
          </w:p>
        </w:tc>
        <w:tc>
          <w:tcPr>
            <w:tcW w:w="3171" w:type="dxa"/>
            <w:vAlign w:val="center"/>
          </w:tcPr>
          <w:p>
            <w:pPr>
              <w:rPr>
                <w:kern w:val="0"/>
              </w:rPr>
            </w:pPr>
            <w:r>
              <w:rPr>
                <w:rFonts w:hint="eastAsia" w:cs="宋体"/>
                <w:kern w:val="0"/>
              </w:rPr>
              <w:t>城镇登记失业率</w:t>
            </w:r>
            <w:r>
              <w:rPr>
                <w:kern w:val="0"/>
              </w:rPr>
              <w:t>(%)</w:t>
            </w:r>
          </w:p>
        </w:tc>
        <w:tc>
          <w:tcPr>
            <w:tcW w:w="993" w:type="dxa"/>
            <w:vAlign w:val="center"/>
          </w:tcPr>
          <w:p>
            <w:pPr>
              <w:rPr>
                <w:kern w:val="0"/>
              </w:rPr>
            </w:pPr>
            <w:r>
              <w:rPr>
                <w:kern w:val="0"/>
              </w:rPr>
              <w:t>1.46</w:t>
            </w:r>
          </w:p>
        </w:tc>
        <w:tc>
          <w:tcPr>
            <w:tcW w:w="1134" w:type="dxa"/>
            <w:tcBorders>
              <w:right w:val="single" w:color="auto" w:sz="4" w:space="0"/>
            </w:tcBorders>
            <w:vAlign w:val="center"/>
          </w:tcPr>
          <w:p>
            <w:pPr>
              <w:rPr>
                <w:kern w:val="0"/>
              </w:rPr>
            </w:pPr>
            <w:r>
              <w:rPr>
                <w:rFonts w:hint="eastAsia"/>
                <w:kern w:val="0"/>
                <w:szCs w:val="21"/>
              </w:rPr>
              <w:t>控制在</w:t>
            </w:r>
            <w:r>
              <w:rPr>
                <w:kern w:val="0"/>
                <w:szCs w:val="21"/>
              </w:rPr>
              <w:t>4</w:t>
            </w:r>
            <w:r>
              <w:rPr>
                <w:rFonts w:hint="eastAsia"/>
                <w:kern w:val="0"/>
                <w:szCs w:val="21"/>
              </w:rPr>
              <w:t>以内</w:t>
            </w:r>
          </w:p>
        </w:tc>
        <w:tc>
          <w:tcPr>
            <w:tcW w:w="1316" w:type="dxa"/>
            <w:tcBorders>
              <w:left w:val="single" w:color="auto" w:sz="4" w:space="0"/>
            </w:tcBorders>
            <w:vAlign w:val="center"/>
          </w:tcPr>
          <w:p>
            <w:pPr>
              <w:rPr>
                <w:kern w:val="0"/>
              </w:rPr>
            </w:pPr>
          </w:p>
        </w:tc>
        <w:tc>
          <w:tcPr>
            <w:tcW w:w="1163" w:type="dxa"/>
            <w:vMerge w:val="continue"/>
            <w:vAlign w:val="center"/>
          </w:tcPr>
          <w:p>
            <w:pPr>
              <w:rPr>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19" w:type="dxa"/>
            <w:vMerge w:val="continue"/>
            <w:vAlign w:val="center"/>
          </w:tcPr>
          <w:p>
            <w:pPr>
              <w:rPr>
                <w:kern w:val="0"/>
              </w:rPr>
            </w:pPr>
          </w:p>
        </w:tc>
        <w:tc>
          <w:tcPr>
            <w:tcW w:w="549" w:type="dxa"/>
            <w:vAlign w:val="center"/>
          </w:tcPr>
          <w:p>
            <w:pPr>
              <w:rPr>
                <w:kern w:val="0"/>
              </w:rPr>
            </w:pPr>
            <w:r>
              <w:rPr>
                <w:kern w:val="0"/>
              </w:rPr>
              <w:t>26</w:t>
            </w:r>
          </w:p>
        </w:tc>
        <w:tc>
          <w:tcPr>
            <w:tcW w:w="3171" w:type="dxa"/>
            <w:vAlign w:val="center"/>
          </w:tcPr>
          <w:p>
            <w:pPr>
              <w:rPr>
                <w:rFonts w:cs="宋体"/>
                <w:kern w:val="0"/>
              </w:rPr>
            </w:pPr>
            <w:r>
              <w:rPr>
                <w:rFonts w:hint="eastAsia" w:cs="宋体"/>
                <w:kern w:val="0"/>
              </w:rPr>
              <w:t>九年义务教育巩固率</w:t>
            </w:r>
            <w:r>
              <w:rPr>
                <w:kern w:val="0"/>
              </w:rPr>
              <w:t>(%)</w:t>
            </w:r>
          </w:p>
        </w:tc>
        <w:tc>
          <w:tcPr>
            <w:tcW w:w="993" w:type="dxa"/>
            <w:vAlign w:val="center"/>
          </w:tcPr>
          <w:p>
            <w:pPr>
              <w:rPr>
                <w:kern w:val="0"/>
              </w:rPr>
            </w:pPr>
          </w:p>
        </w:tc>
        <w:tc>
          <w:tcPr>
            <w:tcW w:w="1134" w:type="dxa"/>
            <w:tcBorders>
              <w:right w:val="single" w:color="auto" w:sz="4" w:space="0"/>
            </w:tcBorders>
            <w:vAlign w:val="center"/>
          </w:tcPr>
          <w:p>
            <w:pPr>
              <w:rPr>
                <w:kern w:val="0"/>
              </w:rPr>
            </w:pPr>
            <w:r>
              <w:rPr>
                <w:kern w:val="0"/>
              </w:rPr>
              <w:t>&gt;99</w:t>
            </w:r>
          </w:p>
        </w:tc>
        <w:tc>
          <w:tcPr>
            <w:tcW w:w="1316" w:type="dxa"/>
            <w:tcBorders>
              <w:left w:val="single" w:color="auto" w:sz="4" w:space="0"/>
            </w:tcBorders>
            <w:vAlign w:val="center"/>
          </w:tcPr>
          <w:p>
            <w:pPr>
              <w:rPr>
                <w:kern w:val="0"/>
              </w:rPr>
            </w:pPr>
          </w:p>
        </w:tc>
        <w:tc>
          <w:tcPr>
            <w:tcW w:w="1163" w:type="dxa"/>
            <w:vMerge w:val="continue"/>
            <w:vAlign w:val="center"/>
          </w:tcPr>
          <w:p>
            <w:pPr>
              <w:rPr>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19" w:type="dxa"/>
            <w:vMerge w:val="continue"/>
            <w:vAlign w:val="center"/>
          </w:tcPr>
          <w:p>
            <w:pPr>
              <w:rPr>
                <w:kern w:val="0"/>
              </w:rPr>
            </w:pPr>
          </w:p>
        </w:tc>
        <w:tc>
          <w:tcPr>
            <w:tcW w:w="549" w:type="dxa"/>
            <w:vAlign w:val="center"/>
          </w:tcPr>
          <w:p>
            <w:pPr>
              <w:rPr>
                <w:kern w:val="0"/>
              </w:rPr>
            </w:pPr>
            <w:r>
              <w:rPr>
                <w:kern w:val="0"/>
              </w:rPr>
              <w:t>27</w:t>
            </w:r>
          </w:p>
        </w:tc>
        <w:tc>
          <w:tcPr>
            <w:tcW w:w="3171" w:type="dxa"/>
            <w:vAlign w:val="center"/>
          </w:tcPr>
          <w:p>
            <w:pPr>
              <w:rPr>
                <w:rFonts w:cs="宋体"/>
                <w:kern w:val="0"/>
              </w:rPr>
            </w:pPr>
            <w:r>
              <w:rPr>
                <w:rFonts w:hint="eastAsia" w:cs="宋体"/>
                <w:kern w:val="0"/>
              </w:rPr>
              <w:t>高中阶段教育毛入学率</w:t>
            </w:r>
            <w:r>
              <w:rPr>
                <w:kern w:val="0"/>
              </w:rPr>
              <w:t>(%)</w:t>
            </w:r>
          </w:p>
        </w:tc>
        <w:tc>
          <w:tcPr>
            <w:tcW w:w="993" w:type="dxa"/>
            <w:vAlign w:val="center"/>
          </w:tcPr>
          <w:p>
            <w:pPr>
              <w:rPr>
                <w:kern w:val="0"/>
              </w:rPr>
            </w:pPr>
          </w:p>
        </w:tc>
        <w:tc>
          <w:tcPr>
            <w:tcW w:w="1134" w:type="dxa"/>
            <w:tcBorders>
              <w:right w:val="single" w:color="auto" w:sz="4" w:space="0"/>
            </w:tcBorders>
            <w:vAlign w:val="center"/>
          </w:tcPr>
          <w:p>
            <w:pPr>
              <w:rPr>
                <w:kern w:val="0"/>
              </w:rPr>
            </w:pPr>
            <w:r>
              <w:rPr>
                <w:kern w:val="0"/>
              </w:rPr>
              <w:t>&gt;92</w:t>
            </w:r>
          </w:p>
        </w:tc>
        <w:tc>
          <w:tcPr>
            <w:tcW w:w="1316" w:type="dxa"/>
            <w:tcBorders>
              <w:left w:val="single" w:color="auto" w:sz="4" w:space="0"/>
            </w:tcBorders>
            <w:vAlign w:val="center"/>
          </w:tcPr>
          <w:p>
            <w:pPr>
              <w:rPr>
                <w:kern w:val="0"/>
              </w:rPr>
            </w:pPr>
          </w:p>
        </w:tc>
        <w:tc>
          <w:tcPr>
            <w:tcW w:w="1163" w:type="dxa"/>
            <w:vMerge w:val="continue"/>
            <w:vAlign w:val="center"/>
          </w:tcPr>
          <w:p>
            <w:pPr>
              <w:rPr>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19" w:type="dxa"/>
            <w:vMerge w:val="continue"/>
            <w:vAlign w:val="center"/>
          </w:tcPr>
          <w:p>
            <w:pPr>
              <w:rPr>
                <w:kern w:val="0"/>
              </w:rPr>
            </w:pPr>
          </w:p>
        </w:tc>
        <w:tc>
          <w:tcPr>
            <w:tcW w:w="549" w:type="dxa"/>
            <w:vAlign w:val="center"/>
          </w:tcPr>
          <w:p>
            <w:pPr>
              <w:rPr>
                <w:kern w:val="0"/>
              </w:rPr>
            </w:pPr>
            <w:r>
              <w:rPr>
                <w:kern w:val="0"/>
              </w:rPr>
              <w:t>28</w:t>
            </w:r>
          </w:p>
        </w:tc>
        <w:tc>
          <w:tcPr>
            <w:tcW w:w="3171" w:type="dxa"/>
            <w:vAlign w:val="center"/>
          </w:tcPr>
          <w:p>
            <w:pPr>
              <w:rPr>
                <w:rFonts w:cs="宋体"/>
                <w:kern w:val="0"/>
              </w:rPr>
            </w:pPr>
            <w:r>
              <w:rPr>
                <w:rFonts w:hint="eastAsia" w:cs="宋体"/>
                <w:kern w:val="0"/>
              </w:rPr>
              <w:t>农村贫困人口脱贫</w:t>
            </w:r>
          </w:p>
        </w:tc>
        <w:tc>
          <w:tcPr>
            <w:tcW w:w="993" w:type="dxa"/>
            <w:vAlign w:val="center"/>
          </w:tcPr>
          <w:p>
            <w:pPr>
              <w:rPr>
                <w:kern w:val="0"/>
              </w:rPr>
            </w:pPr>
          </w:p>
        </w:tc>
        <w:tc>
          <w:tcPr>
            <w:tcW w:w="1134" w:type="dxa"/>
            <w:tcBorders>
              <w:right w:val="single" w:color="auto" w:sz="4" w:space="0"/>
            </w:tcBorders>
            <w:vAlign w:val="center"/>
          </w:tcPr>
          <w:p>
            <w:pPr>
              <w:rPr>
                <w:kern w:val="0"/>
              </w:rPr>
            </w:pPr>
            <w:r>
              <w:rPr>
                <w:rFonts w:hint="eastAsia"/>
                <w:kern w:val="0"/>
              </w:rPr>
              <w:t>全部脱贫</w:t>
            </w:r>
          </w:p>
        </w:tc>
        <w:tc>
          <w:tcPr>
            <w:tcW w:w="1316" w:type="dxa"/>
            <w:tcBorders>
              <w:left w:val="single" w:color="auto" w:sz="4" w:space="0"/>
            </w:tcBorders>
            <w:vAlign w:val="center"/>
          </w:tcPr>
          <w:p>
            <w:pPr>
              <w:rPr>
                <w:kern w:val="0"/>
              </w:rPr>
            </w:pPr>
          </w:p>
        </w:tc>
        <w:tc>
          <w:tcPr>
            <w:tcW w:w="1163" w:type="dxa"/>
            <w:vMerge w:val="continue"/>
            <w:vAlign w:val="center"/>
          </w:tcPr>
          <w:p>
            <w:pPr>
              <w:rPr>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19" w:type="dxa"/>
            <w:vMerge w:val="continue"/>
            <w:vAlign w:val="center"/>
          </w:tcPr>
          <w:p>
            <w:pPr>
              <w:rPr>
                <w:kern w:val="0"/>
              </w:rPr>
            </w:pPr>
          </w:p>
        </w:tc>
        <w:tc>
          <w:tcPr>
            <w:tcW w:w="549" w:type="dxa"/>
            <w:vAlign w:val="center"/>
          </w:tcPr>
          <w:p>
            <w:pPr>
              <w:rPr>
                <w:kern w:val="0"/>
              </w:rPr>
            </w:pPr>
            <w:r>
              <w:rPr>
                <w:kern w:val="0"/>
              </w:rPr>
              <w:t>29</w:t>
            </w:r>
          </w:p>
        </w:tc>
        <w:tc>
          <w:tcPr>
            <w:tcW w:w="3171" w:type="dxa"/>
            <w:vAlign w:val="center"/>
          </w:tcPr>
          <w:p>
            <w:pPr>
              <w:rPr>
                <w:rFonts w:cs="宋体"/>
                <w:kern w:val="0"/>
              </w:rPr>
            </w:pPr>
            <w:r>
              <w:rPr>
                <w:rFonts w:hint="eastAsia" w:cs="宋体"/>
                <w:kern w:val="0"/>
              </w:rPr>
              <w:t>棚户区改造</w:t>
            </w:r>
          </w:p>
        </w:tc>
        <w:tc>
          <w:tcPr>
            <w:tcW w:w="993" w:type="dxa"/>
            <w:vAlign w:val="center"/>
          </w:tcPr>
          <w:p>
            <w:pPr>
              <w:rPr>
                <w:kern w:val="0"/>
              </w:rPr>
            </w:pPr>
          </w:p>
        </w:tc>
        <w:tc>
          <w:tcPr>
            <w:tcW w:w="1134" w:type="dxa"/>
            <w:tcBorders>
              <w:right w:val="single" w:color="auto" w:sz="4" w:space="0"/>
            </w:tcBorders>
            <w:vAlign w:val="center"/>
          </w:tcPr>
          <w:p>
            <w:pPr>
              <w:rPr>
                <w:kern w:val="0"/>
              </w:rPr>
            </w:pPr>
            <w:r>
              <w:rPr>
                <w:rFonts w:hint="eastAsia" w:cs="宋体"/>
                <w:kern w:val="0"/>
                <w:szCs w:val="21"/>
              </w:rPr>
              <w:t>完成市下达任务</w:t>
            </w:r>
          </w:p>
        </w:tc>
        <w:tc>
          <w:tcPr>
            <w:tcW w:w="1316" w:type="dxa"/>
            <w:tcBorders>
              <w:left w:val="single" w:color="auto" w:sz="4" w:space="0"/>
            </w:tcBorders>
            <w:vAlign w:val="center"/>
          </w:tcPr>
          <w:p>
            <w:pPr>
              <w:rPr>
                <w:kern w:val="0"/>
              </w:rPr>
            </w:pPr>
          </w:p>
        </w:tc>
        <w:tc>
          <w:tcPr>
            <w:tcW w:w="1163" w:type="dxa"/>
            <w:vMerge w:val="continue"/>
            <w:vAlign w:val="center"/>
          </w:tcPr>
          <w:p>
            <w:pPr>
              <w:rPr>
                <w:kern w:val="0"/>
              </w:rPr>
            </w:pPr>
          </w:p>
        </w:tc>
      </w:tr>
    </w:tbl>
    <w:p>
      <w:pPr>
        <w:rPr>
          <w:rFonts w:cs="宋体"/>
          <w:sz w:val="18"/>
          <w:szCs w:val="18"/>
        </w:rPr>
      </w:pPr>
      <w:r>
        <w:rPr>
          <w:rFonts w:hint="eastAsia" w:cs="宋体"/>
          <w:sz w:val="18"/>
          <w:szCs w:val="18"/>
        </w:rPr>
        <w:t>注：地区生产总值、</w:t>
      </w:r>
      <w:r>
        <w:rPr>
          <w:rFonts w:hint="eastAsia" w:cs="宋体"/>
          <w:kern w:val="0"/>
          <w:sz w:val="18"/>
          <w:szCs w:val="18"/>
        </w:rPr>
        <w:t>人均地区生产总值按可比价计算；</w:t>
      </w:r>
      <w:r>
        <w:rPr>
          <w:rFonts w:hint="eastAsia" w:cs="宋体"/>
          <w:sz w:val="18"/>
          <w:szCs w:val="18"/>
        </w:rPr>
        <w:t>财政收入、固定资产投资、旅游收入和旅游外汇收入等绝对数按当年价格计算。</w:t>
      </w:r>
      <w:r>
        <w:rPr>
          <w:sz w:val="18"/>
          <w:szCs w:val="18"/>
        </w:rPr>
        <w:t>[  ]</w:t>
      </w:r>
      <w:r>
        <w:rPr>
          <w:rFonts w:hint="eastAsia" w:cs="宋体"/>
          <w:sz w:val="18"/>
          <w:szCs w:val="18"/>
        </w:rPr>
        <w:t>为五年累计提高数。</w:t>
      </w:r>
    </w:p>
    <w:p>
      <w:pPr/>
    </w:p>
    <w:p>
      <w:pPr>
        <w:pStyle w:val="2"/>
        <w:spacing w:before="480" w:after="240" w:line="360" w:lineRule="auto"/>
        <w:jc w:val="center"/>
        <w:rPr>
          <w:rFonts w:ascii="仿宋" w:hAnsi="仿宋" w:eastAsia="仿宋"/>
          <w:sz w:val="40"/>
          <w:szCs w:val="32"/>
        </w:rPr>
      </w:pPr>
      <w:bookmarkStart w:id="90" w:name="_Toc12664"/>
      <w:bookmarkStart w:id="91" w:name="_Toc443338968"/>
      <w:bookmarkStart w:id="92" w:name="_Toc4039"/>
      <w:bookmarkStart w:id="93" w:name="_Toc430344843"/>
      <w:r>
        <w:rPr>
          <w:rFonts w:hint="eastAsia" w:ascii="仿宋" w:hAnsi="仿宋" w:eastAsia="仿宋"/>
          <w:sz w:val="40"/>
          <w:szCs w:val="32"/>
        </w:rPr>
        <w:t>第三部分</w:t>
      </w:r>
      <w:r>
        <w:rPr>
          <w:rFonts w:ascii="仿宋" w:hAnsi="仿宋" w:eastAsia="仿宋"/>
          <w:sz w:val="40"/>
          <w:szCs w:val="32"/>
        </w:rPr>
        <w:t xml:space="preserve">  </w:t>
      </w:r>
      <w:r>
        <w:rPr>
          <w:rFonts w:hint="eastAsia" w:ascii="仿宋" w:hAnsi="仿宋" w:eastAsia="仿宋"/>
          <w:sz w:val="40"/>
          <w:szCs w:val="32"/>
        </w:rPr>
        <w:t>加快产业优化升级，建设“实力吉阳”</w:t>
      </w:r>
      <w:bookmarkEnd w:id="90"/>
      <w:bookmarkEnd w:id="91"/>
      <w:bookmarkEnd w:id="92"/>
    </w:p>
    <w:p>
      <w:pPr>
        <w:ind w:firstLine="646" w:firstLineChars="202"/>
        <w:rPr>
          <w:rFonts w:ascii="仿宋" w:hAnsi="仿宋" w:eastAsia="仿宋" w:cs="宋体"/>
          <w:kern w:val="0"/>
          <w:sz w:val="32"/>
          <w:szCs w:val="32"/>
        </w:rPr>
      </w:pPr>
      <w:r>
        <w:rPr>
          <w:rFonts w:hint="eastAsia" w:ascii="仿宋" w:hAnsi="仿宋" w:eastAsia="仿宋"/>
          <w:sz w:val="32"/>
          <w:szCs w:val="32"/>
        </w:rPr>
        <w:t>根据吉阳区的资源条件和区域优势</w:t>
      </w:r>
      <w:r>
        <w:rPr>
          <w:rFonts w:hint="eastAsia" w:ascii="仿宋" w:hAnsi="仿宋" w:eastAsia="仿宋" w:cs="宋体"/>
          <w:kern w:val="0"/>
          <w:sz w:val="32"/>
          <w:szCs w:val="32"/>
        </w:rPr>
        <w:t>，紧抓开放开发机遇，重点发展旅游业、热带特色农业、互联网产业、科教文体产业、金融商务、房地产、商贸物流等七大产业，促进吉阳区经济转型升级、提质增效、做精做强。</w:t>
      </w:r>
    </w:p>
    <w:p>
      <w:pPr>
        <w:pStyle w:val="3"/>
        <w:spacing w:before="480" w:after="240" w:line="360" w:lineRule="auto"/>
        <w:rPr>
          <w:rFonts w:ascii="仿宋" w:hAnsi="仿宋" w:eastAsia="仿宋" w:cs="宋体"/>
          <w:kern w:val="0"/>
          <w:sz w:val="36"/>
        </w:rPr>
      </w:pPr>
      <w:bookmarkStart w:id="94" w:name="_Toc429498040"/>
      <w:bookmarkStart w:id="95" w:name="_Toc443338969"/>
      <w:bookmarkStart w:id="96" w:name="_Toc13484"/>
      <w:bookmarkStart w:id="97" w:name="_Toc31470"/>
      <w:r>
        <w:rPr>
          <w:rFonts w:hint="eastAsia" w:ascii="仿宋" w:hAnsi="仿宋" w:eastAsia="仿宋" w:cs="宋体"/>
          <w:kern w:val="0"/>
          <w:sz w:val="36"/>
        </w:rPr>
        <w:t>一、促进旅游业高端化发展</w:t>
      </w:r>
      <w:bookmarkEnd w:id="94"/>
      <w:bookmarkEnd w:id="95"/>
      <w:bookmarkEnd w:id="96"/>
      <w:bookmarkEnd w:id="97"/>
    </w:p>
    <w:p>
      <w:pPr>
        <w:widowControl/>
        <w:spacing w:beforeLines="50" w:afterLines="50" w:line="300" w:lineRule="auto"/>
        <w:ind w:firstLine="646" w:firstLineChars="202"/>
        <w:rPr>
          <w:rFonts w:ascii="仿宋" w:hAnsi="仿宋" w:eastAsia="仿宋" w:cs="宋体"/>
          <w:kern w:val="0"/>
          <w:sz w:val="32"/>
          <w:szCs w:val="32"/>
        </w:rPr>
      </w:pPr>
      <w:r>
        <w:rPr>
          <w:rFonts w:hint="eastAsia" w:ascii="仿宋" w:hAnsi="仿宋" w:eastAsia="仿宋" w:cs="宋体"/>
          <w:kern w:val="0"/>
          <w:sz w:val="32"/>
          <w:szCs w:val="32"/>
        </w:rPr>
        <w:t>立足吉阳区旅游业基础和条件，积极改造提升和新建旅游景区，创新“旅游</w:t>
      </w:r>
      <w:r>
        <w:rPr>
          <w:rFonts w:ascii="仿宋" w:hAnsi="仿宋" w:eastAsia="仿宋" w:cs="宋体"/>
          <w:kern w:val="0"/>
          <w:sz w:val="32"/>
          <w:szCs w:val="32"/>
        </w:rPr>
        <w:t>+X</w:t>
      </w:r>
      <w:r>
        <w:rPr>
          <w:rFonts w:hint="eastAsia" w:ascii="仿宋" w:hAnsi="仿宋" w:eastAsia="仿宋" w:cs="宋体"/>
          <w:kern w:val="0"/>
          <w:sz w:val="32"/>
          <w:szCs w:val="32"/>
        </w:rPr>
        <w:t>”模式培育新型旅游产品，优化旅游配套服务，全面提升旅游业发展质量。</w:t>
      </w:r>
    </w:p>
    <w:p>
      <w:pPr>
        <w:widowControl/>
        <w:spacing w:beforeLines="50" w:afterLines="50" w:line="300" w:lineRule="auto"/>
        <w:ind w:firstLine="643" w:firstLineChars="200"/>
        <w:rPr>
          <w:rFonts w:ascii="仿宋" w:hAnsi="仿宋" w:eastAsia="仿宋" w:cs="宋体"/>
          <w:kern w:val="0"/>
          <w:sz w:val="32"/>
          <w:szCs w:val="32"/>
        </w:rPr>
      </w:pPr>
      <w:r>
        <w:rPr>
          <w:rFonts w:hint="eastAsia" w:ascii="仿宋" w:hAnsi="仿宋" w:eastAsia="仿宋" w:cs="宋体"/>
          <w:b/>
          <w:kern w:val="0"/>
          <w:sz w:val="32"/>
          <w:szCs w:val="32"/>
        </w:rPr>
        <w:t>建设一流精品景区</w:t>
      </w:r>
      <w:r>
        <w:rPr>
          <w:rFonts w:hint="eastAsia" w:ascii="仿宋" w:hAnsi="仿宋" w:eastAsia="仿宋" w:cs="宋体"/>
          <w:kern w:val="0"/>
          <w:sz w:val="32"/>
          <w:szCs w:val="32"/>
        </w:rPr>
        <w:t>。在亚龙湾、大东海打造全要素旅游区，加强博物馆、展览馆、电影城、国际品牌折扣店等设施建设，实现旅游业态升级。积极改造提升鹿回头风景区、三亚凤凰岭景区、</w:t>
      </w:r>
      <w:r>
        <w:rPr>
          <w:rFonts w:hint="eastAsia" w:ascii="仿宋" w:hAnsi="仿宋" w:eastAsia="仿宋"/>
          <w:sz w:val="32"/>
          <w:szCs w:val="32"/>
        </w:rPr>
        <w:t>亚龙湾玫瑰风情小镇</w:t>
      </w:r>
      <w:r>
        <w:rPr>
          <w:rFonts w:hint="eastAsia" w:ascii="仿宋" w:hAnsi="仿宋" w:eastAsia="仿宋" w:cs="宋体"/>
          <w:kern w:val="0"/>
          <w:sz w:val="32"/>
          <w:szCs w:val="32"/>
        </w:rPr>
        <w:t>、亚龙湾热带天堂森林公园、中廖美丽乡村、三亚千古情等大型景区，加快完善旅游景区基础设施和服务配套；积极建设中央公园、外交基地、落笔洞生态旅游区、鸿洲游艇码头、半山半岛帆船港等新景区。</w:t>
      </w:r>
    </w:p>
    <w:p>
      <w:pPr>
        <w:widowControl/>
        <w:spacing w:beforeLines="50" w:afterLines="50" w:line="300" w:lineRule="auto"/>
        <w:ind w:firstLine="643" w:firstLineChars="200"/>
        <w:rPr>
          <w:rFonts w:ascii="仿宋" w:hAnsi="仿宋" w:eastAsia="仿宋" w:cs="宋体"/>
          <w:kern w:val="0"/>
          <w:sz w:val="32"/>
          <w:szCs w:val="32"/>
        </w:rPr>
      </w:pPr>
      <w:r>
        <w:rPr>
          <w:rFonts w:hint="eastAsia" w:ascii="仿宋" w:hAnsi="仿宋" w:eastAsia="仿宋" w:cs="宋体"/>
          <w:b/>
          <w:kern w:val="0"/>
          <w:sz w:val="32"/>
          <w:szCs w:val="32"/>
        </w:rPr>
        <w:t>融合创新旅游产品</w:t>
      </w:r>
      <w:r>
        <w:rPr>
          <w:rFonts w:hint="eastAsia" w:ascii="仿宋" w:hAnsi="仿宋" w:eastAsia="仿宋" w:cs="宋体"/>
          <w:kern w:val="0"/>
          <w:sz w:val="32"/>
          <w:szCs w:val="32"/>
        </w:rPr>
        <w:t>。对接三亚医疗健康服务业发展，依托三亚中医院等载体，以中医养生为重点积极创新医疗健康旅游产品，积极规划建设医疗健康旅游综合体；依托亚龙湾、半山半岛、大东海等优质海域，积极发展游艇游船、帆船、低空飞行等海洋旅游产品；依托玫瑰谷、红沙教堂，大力发展婚庆旅游，积极完善婚庆旅游产业链；积极打造中廖黎族故事、干沟兰花风情、博后玫瑰风情和落笔温泉养生等各具特色的风情小镇，打造集旅游观光、健康养生、度假及其他新型旅游项目于一体的农业旅游综合体，促进旅游业和农业融合发展；积极创新推进教育、培训与旅游相结合的项目；积极建设外交基地。</w:t>
      </w:r>
    </w:p>
    <w:p>
      <w:pPr>
        <w:widowControl/>
        <w:spacing w:beforeLines="50" w:afterLines="50" w:line="300" w:lineRule="auto"/>
        <w:ind w:firstLine="643" w:firstLineChars="200"/>
        <w:rPr>
          <w:rFonts w:ascii="仿宋" w:hAnsi="仿宋" w:eastAsia="仿宋" w:cs="宋体"/>
          <w:kern w:val="0"/>
          <w:sz w:val="32"/>
          <w:szCs w:val="32"/>
        </w:rPr>
      </w:pPr>
      <w:r>
        <w:rPr>
          <w:rFonts w:hint="eastAsia" w:ascii="仿宋" w:hAnsi="仿宋" w:eastAsia="仿宋" w:cs="宋体"/>
          <w:b/>
          <w:kern w:val="0"/>
          <w:sz w:val="32"/>
          <w:szCs w:val="32"/>
        </w:rPr>
        <w:t>提高旅游配套能力</w:t>
      </w:r>
      <w:r>
        <w:rPr>
          <w:rFonts w:hint="eastAsia" w:ascii="仿宋" w:hAnsi="仿宋" w:eastAsia="仿宋" w:cs="宋体"/>
          <w:kern w:val="0"/>
          <w:sz w:val="32"/>
          <w:szCs w:val="32"/>
        </w:rPr>
        <w:t>。积极完善旅游产业链，提升旅游配套服务和旅游业监管水平，优化旅游综合环境。积极提升亚龙湾酒店品质，积极改善亚龙湾交通环境，提高配套服务能力；积极提升酒店宾馆的国际化水平。积极引进国际知名餐饮集团、国内特色菜系和知名餐饮连锁企业，提高餐饮业国际化、多样化、特色化水平；加强餐饮企业、大排档规范化管理，提高整体餐饮服务质量。加快推进轻轨、海上巴士等建设，积极规划建设停车场、绿道慢行系统、旅游巴士、自行车系统等，完善旅游交通服务体系。加强市场、摊位的治理和整合，规划建设一批具有良好购物环境的特色旅游产品市场。结合旅游休闲度假和“慢生活”需求，加强各类文化娱乐设施配套建设。</w:t>
      </w:r>
      <w:r>
        <w:rPr>
          <w:rFonts w:hint="eastAsia" w:ascii="仿宋" w:hAnsi="仿宋" w:eastAsia="仿宋"/>
          <w:sz w:val="32"/>
          <w:szCs w:val="32"/>
        </w:rPr>
        <w:t>结合旅游业和城区发展需要，加快开展标准化星级厕所规划布局与建设维护管理。</w:t>
      </w:r>
      <w:r>
        <w:rPr>
          <w:rFonts w:hint="eastAsia" w:ascii="仿宋" w:hAnsi="仿宋" w:eastAsia="仿宋" w:cs="宋体"/>
          <w:kern w:val="0"/>
          <w:sz w:val="32"/>
          <w:szCs w:val="32"/>
        </w:rPr>
        <w:t>加强旅游服务质量监督和检查，推动旅游诚信体系建设。健全网络旅游市场监管机制。</w:t>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widowControl/>
              <w:spacing w:beforeLines="50" w:afterLines="50"/>
              <w:jc w:val="center"/>
              <w:rPr>
                <w:rFonts w:ascii="仿宋" w:hAnsi="仿宋" w:eastAsia="仿宋" w:cs="宋体"/>
                <w:b/>
                <w:kern w:val="0"/>
                <w:sz w:val="24"/>
              </w:rPr>
            </w:pPr>
            <w:r>
              <w:rPr>
                <w:rFonts w:hint="eastAsia" w:ascii="仿宋" w:hAnsi="仿宋" w:eastAsia="仿宋" w:cs="宋体"/>
                <w:b/>
                <w:kern w:val="0"/>
                <w:sz w:val="24"/>
              </w:rPr>
              <w:t>专栏</w:t>
            </w:r>
            <w:r>
              <w:rPr>
                <w:rFonts w:ascii="仿宋" w:hAnsi="仿宋" w:eastAsia="仿宋" w:cs="宋体"/>
                <w:b/>
                <w:kern w:val="0"/>
                <w:sz w:val="24"/>
              </w:rPr>
              <w:t xml:space="preserve">1 </w:t>
            </w:r>
            <w:r>
              <w:rPr>
                <w:rFonts w:hint="eastAsia" w:ascii="仿宋" w:hAnsi="仿宋" w:eastAsia="仿宋" w:cs="宋体"/>
                <w:b/>
                <w:kern w:val="0"/>
                <w:sz w:val="24"/>
              </w:rPr>
              <w:t>旅游业重点工程</w:t>
            </w:r>
          </w:p>
          <w:p>
            <w:pPr>
              <w:pStyle w:val="39"/>
              <w:widowControl/>
              <w:numPr>
                <w:ilvl w:val="0"/>
                <w:numId w:val="1"/>
              </w:numPr>
              <w:ind w:firstLineChars="0"/>
              <w:rPr>
                <w:rFonts w:ascii="仿宋" w:hAnsi="仿宋" w:eastAsia="仿宋" w:cs="宋体"/>
                <w:kern w:val="0"/>
                <w:sz w:val="24"/>
              </w:rPr>
            </w:pPr>
            <w:r>
              <w:rPr>
                <w:rFonts w:hint="eastAsia" w:ascii="仿宋" w:hAnsi="仿宋" w:eastAsia="仿宋" w:cs="宋体"/>
                <w:kern w:val="0"/>
                <w:sz w:val="24"/>
              </w:rPr>
              <w:t>亚龙湾旅游文化综合体（续建）</w:t>
            </w:r>
          </w:p>
          <w:p>
            <w:pPr>
              <w:pStyle w:val="39"/>
              <w:widowControl/>
              <w:numPr>
                <w:ilvl w:val="0"/>
                <w:numId w:val="1"/>
              </w:numPr>
              <w:ind w:firstLineChars="0"/>
              <w:rPr>
                <w:rFonts w:ascii="仿宋" w:hAnsi="仿宋" w:eastAsia="仿宋" w:cs="宋体"/>
                <w:kern w:val="0"/>
                <w:sz w:val="24"/>
              </w:rPr>
            </w:pPr>
            <w:r>
              <w:rPr>
                <w:rFonts w:hint="eastAsia" w:ascii="仿宋" w:hAnsi="仿宋" w:eastAsia="仿宋" w:cs="宋体"/>
                <w:kern w:val="0"/>
                <w:sz w:val="24"/>
              </w:rPr>
              <w:t>三亚美丽之冠大酒店（续建）</w:t>
            </w:r>
          </w:p>
          <w:p>
            <w:pPr>
              <w:pStyle w:val="39"/>
              <w:widowControl/>
              <w:numPr>
                <w:ilvl w:val="0"/>
                <w:numId w:val="1"/>
              </w:numPr>
              <w:ind w:firstLineChars="0"/>
              <w:rPr>
                <w:rFonts w:ascii="仿宋" w:hAnsi="仿宋" w:eastAsia="仿宋" w:cs="宋体"/>
                <w:kern w:val="0"/>
                <w:sz w:val="24"/>
              </w:rPr>
            </w:pPr>
            <w:r>
              <w:rPr>
                <w:rFonts w:hint="eastAsia" w:ascii="仿宋" w:hAnsi="仿宋" w:eastAsia="仿宋" w:cs="宋体"/>
                <w:kern w:val="0"/>
                <w:sz w:val="24"/>
              </w:rPr>
              <w:t>华皓·亚龙溪谷（续建）</w:t>
            </w:r>
          </w:p>
          <w:p>
            <w:pPr>
              <w:pStyle w:val="39"/>
              <w:widowControl/>
              <w:numPr>
                <w:ilvl w:val="0"/>
                <w:numId w:val="1"/>
              </w:numPr>
              <w:ind w:firstLineChars="0"/>
              <w:rPr>
                <w:rFonts w:ascii="仿宋" w:hAnsi="仿宋" w:eastAsia="仿宋" w:cs="宋体"/>
                <w:kern w:val="0"/>
                <w:sz w:val="24"/>
              </w:rPr>
            </w:pPr>
            <w:r>
              <w:rPr>
                <w:rFonts w:hint="eastAsia" w:ascii="仿宋" w:hAnsi="仿宋" w:eastAsia="仿宋" w:cs="宋体"/>
                <w:kern w:val="0"/>
                <w:sz w:val="24"/>
              </w:rPr>
              <w:t>三亚半岭温泉度假酒店（续建）</w:t>
            </w:r>
          </w:p>
          <w:p>
            <w:pPr>
              <w:pStyle w:val="39"/>
              <w:widowControl/>
              <w:numPr>
                <w:ilvl w:val="0"/>
                <w:numId w:val="1"/>
              </w:numPr>
              <w:ind w:firstLineChars="0"/>
              <w:rPr>
                <w:rFonts w:ascii="仿宋" w:hAnsi="仿宋" w:eastAsia="仿宋" w:cs="宋体"/>
                <w:kern w:val="0"/>
                <w:sz w:val="24"/>
              </w:rPr>
            </w:pPr>
            <w:r>
              <w:rPr>
                <w:rFonts w:hint="eastAsia" w:ascii="仿宋" w:hAnsi="仿宋" w:eastAsia="仿宋" w:cs="宋体"/>
                <w:kern w:val="0"/>
                <w:sz w:val="24"/>
              </w:rPr>
              <w:t>落笔洞遗址公园</w:t>
            </w:r>
          </w:p>
          <w:p>
            <w:pPr>
              <w:pStyle w:val="39"/>
              <w:widowControl/>
              <w:numPr>
                <w:ilvl w:val="0"/>
                <w:numId w:val="1"/>
              </w:numPr>
              <w:ind w:firstLineChars="0"/>
              <w:rPr>
                <w:rFonts w:ascii="仿宋" w:hAnsi="仿宋" w:eastAsia="仿宋" w:cs="宋体"/>
                <w:kern w:val="0"/>
                <w:sz w:val="24"/>
              </w:rPr>
            </w:pPr>
            <w:r>
              <w:rPr>
                <w:rFonts w:hint="eastAsia" w:ascii="仿宋" w:hAnsi="仿宋" w:eastAsia="仿宋" w:cs="宋体"/>
                <w:kern w:val="0"/>
                <w:sz w:val="24"/>
              </w:rPr>
              <w:t>鹿回头国际城市公园（黎族文化旅游区）</w:t>
            </w:r>
          </w:p>
          <w:p>
            <w:pPr>
              <w:pStyle w:val="39"/>
              <w:widowControl/>
              <w:numPr>
                <w:ilvl w:val="0"/>
                <w:numId w:val="1"/>
              </w:numPr>
              <w:ind w:firstLineChars="0"/>
              <w:rPr>
                <w:rFonts w:ascii="仿宋" w:hAnsi="仿宋" w:eastAsia="仿宋" w:cs="宋体"/>
                <w:kern w:val="0"/>
                <w:sz w:val="28"/>
              </w:rPr>
            </w:pPr>
            <w:r>
              <w:rPr>
                <w:rFonts w:hint="eastAsia" w:ascii="仿宋" w:hAnsi="仿宋" w:eastAsia="仿宋" w:cs="宋体"/>
                <w:kern w:val="0"/>
                <w:sz w:val="24"/>
              </w:rPr>
              <w:t>“寰岛蛟龙”潜水器海底观光</w:t>
            </w:r>
          </w:p>
        </w:tc>
      </w:tr>
    </w:tbl>
    <w:p>
      <w:pPr>
        <w:pStyle w:val="3"/>
        <w:spacing w:before="480" w:after="240" w:line="360" w:lineRule="auto"/>
        <w:rPr>
          <w:rFonts w:ascii="仿宋" w:hAnsi="仿宋" w:eastAsia="仿宋" w:cs="宋体"/>
          <w:kern w:val="0"/>
          <w:sz w:val="36"/>
        </w:rPr>
      </w:pPr>
      <w:bookmarkStart w:id="98" w:name="_Toc23848"/>
      <w:bookmarkStart w:id="99" w:name="_Toc429498041"/>
      <w:bookmarkStart w:id="100" w:name="_Toc12966"/>
      <w:bookmarkStart w:id="101" w:name="_Toc443338970"/>
      <w:r>
        <w:rPr>
          <w:rFonts w:hint="eastAsia" w:ascii="仿宋" w:hAnsi="仿宋" w:eastAsia="仿宋" w:cs="宋体"/>
          <w:kern w:val="0"/>
          <w:sz w:val="36"/>
        </w:rPr>
        <w:t>二、大力发展热带特色农业</w:t>
      </w:r>
      <w:bookmarkEnd w:id="98"/>
      <w:bookmarkEnd w:id="99"/>
      <w:bookmarkEnd w:id="100"/>
      <w:bookmarkEnd w:id="101"/>
    </w:p>
    <w:p>
      <w:pPr>
        <w:widowControl/>
        <w:spacing w:beforeLines="50" w:afterLines="50" w:line="30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加快发展以常年和冬季瓜菜、热带水果和花卉等为特征的种植业，以“无规定动物疫区”为代表的畜牧业，以特色产业小镇为代表的综合休闲农业，建立完善农业支撑体系，大力推进农业产业化和现代化。</w:t>
      </w:r>
    </w:p>
    <w:p>
      <w:pPr>
        <w:widowControl/>
        <w:spacing w:beforeLines="50" w:afterLines="50" w:line="300" w:lineRule="auto"/>
        <w:ind w:firstLine="643" w:firstLineChars="200"/>
        <w:rPr>
          <w:rFonts w:ascii="仿宋" w:hAnsi="仿宋" w:eastAsia="仿宋" w:cs="宋体"/>
          <w:kern w:val="0"/>
          <w:sz w:val="32"/>
          <w:szCs w:val="32"/>
        </w:rPr>
      </w:pPr>
      <w:r>
        <w:rPr>
          <w:rFonts w:hint="eastAsia" w:ascii="仿宋" w:hAnsi="仿宋" w:eastAsia="仿宋" w:cs="宋体"/>
          <w:b/>
          <w:kern w:val="0"/>
          <w:sz w:val="32"/>
          <w:szCs w:val="32"/>
        </w:rPr>
        <w:t>加快发展特色瓜菜</w:t>
      </w:r>
      <w:r>
        <w:rPr>
          <w:rFonts w:hint="eastAsia" w:ascii="仿宋" w:hAnsi="仿宋" w:eastAsia="仿宋" w:cs="宋体"/>
          <w:kern w:val="0"/>
          <w:sz w:val="32"/>
          <w:szCs w:val="32"/>
        </w:rPr>
        <w:t>。积极发展坡地瓜菜，提高瓜菜复种指数，增加播种面积。扩大主打品种，优化常规品种，加快发展特色品种，压缩非优势品种。</w:t>
      </w:r>
      <w:r>
        <w:rPr>
          <w:rFonts w:hint="eastAsia" w:ascii="仿宋" w:hAnsi="仿宋" w:eastAsia="仿宋" w:cs="仿宋"/>
          <w:sz w:val="32"/>
          <w:szCs w:val="32"/>
        </w:rPr>
        <w:t>推进高标准果蔬基地建设，建立大中小相结合、标准化露地和设施化生产相结合的果蔬生产体系，建立完善种植、运输、销售产业链，确保瓜菜供给安全保障和国家南菜北运工程建设；完善冬季瓜菜营销体系，加强品牌建设。</w:t>
      </w:r>
    </w:p>
    <w:p>
      <w:pPr>
        <w:widowControl/>
        <w:spacing w:beforeLines="50" w:afterLines="50" w:line="300" w:lineRule="auto"/>
        <w:ind w:firstLine="643" w:firstLineChars="200"/>
        <w:rPr>
          <w:rFonts w:ascii="仿宋" w:hAnsi="仿宋" w:eastAsia="仿宋" w:cs="宋体"/>
          <w:kern w:val="0"/>
          <w:sz w:val="32"/>
          <w:szCs w:val="32"/>
        </w:rPr>
      </w:pPr>
      <w:r>
        <w:rPr>
          <w:rFonts w:hint="eastAsia" w:ascii="仿宋" w:hAnsi="仿宋" w:eastAsia="仿宋" w:cs="宋体"/>
          <w:b/>
          <w:kern w:val="0"/>
          <w:sz w:val="32"/>
          <w:szCs w:val="32"/>
        </w:rPr>
        <w:t>积极发展热带水果花卉</w:t>
      </w:r>
      <w:r>
        <w:rPr>
          <w:rFonts w:hint="eastAsia" w:ascii="仿宋" w:hAnsi="仿宋" w:eastAsia="仿宋" w:cs="宋体"/>
          <w:kern w:val="0"/>
          <w:sz w:val="32"/>
          <w:szCs w:val="32"/>
        </w:rPr>
        <w:t>。建设高标准的热带水果生产示范园区和生产基地。以基础设施建设和关键技术突破为重点，优化品种结构，促进热带水果产业由产量型向质量型转变，由旺淡季大反差型向周年相对均衡型、加工产品多元化转变。大力扶持干沟热带兰花基地和亚龙湾国际玫瑰谷建设，积极支持延伸兰花和玫瑰产业链，促进花卉产业与旅游、会展、婚庆产业融合发展。</w:t>
      </w:r>
    </w:p>
    <w:p>
      <w:pPr>
        <w:widowControl/>
        <w:spacing w:beforeLines="50" w:afterLines="50" w:line="300" w:lineRule="auto"/>
        <w:ind w:firstLine="643" w:firstLineChars="200"/>
        <w:rPr>
          <w:rFonts w:ascii="仿宋" w:hAnsi="仿宋" w:eastAsia="仿宋" w:cs="宋体"/>
          <w:kern w:val="0"/>
          <w:sz w:val="32"/>
          <w:szCs w:val="32"/>
        </w:rPr>
      </w:pPr>
      <w:r>
        <w:rPr>
          <w:rFonts w:hint="eastAsia" w:ascii="仿宋" w:hAnsi="仿宋" w:eastAsia="仿宋" w:cs="宋体"/>
          <w:b/>
          <w:kern w:val="0"/>
          <w:sz w:val="32"/>
          <w:szCs w:val="32"/>
        </w:rPr>
        <w:t>支持发展优势畜牧业</w:t>
      </w:r>
      <w:r>
        <w:rPr>
          <w:rFonts w:hint="eastAsia" w:ascii="仿宋" w:hAnsi="仿宋" w:eastAsia="仿宋" w:cs="宋体"/>
          <w:kern w:val="0"/>
          <w:sz w:val="32"/>
          <w:szCs w:val="32"/>
        </w:rPr>
        <w:t>。发展加大三亚雪古丽等现代生态农业的综合开发力度，发挥龙头企业的带动作用；发挥好无规定动物疫病区的品牌优势。落实国家促进畜牧业发展的各项政策，建设规模化、标准化规模养殖场，发展专业大户，扩大养殖规模；支持优势畜牧企业发展畜禽产品加工；实施能繁母猪和良种扩繁计划，加大能繁母猪和畜禽良种补贴力度。</w:t>
      </w:r>
    </w:p>
    <w:p>
      <w:pPr>
        <w:widowControl/>
        <w:spacing w:beforeLines="50" w:afterLines="50" w:line="300" w:lineRule="auto"/>
        <w:ind w:firstLine="643" w:firstLineChars="200"/>
        <w:rPr>
          <w:rFonts w:ascii="仿宋" w:hAnsi="仿宋" w:eastAsia="仿宋" w:cs="宋体"/>
          <w:kern w:val="0"/>
          <w:sz w:val="32"/>
          <w:szCs w:val="32"/>
        </w:rPr>
      </w:pPr>
      <w:r>
        <w:rPr>
          <w:rFonts w:hint="eastAsia" w:ascii="仿宋" w:hAnsi="仿宋" w:eastAsia="仿宋" w:cs="宋体"/>
          <w:b/>
          <w:kern w:val="0"/>
          <w:sz w:val="32"/>
          <w:szCs w:val="32"/>
        </w:rPr>
        <w:t>因地制宜发展休闲农业</w:t>
      </w:r>
      <w:r>
        <w:rPr>
          <w:rFonts w:hint="eastAsia" w:ascii="仿宋" w:hAnsi="仿宋" w:eastAsia="仿宋" w:cs="宋体"/>
          <w:kern w:val="0"/>
          <w:sz w:val="32"/>
          <w:szCs w:val="32"/>
        </w:rPr>
        <w:t>。因地制宜发展观光农业、农家乐、乡村旅游等休闲农业。充分利用和发挥文明生态村的生态自然景观、农业设施、农民房屋等资源，积极发展农家乐。挖掘文化内涵，注重参与体验，加快创意发展，发展集农业生产、农耕体验、文化娱乐、教育展示、生态环保、产品加工销售于一体的综合休闲农业园区。依托吉阳区全国美丽乡村创建试点项目，积极推进东岸、月川、榕根、海罗、临春和榆亚路</w:t>
      </w:r>
      <w:r>
        <w:rPr>
          <w:rFonts w:ascii="仿宋" w:hAnsi="仿宋" w:eastAsia="仿宋" w:cs="宋体"/>
          <w:kern w:val="0"/>
          <w:sz w:val="32"/>
          <w:szCs w:val="32"/>
        </w:rPr>
        <w:t>1</w:t>
      </w:r>
      <w:r>
        <w:rPr>
          <w:rFonts w:hint="eastAsia" w:ascii="仿宋" w:hAnsi="仿宋" w:eastAsia="仿宋" w:cs="宋体"/>
          <w:kern w:val="0"/>
          <w:sz w:val="32"/>
          <w:szCs w:val="32"/>
        </w:rPr>
        <w:t>号等棚户区改造及南丁与落笔城边村改造，加快六盘、新村片区整体改造工作。</w:t>
      </w:r>
    </w:p>
    <w:p>
      <w:pPr>
        <w:widowControl/>
        <w:spacing w:beforeLines="50" w:afterLines="50" w:line="300" w:lineRule="auto"/>
        <w:ind w:firstLine="643" w:firstLineChars="200"/>
        <w:rPr>
          <w:rFonts w:ascii="仿宋" w:hAnsi="仿宋" w:eastAsia="仿宋" w:cs="宋体"/>
          <w:kern w:val="0"/>
          <w:sz w:val="32"/>
          <w:szCs w:val="32"/>
        </w:rPr>
      </w:pPr>
      <w:r>
        <w:rPr>
          <w:rFonts w:hint="eastAsia" w:ascii="仿宋" w:hAnsi="仿宋" w:eastAsia="仿宋" w:cs="宋体"/>
          <w:b/>
          <w:kern w:val="0"/>
          <w:sz w:val="32"/>
          <w:szCs w:val="32"/>
        </w:rPr>
        <w:t>建设南繁育种基地</w:t>
      </w:r>
      <w:r>
        <w:rPr>
          <w:rFonts w:hint="eastAsia" w:ascii="仿宋" w:hAnsi="仿宋" w:eastAsia="仿宋" w:cs="宋体"/>
          <w:kern w:val="0"/>
          <w:sz w:val="32"/>
          <w:szCs w:val="32"/>
        </w:rPr>
        <w:t>。支持南繁育植种基地建设，充分利用地缘优势，积极推广先进农业技术，提升其科技成果转化率。</w:t>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widowControl/>
              <w:spacing w:line="360" w:lineRule="auto"/>
              <w:jc w:val="center"/>
              <w:rPr>
                <w:rFonts w:ascii="仿宋" w:hAnsi="仿宋" w:eastAsia="仿宋" w:cs="宋体"/>
                <w:b/>
                <w:sz w:val="24"/>
              </w:rPr>
            </w:pPr>
            <w:r>
              <w:rPr>
                <w:rFonts w:hint="eastAsia" w:ascii="仿宋" w:hAnsi="仿宋" w:eastAsia="仿宋" w:cs="宋体"/>
                <w:b/>
                <w:sz w:val="24"/>
              </w:rPr>
              <w:t>专栏</w:t>
            </w:r>
            <w:r>
              <w:rPr>
                <w:rFonts w:ascii="仿宋" w:hAnsi="仿宋" w:eastAsia="仿宋" w:cs="宋体"/>
                <w:b/>
                <w:sz w:val="24"/>
              </w:rPr>
              <w:t>2</w:t>
            </w:r>
            <w:r>
              <w:rPr>
                <w:rFonts w:hint="eastAsia" w:ascii="仿宋" w:hAnsi="仿宋" w:eastAsia="仿宋" w:cs="宋体"/>
                <w:b/>
                <w:sz w:val="24"/>
              </w:rPr>
              <w:t>重点农业项目</w:t>
            </w:r>
          </w:p>
          <w:p>
            <w:pPr>
              <w:pStyle w:val="39"/>
              <w:widowControl/>
              <w:numPr>
                <w:ilvl w:val="0"/>
                <w:numId w:val="2"/>
              </w:numPr>
              <w:ind w:left="480" w:hanging="480" w:hangingChars="200"/>
              <w:rPr>
                <w:rFonts w:ascii="仿宋" w:hAnsi="仿宋" w:eastAsia="仿宋" w:cs="宋体"/>
                <w:sz w:val="24"/>
              </w:rPr>
            </w:pPr>
            <w:r>
              <w:rPr>
                <w:rFonts w:hint="eastAsia" w:ascii="仿宋" w:hAnsi="仿宋" w:eastAsia="仿宋" w:cs="宋体"/>
                <w:sz w:val="24"/>
              </w:rPr>
              <w:t>热带花卉：亚龙湾国际玫瑰谷、干沟热带兰花基地、三亚热带百合休闲养生园</w:t>
            </w:r>
          </w:p>
          <w:p>
            <w:pPr>
              <w:pStyle w:val="39"/>
              <w:widowControl/>
              <w:numPr>
                <w:ilvl w:val="0"/>
                <w:numId w:val="2"/>
              </w:numPr>
              <w:ind w:left="480" w:hanging="480" w:hangingChars="200"/>
              <w:rPr>
                <w:rFonts w:ascii="仿宋" w:hAnsi="仿宋" w:eastAsia="仿宋" w:cs="宋体"/>
                <w:sz w:val="24"/>
              </w:rPr>
            </w:pPr>
            <w:r>
              <w:rPr>
                <w:rFonts w:hint="eastAsia" w:ascii="仿宋" w:hAnsi="仿宋" w:eastAsia="仿宋" w:cs="宋体"/>
                <w:sz w:val="24"/>
              </w:rPr>
              <w:t>畜牧业：雪古丽奶牛场、盛源养殖场</w:t>
            </w:r>
          </w:p>
          <w:p>
            <w:pPr>
              <w:pStyle w:val="39"/>
              <w:widowControl/>
              <w:numPr>
                <w:ilvl w:val="0"/>
                <w:numId w:val="2"/>
              </w:numPr>
              <w:ind w:left="480" w:hanging="480" w:hangingChars="200"/>
              <w:rPr>
                <w:rFonts w:ascii="仿宋" w:hAnsi="仿宋" w:eastAsia="仿宋" w:cs="宋体"/>
                <w:sz w:val="24"/>
              </w:rPr>
            </w:pPr>
            <w:r>
              <w:rPr>
                <w:rFonts w:hint="eastAsia" w:ascii="仿宋" w:hAnsi="仿宋" w:eastAsia="仿宋" w:cs="宋体"/>
                <w:sz w:val="24"/>
              </w:rPr>
              <w:t>农家乐：新村农家乐、亚龙湾农家乐美食广场</w:t>
            </w:r>
          </w:p>
          <w:p>
            <w:pPr>
              <w:pStyle w:val="39"/>
              <w:widowControl/>
              <w:numPr>
                <w:ilvl w:val="0"/>
                <w:numId w:val="2"/>
              </w:numPr>
              <w:ind w:left="480" w:hanging="480" w:hangingChars="200"/>
              <w:rPr>
                <w:rFonts w:ascii="仿宋" w:hAnsi="仿宋" w:eastAsia="仿宋" w:cs="宋体"/>
                <w:sz w:val="24"/>
              </w:rPr>
            </w:pPr>
            <w:r>
              <w:rPr>
                <w:rFonts w:hint="eastAsia" w:ascii="仿宋" w:hAnsi="仿宋" w:eastAsia="仿宋" w:cs="宋体"/>
                <w:sz w:val="24"/>
              </w:rPr>
              <w:t>采摘园：大茅、新村等草莓自摘休闲园</w:t>
            </w:r>
          </w:p>
          <w:p>
            <w:pPr>
              <w:pStyle w:val="39"/>
              <w:widowControl/>
              <w:numPr>
                <w:ilvl w:val="0"/>
                <w:numId w:val="2"/>
              </w:numPr>
              <w:ind w:left="480" w:hanging="480" w:hangingChars="200"/>
              <w:rPr>
                <w:rFonts w:ascii="仿宋" w:hAnsi="仿宋" w:eastAsia="仿宋" w:cs="宋体"/>
                <w:sz w:val="24"/>
              </w:rPr>
            </w:pPr>
            <w:r>
              <w:rPr>
                <w:rFonts w:hint="eastAsia" w:ascii="仿宋" w:hAnsi="仿宋" w:eastAsia="仿宋" w:cs="宋体"/>
                <w:sz w:val="24"/>
              </w:rPr>
              <w:t>风情小镇建设：亚龙湾玫瑰风情小镇、南丁（封塘）村风情小镇、中廖美丽乡村、干沟兰花风情小镇和落笔温泉养生小镇</w:t>
            </w:r>
          </w:p>
          <w:p>
            <w:pPr>
              <w:pStyle w:val="39"/>
              <w:widowControl/>
              <w:numPr>
                <w:ilvl w:val="0"/>
                <w:numId w:val="2"/>
              </w:numPr>
              <w:ind w:left="480" w:hanging="480" w:hangingChars="200"/>
              <w:rPr>
                <w:rFonts w:ascii="仿宋" w:hAnsi="仿宋" w:eastAsia="仿宋" w:cs="宋体"/>
                <w:sz w:val="24"/>
              </w:rPr>
            </w:pPr>
            <w:r>
              <w:rPr>
                <w:rFonts w:hint="eastAsia" w:ascii="仿宋" w:hAnsi="仿宋" w:eastAsia="仿宋" w:cs="宋体"/>
                <w:sz w:val="24"/>
              </w:rPr>
              <w:t>其他休闲农业：红花村健康养生园、三亚落笔休闲咖啡庄园</w:t>
            </w:r>
          </w:p>
        </w:tc>
      </w:tr>
    </w:tbl>
    <w:p>
      <w:pPr>
        <w:pStyle w:val="21"/>
        <w:adjustRightInd w:val="0"/>
        <w:snapToGrid w:val="0"/>
        <w:spacing w:before="0" w:beforeAutospacing="0" w:after="0" w:afterAutospacing="0" w:line="360" w:lineRule="auto"/>
        <w:jc w:val="both"/>
        <w:rPr>
          <w:rFonts w:ascii="仿宋" w:hAnsi="仿宋" w:eastAsia="仿宋" w:cs="Times New Roman"/>
          <w:b/>
          <w:sz w:val="32"/>
          <w:szCs w:val="32"/>
        </w:rPr>
      </w:pPr>
    </w:p>
    <w:p>
      <w:pPr>
        <w:pStyle w:val="3"/>
        <w:spacing w:before="480" w:after="240" w:line="360" w:lineRule="auto"/>
        <w:rPr>
          <w:rFonts w:ascii="仿宋" w:hAnsi="仿宋" w:eastAsia="仿宋" w:cs="宋体"/>
          <w:kern w:val="0"/>
          <w:sz w:val="36"/>
        </w:rPr>
      </w:pPr>
      <w:bookmarkStart w:id="102" w:name="_Toc12571"/>
      <w:bookmarkStart w:id="103" w:name="_Toc428890615"/>
      <w:bookmarkStart w:id="104" w:name="_Toc443338971"/>
      <w:bookmarkStart w:id="105" w:name="_Toc26219"/>
      <w:bookmarkStart w:id="106" w:name="_Toc429498042"/>
      <w:r>
        <w:rPr>
          <w:rFonts w:hint="eastAsia" w:ascii="仿宋" w:hAnsi="仿宋" w:eastAsia="仿宋" w:cs="宋体"/>
          <w:kern w:val="0"/>
          <w:sz w:val="36"/>
        </w:rPr>
        <w:t>三、全面推进互联网产业</w:t>
      </w:r>
      <w:bookmarkEnd w:id="102"/>
      <w:bookmarkEnd w:id="103"/>
      <w:bookmarkEnd w:id="104"/>
      <w:bookmarkEnd w:id="105"/>
      <w:bookmarkEnd w:id="106"/>
    </w:p>
    <w:p>
      <w:pPr>
        <w:widowControl/>
        <w:spacing w:beforeLines="50" w:afterLines="50" w:line="300" w:lineRule="auto"/>
        <w:ind w:firstLine="640" w:firstLineChars="200"/>
        <w:rPr>
          <w:rFonts w:ascii="仿宋" w:hAnsi="仿宋" w:eastAsia="仿宋" w:cs="仿宋"/>
          <w:sz w:val="32"/>
          <w:szCs w:val="32"/>
        </w:rPr>
      </w:pPr>
      <w:r>
        <w:rPr>
          <w:rFonts w:hint="eastAsia" w:ascii="仿宋" w:hAnsi="仿宋" w:eastAsia="仿宋" w:cs="仿宋"/>
          <w:sz w:val="32"/>
          <w:szCs w:val="32"/>
        </w:rPr>
        <w:t>积极推进“互联网</w:t>
      </w:r>
      <w:r>
        <w:rPr>
          <w:rFonts w:ascii="仿宋" w:hAnsi="仿宋" w:eastAsia="仿宋" w:cs="仿宋"/>
          <w:sz w:val="32"/>
          <w:szCs w:val="32"/>
        </w:rPr>
        <w:t>+</w:t>
      </w:r>
      <w:r>
        <w:rPr>
          <w:rFonts w:hint="eastAsia" w:ascii="仿宋" w:hAnsi="仿宋" w:eastAsia="仿宋" w:cs="仿宋"/>
          <w:sz w:val="32"/>
          <w:szCs w:val="32"/>
        </w:rPr>
        <w:t>”战略，大力发展互联网平台支撑产业，积极推进“互联网</w:t>
      </w:r>
      <w:r>
        <w:rPr>
          <w:rFonts w:ascii="仿宋" w:hAnsi="仿宋" w:eastAsia="仿宋" w:cs="仿宋"/>
          <w:sz w:val="32"/>
          <w:szCs w:val="32"/>
        </w:rPr>
        <w:t>+</w:t>
      </w:r>
      <w:r>
        <w:rPr>
          <w:rFonts w:hint="eastAsia" w:ascii="仿宋" w:hAnsi="仿宋" w:eastAsia="仿宋" w:cs="仿宋"/>
          <w:sz w:val="32"/>
          <w:szCs w:val="32"/>
        </w:rPr>
        <w:t>其他产业”融合发展，促进互联网产业全面发展。</w:t>
      </w:r>
    </w:p>
    <w:p>
      <w:pPr>
        <w:widowControl/>
        <w:spacing w:beforeLines="50" w:afterLines="50" w:line="300" w:lineRule="auto"/>
        <w:ind w:firstLine="643" w:firstLineChars="200"/>
        <w:rPr>
          <w:rFonts w:ascii="仿宋" w:hAnsi="仿宋" w:eastAsia="仿宋" w:cs="仿宋"/>
          <w:sz w:val="32"/>
          <w:szCs w:val="32"/>
        </w:rPr>
      </w:pPr>
      <w:r>
        <w:rPr>
          <w:rFonts w:hint="eastAsia" w:ascii="仿宋" w:hAnsi="仿宋" w:eastAsia="仿宋" w:cs="仿宋"/>
          <w:b/>
          <w:sz w:val="32"/>
          <w:szCs w:val="32"/>
        </w:rPr>
        <w:t>大力发展互联网支撑产业</w:t>
      </w:r>
      <w:r>
        <w:rPr>
          <w:rFonts w:hint="eastAsia" w:ascii="仿宋" w:hAnsi="仿宋" w:eastAsia="仿宋" w:cs="仿宋"/>
          <w:sz w:val="32"/>
          <w:szCs w:val="32"/>
        </w:rPr>
        <w:t>。大力发展三亚云港，加快建设城市公共数据中心、政务云计算运营维护中心、数字城市监督指挥中心、党政综合网站信息中心、信息化基础建设投资发展公司等城市政务云基础枢纽。支持建设云港数据中心，促进各部门资源共享融合、采用云计算技术统筹共建中心机房，实现政府各部门信息化基础设施、软件平台的统一规划、统一设计、统一建设、统一管理、按需分配，以最大限度地减少重复建设，节约投资。</w:t>
      </w:r>
    </w:p>
    <w:p>
      <w:pPr>
        <w:widowControl/>
        <w:spacing w:beforeLines="50" w:afterLines="50" w:line="300" w:lineRule="auto"/>
        <w:ind w:firstLine="643" w:firstLineChars="200"/>
        <w:rPr>
          <w:rFonts w:ascii="仿宋" w:hAnsi="仿宋" w:eastAsia="仿宋"/>
          <w:sz w:val="32"/>
          <w:szCs w:val="32"/>
        </w:rPr>
      </w:pPr>
      <w:r>
        <w:rPr>
          <w:rFonts w:hint="eastAsia" w:ascii="仿宋" w:hAnsi="仿宋" w:eastAsia="仿宋"/>
          <w:b/>
          <w:sz w:val="32"/>
          <w:szCs w:val="32"/>
        </w:rPr>
        <w:t>以“互联网</w:t>
      </w:r>
      <w:r>
        <w:rPr>
          <w:rFonts w:ascii="仿宋" w:hAnsi="仿宋" w:eastAsia="仿宋"/>
          <w:b/>
          <w:sz w:val="32"/>
          <w:szCs w:val="32"/>
        </w:rPr>
        <w:t>+</w:t>
      </w:r>
      <w:r>
        <w:rPr>
          <w:rFonts w:hint="eastAsia" w:ascii="仿宋" w:hAnsi="仿宋" w:eastAsia="仿宋"/>
          <w:b/>
          <w:sz w:val="32"/>
          <w:szCs w:val="32"/>
        </w:rPr>
        <w:t>”促进其他产业智慧化</w:t>
      </w:r>
      <w:r>
        <w:rPr>
          <w:rFonts w:hint="eastAsia" w:ascii="仿宋" w:hAnsi="仿宋" w:eastAsia="仿宋"/>
          <w:sz w:val="32"/>
          <w:szCs w:val="32"/>
        </w:rPr>
        <w:t>。提升智慧旅游服务，积极支撑建设无线三亚运营管理平台，以无线三亚公众网为基础，打造以积分奖励体系为核心的运营管理平台，促进旅游业“吃、住、行、游、购、娱”各环节的良性互动。加快推进在线支付、电子支付、跨境支付、移动支付等互联网金融；积极培育智慧农业，建立农业各个环节的智能化监控监测系统，实现农业可视化远程诊断、远程控制、灾变预警等智能管理；积极发展网上基础教育、继续教育、技能培训、高级研修等；积极推进智慧医疗，搭建综合管理信息化平台，促进远程医疗、健康管理、医疗咨询。</w:t>
      </w:r>
    </w:p>
    <w:p>
      <w:pPr>
        <w:pStyle w:val="3"/>
        <w:spacing w:before="480" w:after="240" w:line="360" w:lineRule="auto"/>
        <w:rPr>
          <w:rFonts w:ascii="仿宋" w:hAnsi="仿宋" w:eastAsia="仿宋" w:cs="宋体"/>
          <w:kern w:val="0"/>
          <w:sz w:val="36"/>
        </w:rPr>
      </w:pPr>
      <w:bookmarkStart w:id="107" w:name="_Toc443338972"/>
      <w:bookmarkStart w:id="108" w:name="_Toc429498043"/>
      <w:bookmarkStart w:id="109" w:name="_Toc25107"/>
      <w:bookmarkStart w:id="110" w:name="_Toc9967"/>
      <w:r>
        <w:rPr>
          <w:rFonts w:hint="eastAsia" w:ascii="仿宋" w:hAnsi="仿宋" w:eastAsia="仿宋" w:cs="宋体"/>
          <w:kern w:val="0"/>
          <w:sz w:val="36"/>
        </w:rPr>
        <w:t>四、积极发展科教文体产业</w:t>
      </w:r>
      <w:bookmarkEnd w:id="107"/>
      <w:bookmarkEnd w:id="108"/>
      <w:bookmarkEnd w:id="109"/>
      <w:bookmarkEnd w:id="110"/>
    </w:p>
    <w:p>
      <w:pPr>
        <w:pStyle w:val="21"/>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积极落实“大众创业、万众创新”战略，以高新技术、文化创意、科研教育、文化会展赛事等创新创意类产业为重点，提高吉阳区经济发展的文化科技创意水平。</w:t>
      </w:r>
    </w:p>
    <w:p>
      <w:pPr>
        <w:widowControl/>
        <w:spacing w:beforeLines="50" w:afterLines="50" w:line="300" w:lineRule="auto"/>
        <w:ind w:firstLine="643" w:firstLineChars="200"/>
        <w:rPr>
          <w:rFonts w:ascii="仿宋" w:hAnsi="仿宋" w:eastAsia="仿宋" w:cs="仿宋"/>
          <w:sz w:val="32"/>
          <w:szCs w:val="32"/>
        </w:rPr>
      </w:pPr>
      <w:r>
        <w:rPr>
          <w:rFonts w:hint="eastAsia" w:ascii="仿宋" w:hAnsi="仿宋" w:eastAsia="仿宋" w:cs="宋体"/>
          <w:b/>
          <w:kern w:val="0"/>
          <w:sz w:val="32"/>
          <w:szCs w:val="32"/>
        </w:rPr>
        <w:t>鼓励发展高新技术产业</w:t>
      </w:r>
      <w:r>
        <w:rPr>
          <w:rFonts w:hint="eastAsia" w:ascii="仿宋" w:hAnsi="仿宋" w:eastAsia="仿宋" w:cs="宋体"/>
          <w:kern w:val="0"/>
          <w:sz w:val="32"/>
          <w:szCs w:val="32"/>
        </w:rPr>
        <w:t>。依托中国科学院三亚深海科学与工程研究所，进一步开展“海斗深渊”先导专项，加快改造“探索一号”科考船，打造万米深渊科考平台。</w:t>
      </w:r>
      <w:r>
        <w:rPr>
          <w:rFonts w:hint="eastAsia" w:ascii="仿宋" w:hAnsi="仿宋" w:eastAsia="仿宋" w:cs="仿宋"/>
          <w:sz w:val="32"/>
          <w:szCs w:val="32"/>
        </w:rPr>
        <w:t>加快三亚云港建设，推进信息化在交通运输建设、管理、运营、三亚智能交通、智慧旅游、服务等各领域的应用和融合；依托动漫产业园，积极发展发展网络游戏、手机游戏、动画动漫、电子竞技、视频游戏等数字内容产业。</w:t>
      </w:r>
    </w:p>
    <w:p>
      <w:pPr>
        <w:widowControl/>
        <w:spacing w:beforeLines="50" w:afterLines="50" w:line="300" w:lineRule="auto"/>
        <w:ind w:firstLine="643" w:firstLineChars="200"/>
        <w:rPr>
          <w:rFonts w:ascii="仿宋" w:hAnsi="仿宋" w:eastAsia="仿宋"/>
          <w:sz w:val="32"/>
          <w:szCs w:val="32"/>
        </w:rPr>
      </w:pPr>
      <w:r>
        <w:rPr>
          <w:rFonts w:hint="eastAsia" w:ascii="仿宋" w:hAnsi="仿宋" w:eastAsia="仿宋" w:cs="宋体"/>
          <w:b/>
          <w:kern w:val="0"/>
          <w:sz w:val="32"/>
          <w:szCs w:val="32"/>
        </w:rPr>
        <w:t>培育发展文化创意产业</w:t>
      </w:r>
      <w:r>
        <w:rPr>
          <w:rFonts w:hint="eastAsia" w:ascii="仿宋" w:hAnsi="仿宋" w:eastAsia="仿宋" w:cs="仿宋"/>
          <w:sz w:val="32"/>
          <w:szCs w:val="32"/>
        </w:rPr>
        <w:t>。</w:t>
      </w:r>
      <w:r>
        <w:rPr>
          <w:rFonts w:hint="eastAsia" w:ascii="仿宋" w:hAnsi="仿宋" w:eastAsia="仿宋"/>
          <w:sz w:val="32"/>
          <w:szCs w:val="32"/>
        </w:rPr>
        <w:t>加快推进以千古情为代表的演艺娱乐业与文化、旅游产业的融合发展。与国内外知名时尚品牌合作建立“时尚品牌制作展示工坊”和“品牌私人定制会所”营造城市时尚文化氛围，积极引进举办各类全球性时尚创意发布活动，并为青年设计师举办时尚创意发布会。邀请海内外著名国学、汉学大师开办精品国学课堂。引进全国性的专业文化会展项目并培育本土品牌。培育引进一批影视动漫原创、策划、制作、传播、营销及衍生品生产企业，构建开放式影视动漫产业要素发展服务平台，加强动漫产业政府配套服务。加强对文化产品创作生产的引导，积极推出优秀的民间作品；积极培育多层次文化产品和要素市场，打造演艺演出、民族工艺品等具有吉阳特色的文化产品市场。</w:t>
      </w:r>
    </w:p>
    <w:p>
      <w:pPr>
        <w:widowControl/>
        <w:spacing w:beforeLines="50" w:afterLines="50" w:line="300" w:lineRule="auto"/>
        <w:ind w:firstLine="643" w:firstLineChars="200"/>
        <w:rPr>
          <w:rFonts w:ascii="仿宋" w:hAnsi="仿宋" w:eastAsia="仿宋"/>
          <w:sz w:val="32"/>
          <w:szCs w:val="32"/>
        </w:rPr>
      </w:pPr>
      <w:r>
        <w:rPr>
          <w:rFonts w:hint="eastAsia" w:ascii="仿宋" w:hAnsi="仿宋" w:eastAsia="仿宋" w:cs="宋体"/>
          <w:b/>
          <w:kern w:val="0"/>
          <w:sz w:val="32"/>
          <w:szCs w:val="32"/>
        </w:rPr>
        <w:t>做大做强科研教育产业</w:t>
      </w:r>
      <w:r>
        <w:rPr>
          <w:rFonts w:hint="eastAsia" w:ascii="仿宋" w:hAnsi="仿宋" w:eastAsia="仿宋" w:cs="宋体"/>
          <w:kern w:val="0"/>
          <w:sz w:val="32"/>
          <w:szCs w:val="32"/>
        </w:rPr>
        <w:t>。积极推进荔枝沟教育产业园建设，大力支持</w:t>
      </w:r>
      <w:r>
        <w:rPr>
          <w:rFonts w:hint="eastAsia" w:ascii="仿宋" w:hAnsi="仿宋" w:eastAsia="仿宋"/>
          <w:sz w:val="32"/>
          <w:szCs w:val="32"/>
        </w:rPr>
        <w:t>三亚市热带海洋学院、</w:t>
      </w:r>
      <w:r>
        <w:rPr>
          <w:rFonts w:hint="eastAsia" w:ascii="仿宋" w:hAnsi="仿宋" w:eastAsia="仿宋" w:cs="宋体"/>
          <w:kern w:val="0"/>
          <w:sz w:val="32"/>
          <w:szCs w:val="32"/>
        </w:rPr>
        <w:t>三亚学院、半山半岛国际教育产业发展；</w:t>
      </w:r>
      <w:r>
        <w:rPr>
          <w:rFonts w:hint="eastAsia" w:ascii="仿宋" w:hAnsi="仿宋" w:eastAsia="仿宋" w:cs="仿宋"/>
          <w:sz w:val="32"/>
          <w:szCs w:val="32"/>
        </w:rPr>
        <w:t>大力支持南繁育制种基地、中科院深海所等高端科研平台，积极引进国内外高端智库和高校，打造高端科研教育集聚地。依托高端科研平台，举办深海科研论坛等相关专业论坛，积极引进和举办各类国际高端会议和论坛。鼓励发展各种职业技术培训学校及各类培训班和讲座等，推进教育旅游项目。</w:t>
      </w:r>
    </w:p>
    <w:p>
      <w:pPr>
        <w:widowControl/>
        <w:spacing w:beforeLines="50" w:afterLines="50" w:line="300" w:lineRule="auto"/>
        <w:ind w:firstLine="643" w:firstLineChars="200"/>
        <w:rPr>
          <w:rFonts w:ascii="仿宋" w:hAnsi="仿宋" w:eastAsia="仿宋" w:cs="宋体"/>
          <w:kern w:val="0"/>
          <w:sz w:val="32"/>
          <w:szCs w:val="32"/>
        </w:rPr>
      </w:pPr>
      <w:r>
        <w:rPr>
          <w:rFonts w:hint="eastAsia" w:ascii="仿宋" w:hAnsi="仿宋" w:eastAsia="仿宋" w:cs="宋体"/>
          <w:b/>
          <w:kern w:val="0"/>
          <w:sz w:val="32"/>
          <w:szCs w:val="32"/>
        </w:rPr>
        <w:t>大力发展会展赛事</w:t>
      </w:r>
      <w:r>
        <w:rPr>
          <w:rFonts w:hint="eastAsia" w:ascii="仿宋" w:hAnsi="仿宋" w:eastAsia="仿宋" w:cs="宋体"/>
          <w:kern w:val="0"/>
          <w:sz w:val="32"/>
          <w:szCs w:val="32"/>
        </w:rPr>
        <w:t>。积极承接协办世界小姐总决赛、沃尔沃帆船赛、高尔夫精英赛、世界桥牌锦标赛等国际国内顶端文化体育赛事；加快推进亚龙湾精品会展项目，积极创新策划和举办各类展会。积极引进和策划高端会展、节庆、赛事、论坛；积极促进各类会展和</w:t>
      </w:r>
      <w:r>
        <w:rPr>
          <w:rFonts w:hint="eastAsia" w:ascii="仿宋" w:hAnsi="仿宋" w:eastAsia="仿宋" w:cs="仿宋"/>
          <w:sz w:val="32"/>
          <w:szCs w:val="32"/>
        </w:rPr>
        <w:t>节庆赛事品牌化；围绕会展产业链和产业集群的形成，大力发展会展策划、展览设计、会展旅游、人才培训等会展服务业；积极提高节庆赛事配套能力，积极培育专业化的会展企业和人才队伍，完善会展场所配套设施。</w:t>
      </w:r>
    </w:p>
    <w:p>
      <w:pPr>
        <w:pStyle w:val="3"/>
        <w:spacing w:before="480" w:after="240" w:line="360" w:lineRule="auto"/>
        <w:rPr>
          <w:rFonts w:ascii="仿宋" w:hAnsi="仿宋" w:eastAsia="仿宋" w:cs="宋体"/>
          <w:kern w:val="0"/>
          <w:sz w:val="36"/>
        </w:rPr>
      </w:pPr>
      <w:bookmarkStart w:id="111" w:name="_Toc12965"/>
      <w:bookmarkStart w:id="112" w:name="_Toc443338973"/>
      <w:bookmarkStart w:id="113" w:name="_Toc25371"/>
      <w:bookmarkStart w:id="114" w:name="_Toc429498044"/>
      <w:r>
        <w:rPr>
          <w:rFonts w:hint="eastAsia" w:ascii="仿宋" w:hAnsi="仿宋" w:eastAsia="仿宋" w:cs="宋体"/>
          <w:kern w:val="0"/>
          <w:sz w:val="36"/>
        </w:rPr>
        <w:t>五、稳步发展高端商务与金融业</w:t>
      </w:r>
      <w:bookmarkEnd w:id="111"/>
      <w:bookmarkEnd w:id="112"/>
      <w:bookmarkEnd w:id="113"/>
      <w:bookmarkEnd w:id="114"/>
    </w:p>
    <w:p>
      <w:pPr>
        <w:widowControl/>
        <w:spacing w:beforeLines="50" w:afterLines="50" w:line="300" w:lineRule="auto"/>
        <w:ind w:firstLine="640" w:firstLineChars="200"/>
        <w:rPr>
          <w:rFonts w:ascii="仿宋" w:hAnsi="仿宋" w:eastAsia="仿宋" w:cs="仿宋"/>
          <w:sz w:val="32"/>
          <w:szCs w:val="32"/>
        </w:rPr>
      </w:pPr>
      <w:r>
        <w:rPr>
          <w:rFonts w:hint="eastAsia" w:ascii="仿宋" w:hAnsi="仿宋" w:eastAsia="仿宋" w:cs="仿宋"/>
          <w:sz w:val="32"/>
          <w:szCs w:val="32"/>
        </w:rPr>
        <w:t>依托吉阳区良好的商务金融基础，紧抓开放机遇，大力促进金融业开放和创新，积极发展总部经济和商务服务业，为吉阳区产业发展提供优质的金融支持和商务配套。</w:t>
      </w:r>
    </w:p>
    <w:p>
      <w:pPr>
        <w:widowControl/>
        <w:spacing w:beforeLines="50" w:afterLines="50" w:line="300" w:lineRule="auto"/>
        <w:ind w:firstLine="643" w:firstLineChars="200"/>
        <w:rPr>
          <w:rFonts w:ascii="仿宋" w:hAnsi="仿宋" w:eastAsia="仿宋" w:cs="仿宋"/>
          <w:sz w:val="32"/>
          <w:szCs w:val="32"/>
        </w:rPr>
      </w:pPr>
      <w:r>
        <w:rPr>
          <w:rFonts w:hint="eastAsia" w:ascii="仿宋" w:hAnsi="仿宋" w:eastAsia="仿宋" w:cs="仿宋"/>
          <w:b/>
          <w:sz w:val="32"/>
          <w:szCs w:val="32"/>
        </w:rPr>
        <w:t>加快发展金融业</w:t>
      </w:r>
      <w:r>
        <w:rPr>
          <w:rFonts w:hint="eastAsia" w:ascii="仿宋" w:hAnsi="仿宋" w:eastAsia="仿宋" w:cs="仿宋"/>
          <w:sz w:val="32"/>
          <w:szCs w:val="32"/>
        </w:rPr>
        <w:t>。积极争取支持金融业发展的政策措施，营造金融业发展的良好环境；支持国内外大型金融机构在吉阳区设立财富管理或私人银行业务专营机构及区域性分支机构；积极引进和发展信托公司、基金公司、保险公司、金融租赁等各类金融机构；积极支持新兴旅游、农业、海洋经济、小微企业等领域的金融产品和服务创新。积极争取金融领域改革开放，争取资本项目开放试点、国际贸易结算中心试点等。</w:t>
      </w:r>
    </w:p>
    <w:p>
      <w:pPr>
        <w:widowControl/>
        <w:spacing w:beforeLines="50" w:afterLines="50" w:line="300" w:lineRule="auto"/>
        <w:ind w:firstLine="643" w:firstLineChars="200"/>
        <w:rPr>
          <w:rFonts w:ascii="仿宋" w:hAnsi="仿宋" w:eastAsia="仿宋"/>
          <w:sz w:val="32"/>
          <w:szCs w:val="32"/>
        </w:rPr>
      </w:pPr>
      <w:r>
        <w:rPr>
          <w:rFonts w:hint="eastAsia" w:ascii="仿宋" w:hAnsi="仿宋" w:eastAsia="仿宋" w:cs="仿宋"/>
          <w:b/>
          <w:bCs/>
          <w:sz w:val="32"/>
          <w:szCs w:val="32"/>
        </w:rPr>
        <w:t>大力发展总部经济和高端商务</w:t>
      </w:r>
      <w:r>
        <w:rPr>
          <w:rFonts w:hint="eastAsia" w:ascii="仿宋" w:hAnsi="仿宋" w:eastAsia="仿宋" w:cs="仿宋"/>
          <w:sz w:val="32"/>
          <w:szCs w:val="32"/>
        </w:rPr>
        <w:t>。</w:t>
      </w:r>
      <w:r>
        <w:rPr>
          <w:rFonts w:hint="eastAsia" w:ascii="仿宋" w:hAnsi="仿宋" w:eastAsia="仿宋" w:cs="宋体"/>
          <w:kern w:val="0"/>
          <w:sz w:val="32"/>
          <w:szCs w:val="32"/>
        </w:rPr>
        <w:t>做好阳光金融广场</w:t>
      </w:r>
      <w:r>
        <w:rPr>
          <w:rFonts w:ascii="仿宋" w:hAnsi="仿宋" w:eastAsia="仿宋" w:cs="宋体"/>
          <w:kern w:val="0"/>
          <w:sz w:val="32"/>
          <w:szCs w:val="32"/>
        </w:rPr>
        <w:t>(</w:t>
      </w:r>
      <w:r>
        <w:rPr>
          <w:rFonts w:hint="eastAsia" w:ascii="仿宋" w:hAnsi="仿宋" w:eastAsia="仿宋" w:cs="宋体"/>
          <w:kern w:val="0"/>
          <w:sz w:val="32"/>
          <w:szCs w:val="32"/>
        </w:rPr>
        <w:t>阳光人寿保险总部项目</w:t>
      </w:r>
      <w:r>
        <w:rPr>
          <w:rFonts w:ascii="仿宋" w:hAnsi="仿宋" w:eastAsia="仿宋" w:cs="宋体"/>
          <w:kern w:val="0"/>
          <w:sz w:val="32"/>
          <w:szCs w:val="32"/>
        </w:rPr>
        <w:t>)</w:t>
      </w:r>
      <w:r>
        <w:rPr>
          <w:rFonts w:hint="eastAsia" w:ascii="仿宋" w:hAnsi="仿宋" w:eastAsia="仿宋" w:cs="宋体"/>
          <w:kern w:val="0"/>
          <w:sz w:val="32"/>
          <w:szCs w:val="32"/>
        </w:rPr>
        <w:t>和南航总部及中环广场项目建设；</w:t>
      </w:r>
      <w:r>
        <w:rPr>
          <w:rFonts w:hint="eastAsia" w:ascii="仿宋" w:hAnsi="仿宋" w:eastAsia="仿宋" w:cs="仿宋"/>
          <w:sz w:val="32"/>
          <w:szCs w:val="32"/>
        </w:rPr>
        <w:t>积极提升中铁子悦薹等商务载体，吸引国内外大企业在三亚设立总部型机构。引进重点产业领域总部或区域型总部；鼓励国内外大型企业集团在设立研发中心、投资与决策中心、财务中心等具有总部功能的机构。积极引进和培育咨询服务、广告、就业与人力资源服务等专业服务类企业，加快发展金融、娱乐休闲、餐饮住宿等配套产业，创造支撑总部经济发展的商务环境，促进商务服务与总部经济联动发展。</w:t>
      </w:r>
    </w:p>
    <w:p>
      <w:pPr>
        <w:pStyle w:val="3"/>
        <w:spacing w:before="480" w:after="240" w:line="360" w:lineRule="auto"/>
        <w:rPr>
          <w:rFonts w:ascii="仿宋" w:hAnsi="仿宋" w:eastAsia="仿宋" w:cs="宋体"/>
          <w:kern w:val="0"/>
          <w:sz w:val="36"/>
        </w:rPr>
      </w:pPr>
      <w:bookmarkStart w:id="115" w:name="_Toc429498045"/>
      <w:bookmarkStart w:id="116" w:name="_Toc6318"/>
      <w:bookmarkStart w:id="117" w:name="_Toc16861"/>
      <w:bookmarkStart w:id="118" w:name="_Toc443338974"/>
      <w:r>
        <w:rPr>
          <w:rFonts w:hint="eastAsia" w:ascii="仿宋" w:hAnsi="仿宋" w:eastAsia="仿宋" w:cs="宋体"/>
          <w:kern w:val="0"/>
          <w:sz w:val="36"/>
        </w:rPr>
        <w:t>六、调整优化房地产业</w:t>
      </w:r>
      <w:bookmarkEnd w:id="115"/>
      <w:bookmarkEnd w:id="116"/>
      <w:bookmarkEnd w:id="117"/>
      <w:bookmarkEnd w:id="118"/>
    </w:p>
    <w:p>
      <w:pPr>
        <w:widowControl/>
        <w:spacing w:beforeLines="50" w:afterLines="50" w:line="300" w:lineRule="auto"/>
        <w:ind w:firstLine="640" w:firstLineChars="200"/>
        <w:rPr>
          <w:rFonts w:ascii="仿宋" w:hAnsi="仿宋" w:eastAsia="仿宋" w:cs="仿宋"/>
          <w:bCs/>
          <w:sz w:val="32"/>
          <w:szCs w:val="32"/>
        </w:rPr>
      </w:pPr>
      <w:r>
        <w:rPr>
          <w:rFonts w:hint="eastAsia" w:ascii="仿宋" w:hAnsi="仿宋" w:eastAsia="仿宋" w:cs="仿宋"/>
          <w:bCs/>
          <w:sz w:val="32"/>
          <w:szCs w:val="32"/>
        </w:rPr>
        <w:t>紧抓三亚“打违控违”机遇，促进房地产品结构多元化，</w:t>
      </w:r>
      <w:r>
        <w:rPr>
          <w:rFonts w:hint="eastAsia" w:ascii="仿宋" w:hAnsi="仿宋" w:eastAsia="仿宋" w:cs="仿宋"/>
          <w:sz w:val="32"/>
          <w:szCs w:val="32"/>
        </w:rPr>
        <w:t>逐步构建以经营性旅游地产为主导，居住地产、商业地产等协调发展的多元化产品体系</w:t>
      </w:r>
      <w:r>
        <w:rPr>
          <w:rFonts w:hint="eastAsia" w:ascii="仿宋" w:hAnsi="仿宋" w:eastAsia="仿宋" w:cs="仿宋"/>
          <w:bCs/>
          <w:sz w:val="32"/>
          <w:szCs w:val="32"/>
        </w:rPr>
        <w:t>，促进房地产“调存优增”。</w:t>
      </w:r>
    </w:p>
    <w:p>
      <w:pPr>
        <w:widowControl/>
        <w:spacing w:beforeLines="50" w:afterLines="50" w:line="300" w:lineRule="auto"/>
        <w:ind w:firstLine="643" w:firstLineChars="200"/>
        <w:rPr>
          <w:rFonts w:ascii="仿宋" w:hAnsi="仿宋" w:eastAsia="仿宋" w:cs="仿宋"/>
          <w:bCs/>
          <w:sz w:val="32"/>
          <w:szCs w:val="32"/>
        </w:rPr>
      </w:pPr>
      <w:r>
        <w:rPr>
          <w:rFonts w:hint="eastAsia" w:ascii="仿宋" w:hAnsi="仿宋" w:eastAsia="仿宋" w:cs="仿宋"/>
          <w:b/>
          <w:bCs/>
          <w:sz w:val="32"/>
          <w:szCs w:val="32"/>
        </w:rPr>
        <w:t>积极发展旅游综合体</w:t>
      </w:r>
      <w:r>
        <w:rPr>
          <w:rFonts w:hint="eastAsia" w:ascii="仿宋" w:hAnsi="仿宋" w:eastAsia="仿宋" w:cs="仿宋"/>
          <w:bCs/>
          <w:sz w:val="32"/>
          <w:szCs w:val="32"/>
        </w:rPr>
        <w:t>。通过引进有实力的大企业，开发度假酒店综合体项目，建设集“吃、住、游、购、娱”为一体的全业态度假酒店。构建度假型健康养老养生地产产业链，打造“地产开发</w:t>
      </w:r>
      <w:r>
        <w:rPr>
          <w:rFonts w:ascii="仿宋" w:hAnsi="仿宋" w:eastAsia="仿宋" w:cs="仿宋"/>
          <w:bCs/>
          <w:sz w:val="32"/>
          <w:szCs w:val="32"/>
        </w:rPr>
        <w:t>+</w:t>
      </w:r>
      <w:r>
        <w:rPr>
          <w:rFonts w:hint="eastAsia" w:ascii="仿宋" w:hAnsi="仿宋" w:eastAsia="仿宋" w:cs="仿宋"/>
          <w:bCs/>
          <w:sz w:val="32"/>
          <w:szCs w:val="32"/>
        </w:rPr>
        <w:t>健康养生、养老康复配套设施</w:t>
      </w:r>
      <w:r>
        <w:rPr>
          <w:rFonts w:ascii="仿宋" w:hAnsi="仿宋" w:eastAsia="仿宋" w:cs="仿宋"/>
          <w:bCs/>
          <w:sz w:val="32"/>
          <w:szCs w:val="32"/>
        </w:rPr>
        <w:t>+</w:t>
      </w:r>
      <w:r>
        <w:rPr>
          <w:rFonts w:hint="eastAsia" w:ascii="仿宋" w:hAnsi="仿宋" w:eastAsia="仿宋" w:cs="仿宋"/>
          <w:bCs/>
          <w:sz w:val="32"/>
          <w:szCs w:val="32"/>
        </w:rPr>
        <w:t>配套增值服务”的开发模式。统筹布局产权式酒店建设，加强总量控制、科学管理和监管。</w:t>
      </w:r>
    </w:p>
    <w:p>
      <w:pPr>
        <w:widowControl/>
        <w:spacing w:beforeLines="50" w:afterLines="50" w:line="300" w:lineRule="auto"/>
        <w:ind w:firstLine="643" w:firstLineChars="200"/>
        <w:rPr>
          <w:rFonts w:ascii="仿宋" w:hAnsi="仿宋" w:eastAsia="仿宋" w:cs="仿宋"/>
          <w:bCs/>
          <w:sz w:val="32"/>
          <w:szCs w:val="32"/>
        </w:rPr>
      </w:pPr>
      <w:r>
        <w:rPr>
          <w:rFonts w:hint="eastAsia" w:ascii="仿宋" w:hAnsi="仿宋" w:eastAsia="仿宋" w:cs="仿宋"/>
          <w:b/>
          <w:bCs/>
          <w:sz w:val="32"/>
          <w:szCs w:val="32"/>
        </w:rPr>
        <w:t>促进商业地产多元化</w:t>
      </w:r>
      <w:r>
        <w:rPr>
          <w:rFonts w:hint="eastAsia" w:ascii="仿宋" w:hAnsi="仿宋" w:eastAsia="仿宋" w:cs="仿宋"/>
          <w:bCs/>
          <w:sz w:val="32"/>
          <w:szCs w:val="32"/>
        </w:rPr>
        <w:t>。大力发展品牌直销中心、城市商业综合体、特色购物街区和社区商业等多层次、多类型的商业地产；依托一流的热带滨海旅游度假环境，培育发展与引导需求相结合，发展多层次、多类型的商务办公地产。</w:t>
      </w:r>
    </w:p>
    <w:p>
      <w:pPr>
        <w:widowControl/>
        <w:spacing w:beforeLines="50" w:afterLines="50" w:line="300" w:lineRule="auto"/>
        <w:ind w:firstLine="643" w:firstLineChars="200"/>
        <w:rPr>
          <w:rFonts w:ascii="仿宋" w:hAnsi="仿宋" w:eastAsia="仿宋" w:cs="仿宋"/>
          <w:bCs/>
          <w:sz w:val="32"/>
          <w:szCs w:val="32"/>
        </w:rPr>
      </w:pPr>
      <w:r>
        <w:rPr>
          <w:rFonts w:hint="eastAsia" w:ascii="仿宋" w:hAnsi="仿宋" w:eastAsia="仿宋" w:cs="仿宋"/>
          <w:b/>
          <w:bCs/>
          <w:sz w:val="32"/>
          <w:szCs w:val="32"/>
        </w:rPr>
        <w:t>适度发展商品住房</w:t>
      </w:r>
      <w:r>
        <w:rPr>
          <w:rFonts w:hint="eastAsia" w:ascii="仿宋" w:hAnsi="仿宋" w:eastAsia="仿宋" w:cs="仿宋"/>
          <w:bCs/>
          <w:sz w:val="32"/>
          <w:szCs w:val="32"/>
        </w:rPr>
        <w:t>。以“消化存量、优化增量”为目标，积极优化普通商品住房的结构和空间布局，提升产品品质和管理服务水平，在产品供应上留足本地刚需，满足更广阔的全国市场需求。</w:t>
      </w:r>
    </w:p>
    <w:p>
      <w:pPr>
        <w:widowControl/>
        <w:spacing w:beforeLines="50" w:afterLines="50" w:line="300" w:lineRule="auto"/>
        <w:ind w:firstLine="643" w:firstLineChars="200"/>
        <w:rPr>
          <w:rFonts w:ascii="仿宋" w:hAnsi="仿宋" w:eastAsia="仿宋" w:cs="仿宋"/>
          <w:bCs/>
          <w:sz w:val="32"/>
          <w:szCs w:val="32"/>
        </w:rPr>
      </w:pPr>
      <w:r>
        <w:rPr>
          <w:rFonts w:hint="eastAsia" w:ascii="仿宋" w:hAnsi="仿宋" w:eastAsia="仿宋" w:cs="仿宋"/>
          <w:b/>
          <w:bCs/>
          <w:sz w:val="32"/>
          <w:szCs w:val="32"/>
        </w:rPr>
        <w:t>有序建设保障性住房</w:t>
      </w:r>
      <w:r>
        <w:rPr>
          <w:rFonts w:hint="eastAsia" w:ascii="仿宋" w:hAnsi="仿宋" w:eastAsia="仿宋" w:cs="仿宋"/>
          <w:bCs/>
          <w:sz w:val="32"/>
          <w:szCs w:val="32"/>
        </w:rPr>
        <w:t>。大力推进城中村、棚户区改造，进一步改善民生，释放住房需求；建立多层次、多渠道的住房保障体系，重点加强公共租赁住房建设，适度向紧缺人才倾斜。</w:t>
      </w:r>
    </w:p>
    <w:p>
      <w:pPr>
        <w:pStyle w:val="3"/>
        <w:spacing w:before="480" w:after="240" w:line="360" w:lineRule="auto"/>
        <w:rPr>
          <w:rFonts w:ascii="仿宋" w:hAnsi="仿宋" w:eastAsia="仿宋" w:cs="宋体"/>
          <w:kern w:val="0"/>
          <w:sz w:val="36"/>
        </w:rPr>
      </w:pPr>
      <w:bookmarkStart w:id="119" w:name="_Toc1651"/>
      <w:bookmarkStart w:id="120" w:name="_Toc443338975"/>
      <w:bookmarkStart w:id="121" w:name="_Toc6341"/>
      <w:bookmarkStart w:id="122" w:name="_Toc429498046"/>
      <w:r>
        <w:rPr>
          <w:rFonts w:hint="eastAsia" w:ascii="仿宋" w:hAnsi="仿宋" w:eastAsia="仿宋" w:cs="宋体"/>
          <w:kern w:val="0"/>
          <w:sz w:val="36"/>
        </w:rPr>
        <w:t>七、大力发展商贸物流产业</w:t>
      </w:r>
      <w:bookmarkEnd w:id="119"/>
      <w:bookmarkEnd w:id="120"/>
      <w:bookmarkEnd w:id="121"/>
      <w:bookmarkEnd w:id="122"/>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重点抓好蓝海华庭、亚龙湾百花谷、亚龙湾旅游文化综合体、夏日百货、一号港湾城等大中型商城的提质增效；把大东海片区建成俄罗斯、泰国、韩国等异域风情消费目的地；充分发挥鸿港新贸城、港华广场的辐射带动作用，打造吃、住、游、娱、购新型商贸网点；积极推进三亚一级粮油仓储加工批发市场项目；把中恒、美丽亚等家私建材城建成琼南家私建材中心；打造琼南汽车</w:t>
      </w:r>
      <w:r>
        <w:rPr>
          <w:rFonts w:ascii="仿宋" w:hAnsi="仿宋" w:eastAsia="仿宋" w:cs="宋体"/>
          <w:kern w:val="0"/>
          <w:sz w:val="32"/>
          <w:szCs w:val="32"/>
        </w:rPr>
        <w:t>4S</w:t>
      </w:r>
      <w:r>
        <w:rPr>
          <w:rFonts w:hint="eastAsia" w:ascii="仿宋" w:hAnsi="仿宋" w:eastAsia="仿宋" w:cs="宋体"/>
          <w:kern w:val="0"/>
          <w:sz w:val="32"/>
          <w:szCs w:val="32"/>
        </w:rPr>
        <w:t>店集群；加快提高南丁物流园区发展水平。</w:t>
      </w:r>
    </w:p>
    <w:p>
      <w:pPr>
        <w:rPr>
          <w:rFonts w:ascii="仿宋" w:hAnsi="仿宋" w:eastAsia="仿宋"/>
          <w:sz w:val="32"/>
          <w:szCs w:val="32"/>
        </w:rPr>
      </w:pPr>
    </w:p>
    <w:p>
      <w:pPr>
        <w:pStyle w:val="2"/>
        <w:spacing w:before="480" w:after="240" w:line="360" w:lineRule="auto"/>
        <w:jc w:val="center"/>
        <w:rPr>
          <w:rFonts w:ascii="仿宋" w:hAnsi="仿宋" w:eastAsia="仿宋"/>
          <w:sz w:val="40"/>
          <w:szCs w:val="32"/>
        </w:rPr>
      </w:pPr>
      <w:bookmarkStart w:id="123" w:name="_Toc1551"/>
      <w:bookmarkStart w:id="124" w:name="_Toc5532"/>
      <w:bookmarkStart w:id="125" w:name="_Toc443338976"/>
      <w:r>
        <w:rPr>
          <w:rFonts w:hint="eastAsia" w:ascii="仿宋" w:hAnsi="仿宋" w:eastAsia="仿宋"/>
          <w:sz w:val="40"/>
          <w:szCs w:val="32"/>
        </w:rPr>
        <w:t>第四部分</w:t>
      </w:r>
      <w:r>
        <w:rPr>
          <w:rFonts w:ascii="仿宋" w:hAnsi="仿宋" w:eastAsia="仿宋"/>
          <w:sz w:val="40"/>
          <w:szCs w:val="32"/>
        </w:rPr>
        <w:t xml:space="preserve">  </w:t>
      </w:r>
      <w:r>
        <w:rPr>
          <w:rFonts w:hint="eastAsia" w:ascii="仿宋" w:hAnsi="仿宋" w:eastAsia="仿宋"/>
          <w:sz w:val="40"/>
          <w:szCs w:val="32"/>
        </w:rPr>
        <w:t>深化改革开放创新，建设“活力吉阳”</w:t>
      </w:r>
      <w:bookmarkEnd w:id="123"/>
      <w:bookmarkEnd w:id="124"/>
      <w:bookmarkEnd w:id="125"/>
    </w:p>
    <w:p>
      <w:pPr>
        <w:widowControl/>
        <w:spacing w:line="30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当前，吉阳区正处在承前启后、全面迈向小康社会的关键时期，同时也处在新常态下经济转型、撤镇设区后体制改革的探索磨合期，必须继往开来，进一步深化改革，不断提高对内对外开放水平，全面提升城区治理能力，强化改革开放创新驱动，打造具有强大内生动力和发展活力的“活力吉阳”。</w:t>
      </w:r>
    </w:p>
    <w:p>
      <w:pPr>
        <w:pStyle w:val="3"/>
        <w:spacing w:before="480" w:after="240" w:line="360" w:lineRule="auto"/>
        <w:rPr>
          <w:rFonts w:ascii="仿宋" w:hAnsi="仿宋" w:eastAsia="仿宋" w:cs="宋体"/>
          <w:kern w:val="0"/>
          <w:sz w:val="36"/>
        </w:rPr>
      </w:pPr>
      <w:bookmarkStart w:id="126" w:name="_Toc443338977"/>
      <w:bookmarkStart w:id="127" w:name="_Toc11442"/>
      <w:bookmarkStart w:id="128" w:name="_Toc3922"/>
      <w:r>
        <w:rPr>
          <w:rFonts w:hint="eastAsia" w:ascii="仿宋" w:hAnsi="仿宋" w:eastAsia="仿宋" w:cs="宋体"/>
          <w:kern w:val="0"/>
          <w:sz w:val="36"/>
        </w:rPr>
        <w:t>一、激发改革开放创新活力</w:t>
      </w:r>
      <w:bookmarkEnd w:id="126"/>
      <w:bookmarkEnd w:id="127"/>
      <w:bookmarkEnd w:id="128"/>
    </w:p>
    <w:p>
      <w:pPr>
        <w:widowControl/>
        <w:spacing w:line="30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根据吉阳区所处的阶段性特征和发展需要，加快推进行政体制改革，稳步推进农村和农垦制度改革，进一步完善市场化机制，着力提高对内对外开放水平，打造三亚的改革开放前沿和创新创业高地。</w:t>
      </w:r>
    </w:p>
    <w:p>
      <w:pPr>
        <w:pStyle w:val="4"/>
        <w:shd w:val="clear" w:color="auto" w:fill="FFFFFF"/>
        <w:spacing w:before="240" w:after="120" w:line="360" w:lineRule="auto"/>
        <w:ind w:firstLine="453" w:firstLineChars="141"/>
        <w:rPr>
          <w:rStyle w:val="40"/>
          <w:rFonts w:ascii="仿宋" w:hAnsi="仿宋" w:eastAsia="仿宋"/>
        </w:rPr>
      </w:pPr>
      <w:bookmarkStart w:id="129" w:name="_Toc19130"/>
      <w:bookmarkStart w:id="130" w:name="_Toc443338978"/>
      <w:bookmarkStart w:id="131" w:name="_Toc438921004"/>
      <w:bookmarkStart w:id="132" w:name="_Toc28623"/>
      <w:r>
        <w:rPr>
          <w:rStyle w:val="40"/>
          <w:rFonts w:hint="eastAsia" w:ascii="仿宋" w:hAnsi="仿宋" w:eastAsia="仿宋"/>
        </w:rPr>
        <w:t>（一）加快推进行政体制改革</w:t>
      </w:r>
      <w:bookmarkEnd w:id="129"/>
      <w:bookmarkEnd w:id="130"/>
      <w:bookmarkEnd w:id="131"/>
      <w:bookmarkEnd w:id="132"/>
    </w:p>
    <w:p>
      <w:pPr>
        <w:widowControl/>
        <w:spacing w:line="30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根据撤镇设区后“市</w:t>
      </w:r>
      <w:r>
        <w:rPr>
          <w:rFonts w:ascii="仿宋" w:hAnsi="仿宋" w:eastAsia="仿宋" w:cs="宋体"/>
          <w:kern w:val="0"/>
          <w:sz w:val="32"/>
          <w:szCs w:val="32"/>
        </w:rPr>
        <w:t>-</w:t>
      </w:r>
      <w:r>
        <w:rPr>
          <w:rFonts w:hint="eastAsia" w:ascii="仿宋" w:hAnsi="仿宋" w:eastAsia="仿宋" w:cs="宋体"/>
          <w:kern w:val="0"/>
          <w:sz w:val="32"/>
          <w:szCs w:val="32"/>
        </w:rPr>
        <w:t>区</w:t>
      </w:r>
      <w:r>
        <w:rPr>
          <w:rFonts w:ascii="仿宋" w:hAnsi="仿宋" w:eastAsia="仿宋" w:cs="宋体"/>
          <w:kern w:val="0"/>
          <w:sz w:val="32"/>
          <w:szCs w:val="32"/>
        </w:rPr>
        <w:t>-</w:t>
      </w:r>
      <w:r>
        <w:rPr>
          <w:rFonts w:hint="eastAsia" w:ascii="仿宋" w:hAnsi="仿宋" w:eastAsia="仿宋" w:cs="宋体"/>
          <w:kern w:val="0"/>
          <w:sz w:val="32"/>
          <w:szCs w:val="32"/>
        </w:rPr>
        <w:t>社区”三级扁平化管理的特点和要求，着力探索建立市区职能调整、权责统一以及区直管社区、村（居）委会的科学模式，加快完成市、区各部门，区级各部门，以及区政府与社区、村委会之间的职责对接和工作协调。按照行政审批制度改革和撤镇设区后人权、事权、财权下沉改革的要求，清理精简行政审批事项，做好市取消、下放事项的落实衔接工作，提高行政审批效率。稳步推行“三证合一”和联合审批登记制度，以“先照后证”推进工商登记前置审批事项改为后置审批工作。加快市、区、村（居）委会三级便民服务体系的互联互通，积极对接和推行“一张审批网”和审批信息数据库共享，实现互联网上申报、办件跟踪、查询及全流程阳光审批。</w:t>
      </w:r>
    </w:p>
    <w:p>
      <w:pPr>
        <w:pStyle w:val="4"/>
        <w:shd w:val="clear" w:color="auto" w:fill="FFFFFF"/>
        <w:spacing w:before="240" w:after="120" w:line="360" w:lineRule="auto"/>
        <w:ind w:firstLine="453" w:firstLineChars="141"/>
        <w:rPr>
          <w:rStyle w:val="40"/>
          <w:rFonts w:ascii="仿宋" w:hAnsi="仿宋" w:eastAsia="仿宋"/>
        </w:rPr>
      </w:pPr>
      <w:bookmarkStart w:id="133" w:name="_Toc1183"/>
      <w:bookmarkStart w:id="134" w:name="_Toc443338979"/>
      <w:bookmarkStart w:id="135" w:name="_Toc438921005"/>
      <w:bookmarkStart w:id="136" w:name="_Toc14792"/>
      <w:r>
        <w:rPr>
          <w:rStyle w:val="40"/>
          <w:rFonts w:hint="eastAsia" w:ascii="仿宋" w:hAnsi="仿宋" w:eastAsia="仿宋"/>
        </w:rPr>
        <w:t>（二）稳步推进农村和农垦制度改革</w:t>
      </w:r>
      <w:bookmarkEnd w:id="133"/>
      <w:bookmarkEnd w:id="134"/>
      <w:bookmarkEnd w:id="135"/>
      <w:bookmarkEnd w:id="136"/>
    </w:p>
    <w:p>
      <w:pPr>
        <w:widowControl/>
        <w:spacing w:line="30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加快完成农村土地确权登记工作，加速农村土地承包经营权流转，严格按照规划和用途管制，鼓励引导农民以转包、出租、互换、转让、股份合作等多种形式有序流转土地承包经营权，促进农业产业化、规模化经营。赋予农民更多的财产性收入，努力做到不征地、不拆房、不砍树，就地城镇化。积极争取省市城乡一体化试点政策，努力探索形成城乡一体规划、一体建设、一体管理的新格局。积极贯彻落实新一轮海南农垦改革发展实施意见，支持推进垦区集团化、农场企业化改革。尽快落实农垦属地化管理，搞好设“镇”和设“居”及市政府授权委托、购买服务等改革试点</w:t>
      </w:r>
      <w:r>
        <w:rPr>
          <w:rFonts w:ascii="仿宋" w:hAnsi="仿宋" w:eastAsia="仿宋" w:cs="宋体"/>
          <w:kern w:val="0"/>
          <w:sz w:val="32"/>
          <w:szCs w:val="32"/>
        </w:rPr>
        <w:t>,</w:t>
      </w:r>
      <w:r>
        <w:rPr>
          <w:rFonts w:hint="eastAsia" w:ascii="仿宋" w:hAnsi="仿宋" w:eastAsia="仿宋" w:cs="宋体"/>
          <w:kern w:val="0"/>
          <w:sz w:val="32"/>
          <w:szCs w:val="32"/>
        </w:rPr>
        <w:t>逐步在农场推开社区“一站式服务”。</w:t>
      </w:r>
    </w:p>
    <w:p>
      <w:pPr>
        <w:pStyle w:val="4"/>
        <w:shd w:val="clear" w:color="auto" w:fill="FFFFFF"/>
        <w:spacing w:before="240" w:after="120" w:line="360" w:lineRule="auto"/>
        <w:ind w:firstLine="453" w:firstLineChars="141"/>
        <w:rPr>
          <w:rStyle w:val="40"/>
          <w:rFonts w:ascii="仿宋" w:hAnsi="仿宋" w:eastAsia="仿宋"/>
        </w:rPr>
      </w:pPr>
      <w:bookmarkStart w:id="137" w:name="_Toc23713"/>
      <w:bookmarkStart w:id="138" w:name="_Toc32132"/>
      <w:bookmarkStart w:id="139" w:name="_Toc443338980"/>
      <w:bookmarkStart w:id="140" w:name="_Toc438921006"/>
      <w:r>
        <w:rPr>
          <w:rStyle w:val="40"/>
          <w:rFonts w:hint="eastAsia" w:ascii="仿宋" w:hAnsi="仿宋" w:eastAsia="仿宋"/>
        </w:rPr>
        <w:t>（三）积极推进供给侧改革</w:t>
      </w:r>
      <w:bookmarkEnd w:id="137"/>
      <w:bookmarkEnd w:id="138"/>
      <w:bookmarkEnd w:id="139"/>
    </w:p>
    <w:p>
      <w:pPr>
        <w:widowControl/>
        <w:spacing w:line="30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加强旅游业、酒店业等重点领域的供给侧结构性改革，加快推进太阳湾高级度假区、公共外交基地、中廖美丽乡村等项目建设，为市场提供更多优质供给。限制发展普通商品房，优化发展商业地产，积极发展旅游综合体，有效化解房地产库存，调整优化房地产供给结构。明确重点产业发展方向，加强各产业园区的分工协作，引导资源配置向优势产业、潜力产业倾斜，加大对创新产业和成长性企业的扶持力度。着力强化和推广吉阳区旅游度假、公共外交等品牌，通过提高供给质量，促进消费需求，不断巩固和扩大国内外客源市场，增强经济持续增长的动力。</w:t>
      </w:r>
    </w:p>
    <w:p>
      <w:pPr>
        <w:pStyle w:val="4"/>
        <w:shd w:val="clear" w:color="auto" w:fill="FFFFFF"/>
        <w:spacing w:before="240" w:after="120" w:line="360" w:lineRule="auto"/>
        <w:ind w:firstLine="453" w:firstLineChars="141"/>
        <w:rPr>
          <w:rStyle w:val="40"/>
          <w:rFonts w:ascii="仿宋" w:hAnsi="仿宋" w:eastAsia="仿宋"/>
        </w:rPr>
      </w:pPr>
      <w:bookmarkStart w:id="141" w:name="_Toc443338981"/>
      <w:bookmarkStart w:id="142" w:name="_Toc7747"/>
      <w:bookmarkStart w:id="143" w:name="_Toc442"/>
      <w:r>
        <w:rPr>
          <w:rStyle w:val="40"/>
          <w:rFonts w:hint="eastAsia" w:ascii="仿宋" w:hAnsi="仿宋" w:eastAsia="仿宋"/>
        </w:rPr>
        <w:t>（四）进一步完善市场化改革</w:t>
      </w:r>
      <w:bookmarkEnd w:id="140"/>
      <w:bookmarkEnd w:id="141"/>
      <w:bookmarkEnd w:id="142"/>
      <w:bookmarkEnd w:id="143"/>
    </w:p>
    <w:p>
      <w:pPr>
        <w:widowControl/>
        <w:spacing w:line="30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成立区城市建设投资公司（国有控股公司）或市城投公司全资子公司，将土地及产业经济运营资源作为基础资本，由区城投公司主导开发与运营。搭建吉阳区公共配套服务类项目的融资与合作平台，吸纳和鼓励社会资本参与棚户区改造以及更多投向基础设施建设和教育卫生等公共服务事业，推动城区建设快速发展。深入推进企业信用信息综合管理系统建设，建立农户征信系统管理制度。建立统一的公共资源交易平台，集中规范开展公共资源交易活动。稳步推进政府购买服务改革，探索推行城乡环卫园林作业等市场化改革。积极配合三亚市建立综合服务平台，构建统一开放、竞争有序、诚信守法、监督有力的现代市场体系。</w:t>
      </w:r>
    </w:p>
    <w:p>
      <w:pPr>
        <w:pStyle w:val="4"/>
        <w:shd w:val="clear" w:color="auto" w:fill="FFFFFF"/>
        <w:spacing w:before="240" w:after="120" w:line="360" w:lineRule="auto"/>
        <w:ind w:firstLine="453" w:firstLineChars="141"/>
        <w:rPr>
          <w:rStyle w:val="40"/>
          <w:rFonts w:ascii="仿宋" w:hAnsi="仿宋" w:eastAsia="仿宋"/>
        </w:rPr>
      </w:pPr>
      <w:bookmarkStart w:id="144" w:name="_Toc438921007"/>
      <w:bookmarkStart w:id="145" w:name="_Toc31148"/>
      <w:bookmarkStart w:id="146" w:name="_Toc23596"/>
      <w:bookmarkStart w:id="147" w:name="_Toc443338982"/>
      <w:r>
        <w:rPr>
          <w:rStyle w:val="40"/>
          <w:rFonts w:hint="eastAsia" w:ascii="仿宋" w:hAnsi="仿宋" w:eastAsia="仿宋"/>
        </w:rPr>
        <w:t>（五）大幅提升对内对外开放水平</w:t>
      </w:r>
      <w:bookmarkEnd w:id="144"/>
      <w:bookmarkEnd w:id="145"/>
      <w:bookmarkEnd w:id="146"/>
      <w:bookmarkEnd w:id="147"/>
    </w:p>
    <w:p>
      <w:pPr>
        <w:widowControl/>
        <w:spacing w:line="30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围绕吉阳区重点产业，大力开展有针对性的目标招商，着力引进相关领域的世界</w:t>
      </w:r>
      <w:r>
        <w:rPr>
          <w:rFonts w:ascii="仿宋" w:hAnsi="仿宋" w:eastAsia="仿宋" w:cs="宋体"/>
          <w:kern w:val="0"/>
          <w:sz w:val="32"/>
          <w:szCs w:val="32"/>
        </w:rPr>
        <w:t>500</w:t>
      </w:r>
      <w:r>
        <w:rPr>
          <w:rFonts w:hint="eastAsia" w:ascii="仿宋" w:hAnsi="仿宋" w:eastAsia="仿宋" w:cs="宋体"/>
          <w:kern w:val="0"/>
          <w:sz w:val="32"/>
          <w:szCs w:val="32"/>
        </w:rPr>
        <w:t>强企业、行业龙头企业和成长型企业。用好用足国际旅游岛优惠政策，进一步扩大旅游、金融、贸易、医疗健康、职业教育等领域的服务业开放，把优质资源配置给实力强、信誉好的国内外优秀企业。在大力吸引外商直接投资的同时，逐步扩大外资参股、外资并购、境外上市融资等方式的引资比重，不断提高利用外资的质量和水平。紧抓国家首个“公共外交基地”建设机遇，积极承办各类国际重大会议、赛事、展会等，全面加强与国内外政府、企业、社会组织的交流合作。积极推进鸿洲国际游艇综合基地建设，打造国际知名的游艇旅游品牌。积极为辖区内争取上市的公司开辟“绿色通道”，扶持企业研发生产特色产品打入国际市场。积极承接国内外的资本、技术、信息，大力引进吉阳区发展急需的各类人才，特别是旅游、科技、管理、教育、医疗等方面的领军人才。进一步深化区域合作，全面融入琼南旅游经济圈建设。</w:t>
      </w:r>
    </w:p>
    <w:p>
      <w:pPr>
        <w:pStyle w:val="4"/>
        <w:shd w:val="clear" w:color="auto" w:fill="FFFFFF"/>
        <w:spacing w:before="240" w:after="120" w:line="360" w:lineRule="auto"/>
        <w:ind w:firstLine="453" w:firstLineChars="141"/>
        <w:rPr>
          <w:rStyle w:val="40"/>
          <w:rFonts w:ascii="仿宋" w:hAnsi="仿宋" w:eastAsia="仿宋"/>
        </w:rPr>
      </w:pPr>
      <w:bookmarkStart w:id="148" w:name="_Toc27535"/>
      <w:bookmarkStart w:id="149" w:name="_Toc438921008"/>
      <w:bookmarkStart w:id="150" w:name="_Toc443338983"/>
      <w:bookmarkStart w:id="151" w:name="_Toc15022"/>
      <w:r>
        <w:rPr>
          <w:rStyle w:val="40"/>
          <w:rFonts w:hint="eastAsia" w:ascii="仿宋" w:hAnsi="仿宋" w:eastAsia="仿宋"/>
        </w:rPr>
        <w:t>（六）打造三亚创新创业高地</w:t>
      </w:r>
      <w:bookmarkEnd w:id="148"/>
      <w:bookmarkEnd w:id="149"/>
      <w:bookmarkEnd w:id="150"/>
      <w:bookmarkEnd w:id="151"/>
    </w:p>
    <w:p>
      <w:pPr>
        <w:widowControl/>
        <w:spacing w:line="30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积极承接国内外的资本、信息、技术，大力引进吉阳区发展急需的各类人才，特别是旅游、科技、管理、教育、医疗等方面的领军人才。充分发挥辖区内高校聚集的优势，积极培养吉阳区发展所需的各类专业化人才，加快教育强区步伐。建立综合性知识产权保护和交易平台，为知识产权提供登记、注册、估价、流转等综合性服务，促进版权、著作权、商标权、外观设计、专利等知识产权的保护、交易和融资，大力推动创新和创新成果的转化应用。充分利用三亚云港、三亚动漫城以及正在筹建的“三亚国际旅游岛人才创业基地”等载体，积极推进“大众创新、万众创业”，打造引领三亚发展的创新创业高地。</w:t>
      </w:r>
    </w:p>
    <w:p>
      <w:pPr>
        <w:pStyle w:val="3"/>
        <w:spacing w:before="480" w:after="240" w:line="360" w:lineRule="auto"/>
        <w:rPr>
          <w:rFonts w:ascii="仿宋" w:hAnsi="仿宋" w:eastAsia="仿宋" w:cs="宋体"/>
          <w:kern w:val="0"/>
          <w:sz w:val="36"/>
        </w:rPr>
      </w:pPr>
      <w:bookmarkStart w:id="152" w:name="_Toc443338984"/>
      <w:bookmarkStart w:id="153" w:name="_Toc6764"/>
      <w:bookmarkStart w:id="154" w:name="_Toc11363"/>
      <w:r>
        <w:rPr>
          <w:rFonts w:hint="eastAsia" w:ascii="仿宋" w:hAnsi="仿宋" w:eastAsia="仿宋" w:cs="宋体"/>
          <w:kern w:val="0"/>
          <w:sz w:val="36"/>
        </w:rPr>
        <w:t>二、全面提升城区治理水平</w:t>
      </w:r>
      <w:bookmarkEnd w:id="152"/>
      <w:bookmarkEnd w:id="153"/>
      <w:bookmarkEnd w:id="154"/>
    </w:p>
    <w:p>
      <w:pPr>
        <w:widowControl/>
        <w:spacing w:line="30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围绕建设“精品城市示范区”的发展定位，切实推进城乡一体化管理，努力提升精细化、智能化管理水平，不断加强政府自身能力建设，赋予乡村更多的发展自主权，全面提高城区治理能力，打造管理精细、服务到位、效率一流的精品城区、活力城区。</w:t>
      </w:r>
    </w:p>
    <w:p>
      <w:pPr>
        <w:pStyle w:val="4"/>
        <w:shd w:val="clear" w:color="auto" w:fill="FFFFFF"/>
        <w:spacing w:before="240" w:after="120" w:line="360" w:lineRule="auto"/>
        <w:ind w:firstLine="453" w:firstLineChars="141"/>
        <w:rPr>
          <w:rStyle w:val="40"/>
          <w:rFonts w:ascii="仿宋" w:hAnsi="仿宋" w:eastAsia="仿宋"/>
        </w:rPr>
      </w:pPr>
      <w:bookmarkStart w:id="155" w:name="_Toc2868"/>
      <w:bookmarkStart w:id="156" w:name="_Toc438920993"/>
      <w:bookmarkStart w:id="157" w:name="_Toc443338985"/>
      <w:bookmarkStart w:id="158" w:name="_Toc28102"/>
      <w:r>
        <w:rPr>
          <w:rStyle w:val="40"/>
          <w:rFonts w:hint="eastAsia" w:ascii="仿宋" w:hAnsi="仿宋" w:eastAsia="仿宋"/>
        </w:rPr>
        <w:t>（一）积极推进城乡一体化管理</w:t>
      </w:r>
      <w:bookmarkEnd w:id="155"/>
      <w:bookmarkEnd w:id="156"/>
      <w:bookmarkEnd w:id="157"/>
      <w:bookmarkEnd w:id="158"/>
    </w:p>
    <w:p>
      <w:pPr>
        <w:ind w:firstLine="643" w:firstLineChars="200"/>
        <w:rPr>
          <w:rFonts w:ascii="仿宋" w:hAnsi="仿宋" w:eastAsia="仿宋" w:cs="宋体"/>
          <w:kern w:val="0"/>
          <w:sz w:val="32"/>
          <w:szCs w:val="32"/>
        </w:rPr>
      </w:pPr>
      <w:r>
        <w:rPr>
          <w:rFonts w:hint="eastAsia" w:ascii="仿宋" w:hAnsi="仿宋" w:eastAsia="仿宋"/>
          <w:b/>
          <w:sz w:val="32"/>
          <w:szCs w:val="32"/>
        </w:rPr>
        <w:t>着力提升智能化管理服务水平。</w:t>
      </w:r>
      <w:r>
        <w:rPr>
          <w:rFonts w:hint="eastAsia" w:ascii="仿宋" w:hAnsi="仿宋" w:eastAsia="仿宋" w:cs="宋体"/>
          <w:kern w:val="0"/>
          <w:sz w:val="32"/>
          <w:szCs w:val="32"/>
        </w:rPr>
        <w:t>积极推进城乡信息综合服务体系建设，提高全区信息化、智慧化管理服务水平，形成全区上下信息共享、运转协调、便捷高效的智能化管理服务体系，为城乡居民和游客提供温馨贴心的优质服务。一是加强政府网站和电子政务建设，积极推进政务信息公开，提高政府工作的透明度和公众参与度。二是继续加强数字化、网格化城市管理系统建设，加快推进社区数字化网格服务管理建设试点工作，并逐步向农村地区延伸。三是加快社区便民信息服务系统建设，通过劳动、救助、社保、医保、计生信息服务等“多网合一”，提高信息化便民服务水平。四是加强农村信息综合服务体系建设，利用信息平台及时整理发布政务、市场等信息，推广农业应用技术，促进农村地区发展。</w:t>
      </w:r>
    </w:p>
    <w:p>
      <w:pPr>
        <w:ind w:firstLine="643" w:firstLineChars="200"/>
        <w:rPr>
          <w:rFonts w:ascii="仿宋" w:hAnsi="仿宋" w:eastAsia="仿宋" w:cs="宋体"/>
          <w:kern w:val="0"/>
          <w:sz w:val="32"/>
          <w:szCs w:val="32"/>
        </w:rPr>
      </w:pPr>
      <w:r>
        <w:rPr>
          <w:rFonts w:hint="eastAsia" w:ascii="仿宋" w:hAnsi="仿宋" w:eastAsia="仿宋"/>
          <w:b/>
          <w:sz w:val="32"/>
          <w:szCs w:val="32"/>
        </w:rPr>
        <w:t>积极探索以城带乡的发展机制。</w:t>
      </w:r>
      <w:r>
        <w:rPr>
          <w:rFonts w:hint="eastAsia" w:ascii="仿宋" w:hAnsi="仿宋" w:eastAsia="仿宋" w:cs="宋体"/>
          <w:kern w:val="0"/>
          <w:sz w:val="32"/>
          <w:szCs w:val="32"/>
        </w:rPr>
        <w:t>根据撤镇设区后“小政府，大社会”的特点和要求，进一步加强标准化城市社区和标准化农村社区等基层组织建设。全力推进大市政向农村地区延伸，积极改善农村地区基础设施；全力支持城市地区教育、医疗机构及专业人才下乡入村，提升农村地区教育、医疗水平；积极支持应届大学生到农村地区支教、担任村官；全力支持配合市政府开通旅游公交，尽可能将农村地区旅游景点纳入旅游公交线路。继续加强涉农资金投入，积极支持农村地区道路网建设；鼓励农民利用闲置宅院发展农家乐；允许农村利用集体建设用地建设公租房；继续加强对村官培训；积极开展送科普、送法律、送政策活动。</w:t>
      </w:r>
    </w:p>
    <w:p>
      <w:pPr>
        <w:ind w:firstLine="643" w:firstLineChars="200"/>
        <w:rPr>
          <w:rFonts w:ascii="仿宋" w:hAnsi="仿宋" w:eastAsia="仿宋" w:cs="宋体"/>
          <w:kern w:val="0"/>
          <w:sz w:val="32"/>
          <w:szCs w:val="32"/>
        </w:rPr>
      </w:pPr>
      <w:r>
        <w:rPr>
          <w:rFonts w:hint="eastAsia" w:ascii="仿宋" w:hAnsi="仿宋" w:eastAsia="仿宋"/>
          <w:b/>
          <w:sz w:val="32"/>
          <w:szCs w:val="32"/>
        </w:rPr>
        <w:t>全面加强城乡安全监管。</w:t>
      </w:r>
      <w:r>
        <w:rPr>
          <w:rFonts w:hint="eastAsia" w:ascii="仿宋" w:hAnsi="仿宋" w:eastAsia="仿宋" w:cs="宋体"/>
          <w:kern w:val="0"/>
          <w:sz w:val="32"/>
          <w:szCs w:val="32"/>
        </w:rPr>
        <w:t>继续推进社区（村）公共区域视频监控系统建设，在农村地区适当增设探头，深化基层社会治安综合治理，提升基层立体化治安防控信息化水平；严格落实安全生产责任，扎实推进“大排查、大整治、大宣传、大教育、大练兵”活动，对重点行业和领域开展安全生产专项整治活动，做好安全隐患排查，强化对食品、药品、餐饮等安全监管，坚决防止重大事故发生。</w:t>
      </w:r>
    </w:p>
    <w:p>
      <w:pPr>
        <w:ind w:firstLine="643" w:firstLineChars="200"/>
        <w:rPr>
          <w:rFonts w:ascii="仿宋" w:hAnsi="仿宋" w:eastAsia="仿宋" w:cs="宋体"/>
          <w:kern w:val="0"/>
          <w:sz w:val="32"/>
          <w:szCs w:val="32"/>
        </w:rPr>
      </w:pPr>
      <w:r>
        <w:rPr>
          <w:rFonts w:hint="eastAsia" w:ascii="仿宋" w:hAnsi="仿宋" w:eastAsia="仿宋"/>
          <w:b/>
          <w:sz w:val="32"/>
          <w:szCs w:val="32"/>
        </w:rPr>
        <w:t>积极推进南新农场属地化管理。</w:t>
      </w:r>
      <w:r>
        <w:rPr>
          <w:rFonts w:hint="eastAsia" w:ascii="仿宋" w:hAnsi="仿宋" w:eastAsia="仿宋" w:cs="宋体"/>
          <w:kern w:val="0"/>
          <w:sz w:val="32"/>
          <w:szCs w:val="32"/>
        </w:rPr>
        <w:t>加快推进南新农场土地清理工作，组织开展农场农用地使用清理规范专项工作，加快推进完成农场国有土地使用权确权登记工作，在调查摸底的基础上，清理规范农场“基本田”和“经营田”分配管理制度。尽快将南新农场承担的社会管理和公共服务职能纳入吉阳区政府统一管理，妥善解决其机构编制、人员安置、所需经费等问题，确保工作有序衔接、职能履行到位。加快推进农场企业化改革，依靠创新驱动加快转变经济发展方式，推进资源资产整合、产业优化升级，建设热带高效现代农业基地，全面增强南新农场的内生动力、发展活力、整体实力，切实发挥南新农场在吉阳区热带高效现代农业建设中的骨干引领作用。</w:t>
      </w:r>
    </w:p>
    <w:p>
      <w:pPr>
        <w:pStyle w:val="4"/>
        <w:shd w:val="clear" w:color="auto" w:fill="FFFFFF"/>
        <w:spacing w:before="240" w:after="120" w:line="360" w:lineRule="auto"/>
        <w:ind w:firstLine="453" w:firstLineChars="141"/>
        <w:rPr>
          <w:rStyle w:val="40"/>
          <w:rFonts w:ascii="仿宋" w:hAnsi="仿宋" w:eastAsia="仿宋"/>
        </w:rPr>
      </w:pPr>
      <w:bookmarkStart w:id="159" w:name="_Toc438920994"/>
      <w:bookmarkStart w:id="160" w:name="_Toc443338986"/>
      <w:bookmarkStart w:id="161" w:name="_Toc24563"/>
      <w:bookmarkStart w:id="162" w:name="_Toc27525"/>
      <w:r>
        <w:rPr>
          <w:rStyle w:val="40"/>
          <w:rFonts w:hint="eastAsia" w:ascii="仿宋" w:hAnsi="仿宋" w:eastAsia="仿宋"/>
        </w:rPr>
        <w:t>（二）努力提升精细化治理水平</w:t>
      </w:r>
      <w:bookmarkEnd w:id="159"/>
      <w:bookmarkEnd w:id="160"/>
      <w:bookmarkEnd w:id="161"/>
      <w:bookmarkEnd w:id="162"/>
    </w:p>
    <w:p>
      <w:pPr>
        <w:ind w:firstLine="643" w:firstLineChars="200"/>
        <w:rPr>
          <w:rFonts w:ascii="仿宋" w:hAnsi="仿宋" w:eastAsia="仿宋" w:cs="宋体"/>
          <w:kern w:val="0"/>
          <w:sz w:val="32"/>
          <w:szCs w:val="32"/>
        </w:rPr>
      </w:pPr>
      <w:r>
        <w:rPr>
          <w:rFonts w:hint="eastAsia" w:ascii="仿宋" w:hAnsi="仿宋" w:eastAsia="仿宋"/>
          <w:b/>
          <w:sz w:val="32"/>
          <w:szCs w:val="32"/>
        </w:rPr>
        <w:t>规划要彰显地域文化特色。</w:t>
      </w:r>
      <w:r>
        <w:rPr>
          <w:rFonts w:hint="eastAsia" w:ascii="仿宋" w:hAnsi="仿宋" w:eastAsia="仿宋" w:cs="宋体"/>
          <w:kern w:val="0"/>
          <w:sz w:val="32"/>
          <w:szCs w:val="32"/>
        </w:rPr>
        <w:t>要把本土独具特色的落笔洞文化、黎族文化、福寿文化、情爱文化、兰花玫瑰文化与中华民族优秀传统文化和世界时尚文化相融合，在广场、公园、绿化带、主干道等城市重要节点，精心规划，因地制宜地通过主题雕塑、艺术长廊等形式，彰显城市文化底蕴。注重细节打造，注入吉阳特色文化元素，展现城市魅力。</w:t>
      </w:r>
    </w:p>
    <w:p>
      <w:pPr>
        <w:ind w:firstLine="643" w:firstLineChars="200"/>
        <w:rPr>
          <w:rFonts w:ascii="仿宋" w:hAnsi="仿宋" w:eastAsia="仿宋"/>
          <w:sz w:val="32"/>
          <w:szCs w:val="32"/>
        </w:rPr>
      </w:pPr>
      <w:r>
        <w:rPr>
          <w:rFonts w:hint="eastAsia" w:ascii="仿宋" w:hAnsi="仿宋" w:eastAsia="仿宋"/>
          <w:b/>
          <w:sz w:val="32"/>
          <w:szCs w:val="32"/>
        </w:rPr>
        <w:t>建设要体现精致高雅时尚。</w:t>
      </w:r>
      <w:r>
        <w:rPr>
          <w:rFonts w:hint="eastAsia" w:ascii="仿宋" w:hAnsi="仿宋" w:eastAsia="仿宋" w:cs="宋体"/>
          <w:kern w:val="0"/>
          <w:sz w:val="32"/>
          <w:szCs w:val="32"/>
        </w:rPr>
        <w:t>城区建设要在塑精品、上档次上下功夫。做到绿随路建，有路皆绿，破墙建绿，绿美结合，实现让绿于民、让路于民、让景于民、让海于民。要积极配合市里抓好鹿回头和大东海广场的升级改造，将其打造成三亚市的“城市会客厅”、中心枢纽和形象宣传地标。主干道要保持洁净靓丽，背街小巷要保持干净整洁，街景建设要体现精致高雅；农村建设要以城中村和城边村改造、新农村建设为契机，努力打造有魅力、有文化的风情小镇和美丽乡村。</w:t>
      </w:r>
    </w:p>
    <w:p>
      <w:pPr>
        <w:ind w:firstLine="643" w:firstLineChars="200"/>
        <w:rPr>
          <w:rFonts w:ascii="仿宋" w:hAnsi="仿宋" w:eastAsia="仿宋" w:cs="宋体"/>
          <w:kern w:val="0"/>
          <w:sz w:val="32"/>
          <w:szCs w:val="32"/>
        </w:rPr>
      </w:pPr>
      <w:r>
        <w:rPr>
          <w:rFonts w:hint="eastAsia" w:ascii="仿宋" w:hAnsi="仿宋" w:eastAsia="仿宋"/>
          <w:b/>
          <w:sz w:val="32"/>
          <w:szCs w:val="32"/>
        </w:rPr>
        <w:t>管理要精准到位精耕细作。</w:t>
      </w:r>
      <w:r>
        <w:rPr>
          <w:rFonts w:hint="eastAsia" w:ascii="仿宋" w:hAnsi="仿宋" w:eastAsia="仿宋" w:cs="宋体"/>
          <w:kern w:val="0"/>
          <w:sz w:val="32"/>
          <w:szCs w:val="32"/>
        </w:rPr>
        <w:t>进一步理顺“区</w:t>
      </w:r>
      <w:r>
        <w:rPr>
          <w:rFonts w:ascii="仿宋" w:hAnsi="仿宋" w:eastAsia="仿宋" w:cs="宋体"/>
          <w:kern w:val="0"/>
          <w:sz w:val="32"/>
          <w:szCs w:val="32"/>
        </w:rPr>
        <w:t>—</w:t>
      </w:r>
      <w:r>
        <w:rPr>
          <w:rFonts w:hint="eastAsia" w:ascii="仿宋" w:hAnsi="仿宋" w:eastAsia="仿宋" w:cs="宋体"/>
          <w:kern w:val="0"/>
          <w:sz w:val="32"/>
          <w:szCs w:val="32"/>
        </w:rPr>
        <w:t>社区（村）”关系，推进管理网格全覆盖，充分发挥社区（村）终端管理作用，把城市管理要求落实、落细。针对吉阳区城市建设管理中面临的突出问题，亮新招、出重拳、精准治理、精耕细作。加强交通整治，加快推进立体停车楼建设，建立健全停车管理制度，重点破解“停车难、停车乱”问题。推进城乡环境卫生整治，特别要细化做好背街小巷、景区景点周边环境卫生，着重解决环境脏乱问题。坚持高压治违，结合“两普查、两规划、一报建”工作，加快完善基层报建审批程序，从源头上管控违法建筑的产生。继续加强旅游市场综合环境整治，严格旅游市场准入条件，加大对欺客宰客等失信行为的查处力度。加快推进旅游市场信息化管理，开通旅游公众微信投诉平台，构建旅游诚信记录系统。启动旅游旺季非常态化管理机制，着眼当前基层执法力量不足、相对分散等问题，积极探索推进执法力量整合，破解基层市容管理难题。</w:t>
      </w:r>
    </w:p>
    <w:p>
      <w:pPr>
        <w:pStyle w:val="4"/>
        <w:shd w:val="clear" w:color="auto" w:fill="FFFFFF"/>
        <w:spacing w:before="240" w:after="120" w:line="360" w:lineRule="auto"/>
        <w:ind w:firstLine="453" w:firstLineChars="141"/>
        <w:rPr>
          <w:rStyle w:val="40"/>
          <w:rFonts w:ascii="仿宋" w:hAnsi="仿宋" w:eastAsia="仿宋"/>
        </w:rPr>
      </w:pPr>
      <w:bookmarkStart w:id="163" w:name="_Toc443338987"/>
      <w:bookmarkStart w:id="164" w:name="_Toc20197"/>
      <w:bookmarkStart w:id="165" w:name="_Toc23616"/>
      <w:bookmarkStart w:id="166" w:name="_Toc438920995"/>
      <w:r>
        <w:rPr>
          <w:rStyle w:val="40"/>
          <w:rFonts w:hint="eastAsia" w:ascii="仿宋" w:hAnsi="仿宋" w:eastAsia="仿宋"/>
        </w:rPr>
        <w:t>（三）不断加强政府能力建设</w:t>
      </w:r>
      <w:bookmarkEnd w:id="163"/>
      <w:bookmarkEnd w:id="164"/>
      <w:bookmarkEnd w:id="165"/>
      <w:bookmarkEnd w:id="166"/>
    </w:p>
    <w:p>
      <w:pPr>
        <w:ind w:firstLine="643" w:firstLineChars="200"/>
        <w:rPr>
          <w:rFonts w:ascii="仿宋" w:hAnsi="仿宋" w:eastAsia="仿宋" w:cs="宋体"/>
          <w:kern w:val="0"/>
          <w:sz w:val="32"/>
          <w:szCs w:val="32"/>
        </w:rPr>
      </w:pPr>
      <w:r>
        <w:rPr>
          <w:rFonts w:hint="eastAsia" w:ascii="仿宋" w:hAnsi="仿宋" w:eastAsia="仿宋"/>
          <w:b/>
          <w:sz w:val="32"/>
          <w:szCs w:val="32"/>
        </w:rPr>
        <w:t>加强服务型政府建设。</w:t>
      </w:r>
      <w:r>
        <w:rPr>
          <w:rFonts w:hint="eastAsia" w:ascii="仿宋" w:hAnsi="仿宋" w:eastAsia="仿宋" w:cs="宋体"/>
          <w:kern w:val="0"/>
          <w:sz w:val="32"/>
          <w:szCs w:val="32"/>
        </w:rPr>
        <w:t>切实转变政府职能，给基层更多的发展自主权，集中精力搞好统筹协调，提供优质公共服务、维护社会公平正义。继续完善政务服务中心建设，落实好三亚市《构建全市政务和便民服务大平台实施意见》，在完不断善对本地居民管理服务的同时，进一步加强对部队、农场、“候鸟”人群的管理和服务。</w:t>
      </w:r>
    </w:p>
    <w:p>
      <w:pPr>
        <w:ind w:firstLine="643" w:firstLineChars="200"/>
        <w:rPr>
          <w:rFonts w:ascii="仿宋" w:hAnsi="仿宋" w:eastAsia="仿宋" w:cs="宋体"/>
          <w:kern w:val="0"/>
          <w:sz w:val="32"/>
          <w:szCs w:val="32"/>
        </w:rPr>
      </w:pPr>
      <w:r>
        <w:rPr>
          <w:rFonts w:hint="eastAsia" w:ascii="仿宋" w:hAnsi="仿宋" w:eastAsia="仿宋"/>
          <w:b/>
          <w:sz w:val="32"/>
          <w:szCs w:val="32"/>
        </w:rPr>
        <w:t>加强责任政府建设。</w:t>
      </w:r>
      <w:r>
        <w:rPr>
          <w:rFonts w:hint="eastAsia" w:ascii="仿宋" w:hAnsi="仿宋" w:eastAsia="仿宋" w:cs="宋体"/>
          <w:kern w:val="0"/>
          <w:sz w:val="32"/>
          <w:szCs w:val="32"/>
        </w:rPr>
        <w:t>严格按程序决策，并建立健全责任追究制，为权力运行设定“紧箍咒”；落实重大决策责任制，把责任落实和失责追究贯穿于权力运行全过程，确保权责对等、权责一致；要有底线思维意识，牢牢把握好吉阳区发展中的生态红线、耕地保护红线、社会安全及社会救助底线，切实维护好公共利益。</w:t>
      </w:r>
    </w:p>
    <w:p>
      <w:pPr>
        <w:ind w:firstLine="643" w:firstLineChars="200"/>
        <w:rPr>
          <w:rFonts w:ascii="仿宋" w:hAnsi="仿宋" w:eastAsia="仿宋"/>
          <w:sz w:val="32"/>
          <w:szCs w:val="32"/>
        </w:rPr>
      </w:pPr>
      <w:r>
        <w:rPr>
          <w:rFonts w:hint="eastAsia" w:ascii="仿宋" w:hAnsi="仿宋" w:eastAsia="仿宋"/>
          <w:b/>
          <w:sz w:val="32"/>
          <w:szCs w:val="32"/>
        </w:rPr>
        <w:t>加强法治政府建设。</w:t>
      </w:r>
      <w:r>
        <w:rPr>
          <w:rFonts w:hint="eastAsia" w:ascii="仿宋" w:hAnsi="仿宋" w:eastAsia="仿宋" w:cs="宋体"/>
          <w:kern w:val="0"/>
          <w:sz w:val="32"/>
          <w:szCs w:val="32"/>
        </w:rPr>
        <w:t>树立正确的权力观，加强对权力的约束，规范政府及其部门的行政行为；坚持依法行政，严格依法确定政府权力运行规则，真正把政府行为纳入法治轨道；集中精力和智慧研究出台一批符合吉阳区情的地方规范标准，指导吉阳依法行政；加强对公务员干部队伍的法律知识宣传教育，提高政府及其部门的法律意识。</w:t>
      </w:r>
    </w:p>
    <w:p>
      <w:pPr>
        <w:ind w:firstLine="643" w:firstLineChars="200"/>
        <w:rPr>
          <w:rFonts w:ascii="仿宋" w:hAnsi="仿宋" w:eastAsia="仿宋" w:cs="宋体"/>
          <w:kern w:val="0"/>
          <w:sz w:val="32"/>
          <w:szCs w:val="32"/>
        </w:rPr>
      </w:pPr>
      <w:r>
        <w:rPr>
          <w:rFonts w:hint="eastAsia" w:ascii="仿宋" w:hAnsi="仿宋" w:eastAsia="仿宋"/>
          <w:b/>
          <w:sz w:val="32"/>
          <w:szCs w:val="32"/>
        </w:rPr>
        <w:t>加强廉洁政府建设。</w:t>
      </w:r>
      <w:r>
        <w:rPr>
          <w:rFonts w:hint="eastAsia" w:ascii="仿宋" w:hAnsi="仿宋" w:eastAsia="仿宋" w:cs="宋体"/>
          <w:kern w:val="0"/>
          <w:sz w:val="32"/>
          <w:szCs w:val="32"/>
        </w:rPr>
        <w:t>让权力在阳光下运行，规范权力运行，完善网上政务服务和电子监察系统功能；推行行政决策专家咨询、风险评估、合法性审查、会商沟通、社会公示与听证，实行重大决策跟踪反馈和责任追究；大力整治行政不作为、工作不落实、配合不协调等“懒政”问题，确保政令畅通；严格落实廉政建设责任制，加大查处和惩治腐败力度，维护群众切身利益；严格落实政府信息公开条例，特别是涉及民生的重点资金、重点项目公开，增强行政透明度，自觉接受社会监督；严格领导干部用人机制，拟提拔官员要提交廉政报告，任中和离任领导干部要进行廉政审计和环境审计。</w:t>
      </w:r>
    </w:p>
    <w:p>
      <w:pPr>
        <w:pStyle w:val="4"/>
        <w:shd w:val="clear" w:color="auto" w:fill="FFFFFF"/>
        <w:spacing w:before="240" w:after="120" w:line="360" w:lineRule="auto"/>
        <w:ind w:firstLine="453" w:firstLineChars="141"/>
        <w:rPr>
          <w:rStyle w:val="40"/>
          <w:rFonts w:ascii="仿宋" w:hAnsi="仿宋" w:eastAsia="仿宋"/>
        </w:rPr>
      </w:pPr>
      <w:bookmarkStart w:id="167" w:name="_Toc443338988"/>
      <w:bookmarkStart w:id="168" w:name="_Toc438920996"/>
      <w:bookmarkStart w:id="169" w:name="_Toc32024"/>
      <w:bookmarkStart w:id="170" w:name="_Toc21299"/>
      <w:r>
        <w:rPr>
          <w:rStyle w:val="40"/>
          <w:rFonts w:hint="eastAsia" w:ascii="仿宋" w:hAnsi="仿宋" w:eastAsia="仿宋"/>
        </w:rPr>
        <w:t>（四）赋予农村更多自主发展权</w:t>
      </w:r>
      <w:bookmarkEnd w:id="167"/>
      <w:bookmarkEnd w:id="168"/>
      <w:bookmarkEnd w:id="169"/>
      <w:bookmarkEnd w:id="170"/>
    </w:p>
    <w:p>
      <w:pPr>
        <w:ind w:firstLine="643" w:firstLineChars="200"/>
        <w:rPr>
          <w:rFonts w:ascii="仿宋" w:hAnsi="仿宋" w:eastAsia="仿宋" w:cs="宋体"/>
          <w:kern w:val="0"/>
          <w:sz w:val="32"/>
          <w:szCs w:val="32"/>
        </w:rPr>
      </w:pPr>
      <w:r>
        <w:rPr>
          <w:rFonts w:hint="eastAsia" w:ascii="仿宋" w:hAnsi="仿宋" w:eastAsia="仿宋"/>
          <w:b/>
          <w:sz w:val="32"/>
          <w:szCs w:val="32"/>
        </w:rPr>
        <w:t>加快推动农村集体土地确权和流转。</w:t>
      </w:r>
      <w:r>
        <w:rPr>
          <w:rFonts w:hint="eastAsia" w:ascii="仿宋" w:hAnsi="仿宋" w:eastAsia="仿宋" w:cs="宋体"/>
          <w:kern w:val="0"/>
          <w:sz w:val="32"/>
          <w:szCs w:val="32"/>
        </w:rPr>
        <w:t>尽快完成农村集体土地确权登记颁证工作，在已完成实施方案制定、工作小组方案审批、宗地示意图、宗地现状登记表、宗地界线现场勘查登记表等工作基础上，继续完成颁证工作。尽快搭建农村集体土地流转区级平台，制定农村集体土地流转办法，利用信息化技术搭建农村集体土地流转区级交易市场，指导全区农村集体土地规范有序流转。</w:t>
      </w:r>
    </w:p>
    <w:p>
      <w:pPr>
        <w:ind w:firstLine="643" w:firstLineChars="200"/>
        <w:rPr>
          <w:rFonts w:ascii="仿宋" w:hAnsi="仿宋" w:eastAsia="仿宋" w:cs="宋体"/>
          <w:kern w:val="0"/>
          <w:sz w:val="32"/>
          <w:szCs w:val="32"/>
        </w:rPr>
      </w:pPr>
      <w:r>
        <w:rPr>
          <w:rFonts w:hint="eastAsia" w:ascii="仿宋" w:hAnsi="仿宋" w:eastAsia="仿宋"/>
          <w:b/>
          <w:sz w:val="32"/>
          <w:szCs w:val="32"/>
        </w:rPr>
        <w:t>允许农村自主改造和自主发展。</w:t>
      </w:r>
      <w:r>
        <w:rPr>
          <w:rFonts w:hint="eastAsia" w:ascii="仿宋" w:hAnsi="仿宋" w:eastAsia="仿宋" w:cs="宋体"/>
          <w:kern w:val="0"/>
          <w:sz w:val="32"/>
          <w:szCs w:val="32"/>
        </w:rPr>
        <w:t>创新规划编制管理办法，注意吸收基层的意见，推动自上而下的规划与自下而上的规划相结合，确保规划为民生，顺民意，得民心。允许农村自主改造城中村和城边村，自主建设集体产业园区，可先选取若干地区进行试点，待经验成熟后，再向全区推广。</w:t>
      </w:r>
    </w:p>
    <w:p>
      <w:pPr>
        <w:ind w:firstLine="643" w:firstLineChars="200"/>
        <w:rPr>
          <w:rFonts w:ascii="仿宋" w:hAnsi="仿宋" w:eastAsia="仿宋" w:cs="宋体"/>
          <w:kern w:val="0"/>
          <w:sz w:val="32"/>
          <w:szCs w:val="32"/>
        </w:rPr>
      </w:pPr>
      <w:r>
        <w:rPr>
          <w:rFonts w:hint="eastAsia" w:ascii="仿宋" w:hAnsi="仿宋" w:eastAsia="仿宋"/>
          <w:b/>
          <w:sz w:val="32"/>
          <w:szCs w:val="32"/>
        </w:rPr>
        <w:t>进一步完善乡村治理结构。</w:t>
      </w:r>
      <w:r>
        <w:rPr>
          <w:rFonts w:hint="eastAsia" w:ascii="仿宋" w:hAnsi="仿宋" w:eastAsia="仿宋" w:cs="宋体"/>
          <w:kern w:val="0"/>
          <w:sz w:val="32"/>
          <w:szCs w:val="32"/>
        </w:rPr>
        <w:t>规范和完善村务公开制度，保障和维护农民群众的合法权益，强化村级干部廉洁履职和村级民主政治建设。重大决策和工作部署、财务计划、财务收支、资金资产资源、债权债务、收益分配等都要向全体村民公开。完善农村基础设施建设投入机制，将农村基础设施建设投资纳入全区财政预算，严格做到项目有立项，投资有保障，实施有监督。</w:t>
      </w:r>
    </w:p>
    <w:p>
      <w:pPr>
        <w:pStyle w:val="4"/>
        <w:shd w:val="clear" w:color="auto" w:fill="FFFFFF"/>
        <w:spacing w:before="240" w:after="120" w:line="360" w:lineRule="auto"/>
        <w:ind w:firstLine="453" w:firstLineChars="141"/>
        <w:rPr>
          <w:rStyle w:val="40"/>
          <w:rFonts w:ascii="仿宋" w:hAnsi="仿宋" w:eastAsia="仿宋"/>
        </w:rPr>
      </w:pPr>
      <w:bookmarkStart w:id="171" w:name="_Toc28324"/>
      <w:bookmarkStart w:id="172" w:name="_Toc18634"/>
      <w:r>
        <w:rPr>
          <w:rStyle w:val="40"/>
          <w:rFonts w:hint="eastAsia" w:ascii="仿宋" w:hAnsi="仿宋" w:eastAsia="仿宋"/>
        </w:rPr>
        <w:t>（五）扎实推动建设质量强区</w:t>
      </w:r>
      <w:bookmarkEnd w:id="171"/>
      <w:bookmarkEnd w:id="172"/>
    </w:p>
    <w:p>
      <w:pPr>
        <w:ind w:firstLine="643" w:firstLineChars="200"/>
        <w:rPr>
          <w:rFonts w:ascii="仿宋" w:hAnsi="仿宋" w:eastAsia="仿宋" w:cs="宋体"/>
          <w:kern w:val="0"/>
          <w:sz w:val="32"/>
          <w:szCs w:val="32"/>
        </w:rPr>
      </w:pPr>
      <w:r>
        <w:rPr>
          <w:rFonts w:hint="eastAsia" w:ascii="仿宋" w:hAnsi="仿宋" w:eastAsia="仿宋" w:cs="宋体"/>
          <w:b/>
          <w:kern w:val="0"/>
          <w:sz w:val="32"/>
          <w:szCs w:val="32"/>
        </w:rPr>
        <w:t>质量发展是兴国之道、强国之策。</w:t>
      </w:r>
      <w:r>
        <w:rPr>
          <w:rFonts w:hint="eastAsia" w:ascii="仿宋" w:hAnsi="仿宋" w:eastAsia="仿宋" w:cs="宋体"/>
          <w:kern w:val="0"/>
          <w:sz w:val="32"/>
          <w:szCs w:val="32"/>
        </w:rPr>
        <w:t>质量反映一个区域的综合实力，是企业和产业核心竞争力的体现，也是城市文明程度的体现；既是科技创新、资源配置、劳动者素质等因素的集成，又是法制环境、文化教育、诚信建设等方面的综合反映。质量问题是经济社会发展的战略问题，关系可持续发展，关系人民群众切身利益，关系城市形象。</w:t>
      </w:r>
    </w:p>
    <w:p>
      <w:pPr>
        <w:ind w:firstLine="643" w:firstLineChars="200"/>
        <w:rPr>
          <w:rFonts w:ascii="仿宋" w:hAnsi="仿宋" w:eastAsia="仿宋" w:cs="宋体"/>
          <w:kern w:val="0"/>
          <w:sz w:val="32"/>
          <w:szCs w:val="32"/>
        </w:rPr>
      </w:pPr>
      <w:r>
        <w:rPr>
          <w:rFonts w:hint="eastAsia" w:ascii="仿宋" w:hAnsi="仿宋" w:eastAsia="仿宋" w:cs="宋体"/>
          <w:b/>
          <w:kern w:val="0"/>
          <w:sz w:val="32"/>
          <w:szCs w:val="32"/>
        </w:rPr>
        <w:t>全面提高质量管理水平，推动建设质量强区。</w:t>
      </w:r>
      <w:r>
        <w:rPr>
          <w:rFonts w:hint="eastAsia" w:ascii="仿宋" w:hAnsi="仿宋" w:eastAsia="仿宋" w:cs="宋体"/>
          <w:kern w:val="0"/>
          <w:sz w:val="32"/>
          <w:szCs w:val="32"/>
        </w:rPr>
        <w:t>增强全社会质量意识，从强化法制、落实责任、加强教育入手，立足当前，着眼长远，整体推进，突出重点，综合实施，标本兼治，促进经济社会又好又快发展。明确质量发展目标，提高产品质量、工程质量、服务质量总体水平，使得质量发展成果惠及全体人民。</w:t>
      </w:r>
    </w:p>
    <w:p>
      <w:pPr>
        <w:ind w:firstLine="643" w:firstLineChars="200"/>
        <w:rPr>
          <w:rFonts w:ascii="仿宋" w:hAnsi="仿宋" w:eastAsia="仿宋" w:cs="宋体"/>
          <w:kern w:val="0"/>
          <w:sz w:val="32"/>
          <w:szCs w:val="32"/>
        </w:rPr>
      </w:pPr>
      <w:r>
        <w:rPr>
          <w:rFonts w:hint="eastAsia" w:ascii="仿宋" w:hAnsi="仿宋" w:eastAsia="仿宋" w:cs="宋体"/>
          <w:b/>
          <w:kern w:val="0"/>
          <w:sz w:val="32"/>
          <w:szCs w:val="32"/>
        </w:rPr>
        <w:t>在</w:t>
      </w:r>
      <w:r>
        <w:rPr>
          <w:rFonts w:ascii="仿宋" w:hAnsi="仿宋" w:eastAsia="仿宋" w:cs="宋体"/>
          <w:b/>
          <w:kern w:val="0"/>
          <w:sz w:val="32"/>
          <w:szCs w:val="32"/>
        </w:rPr>
        <w:t xml:space="preserve"> </w:t>
      </w:r>
      <w:r>
        <w:rPr>
          <w:rFonts w:hint="eastAsia" w:ascii="仿宋" w:hAnsi="仿宋" w:eastAsia="仿宋" w:cs="宋体"/>
          <w:b/>
          <w:kern w:val="0"/>
          <w:sz w:val="32"/>
          <w:szCs w:val="32"/>
        </w:rPr>
        <w:t>“十三五”期间</w:t>
      </w:r>
      <w:r>
        <w:rPr>
          <w:rFonts w:hint="eastAsia" w:ascii="仿宋" w:hAnsi="仿宋" w:eastAsia="仿宋" w:cs="宋体"/>
          <w:kern w:val="0"/>
          <w:sz w:val="32"/>
          <w:szCs w:val="32"/>
        </w:rPr>
        <w:t>，</w:t>
      </w:r>
      <w:r>
        <w:rPr>
          <w:rFonts w:hint="eastAsia" w:ascii="仿宋" w:hAnsi="仿宋" w:eastAsia="仿宋" w:cs="宋体"/>
          <w:b/>
          <w:kern w:val="0"/>
          <w:sz w:val="32"/>
          <w:szCs w:val="32"/>
        </w:rPr>
        <w:t>产品质量</w:t>
      </w:r>
      <w:r>
        <w:rPr>
          <w:rFonts w:hint="eastAsia" w:ascii="仿宋" w:hAnsi="仿宋" w:eastAsia="仿宋" w:cs="宋体"/>
          <w:kern w:val="0"/>
          <w:sz w:val="32"/>
          <w:szCs w:val="32"/>
        </w:rPr>
        <w:t>保障体系更加完善，产品质量安全指标全面达到国家强制性标准要求，质量创新能力和自有品牌市场竞争力明显提高，节能环保性能大幅提升，基本满足人民群众日益增长的质量需求。农产品和食品实现优质、生态、安全，制造业主要行业和战略性新兴产业的产品质量水平明显提高；</w:t>
      </w:r>
      <w:r>
        <w:rPr>
          <w:rFonts w:hint="eastAsia" w:ascii="仿宋" w:hAnsi="仿宋" w:eastAsia="仿宋" w:cs="宋体"/>
          <w:b/>
          <w:kern w:val="0"/>
          <w:sz w:val="32"/>
          <w:szCs w:val="32"/>
        </w:rPr>
        <w:t>建设工程质量</w:t>
      </w:r>
      <w:r>
        <w:rPr>
          <w:rFonts w:hint="eastAsia" w:ascii="仿宋" w:hAnsi="仿宋" w:eastAsia="仿宋" w:cs="宋体"/>
          <w:kern w:val="0"/>
          <w:sz w:val="32"/>
          <w:szCs w:val="32"/>
        </w:rPr>
        <w:t>水平全面提升，工程质量水平保持稳中有升，建筑、交通运输、水利电力等工程的耐久性、安全性普遍增强，人民群众对工程质量</w:t>
      </w:r>
      <w:r>
        <w:rPr>
          <w:rFonts w:ascii="仿宋" w:hAnsi="仿宋" w:eastAsia="仿宋" w:cs="宋体"/>
          <w:kern w:val="0"/>
          <w:sz w:val="32"/>
          <w:szCs w:val="32"/>
        </w:rPr>
        <w:t>(</w:t>
      </w:r>
      <w:r>
        <w:rPr>
          <w:rFonts w:hint="eastAsia" w:ascii="仿宋" w:hAnsi="仿宋" w:eastAsia="仿宋" w:cs="宋体"/>
          <w:kern w:val="0"/>
          <w:sz w:val="32"/>
          <w:szCs w:val="32"/>
        </w:rPr>
        <w:t>尤其住宅质量</w:t>
      </w:r>
      <w:r>
        <w:rPr>
          <w:rFonts w:ascii="仿宋" w:hAnsi="仿宋" w:eastAsia="仿宋" w:cs="宋体"/>
          <w:kern w:val="0"/>
          <w:sz w:val="32"/>
          <w:szCs w:val="32"/>
        </w:rPr>
        <w:t>)</w:t>
      </w:r>
      <w:r>
        <w:rPr>
          <w:rFonts w:hint="eastAsia" w:ascii="仿宋" w:hAnsi="仿宋" w:eastAsia="仿宋" w:cs="宋体"/>
          <w:kern w:val="0"/>
          <w:sz w:val="32"/>
          <w:szCs w:val="32"/>
        </w:rPr>
        <w:t>满意度明细提高，建设工程质量投诉率逐年下降。工程质量技术创新能力明细增强，建筑工程节能效率和工业化建造比重不断提高。绿色建筑发展迅速，住宅性能改善明显。</w:t>
      </w:r>
      <w:r>
        <w:rPr>
          <w:rFonts w:hint="eastAsia" w:ascii="仿宋" w:hAnsi="仿宋" w:eastAsia="仿宋" w:cs="宋体"/>
          <w:b/>
          <w:kern w:val="0"/>
          <w:sz w:val="32"/>
          <w:szCs w:val="32"/>
        </w:rPr>
        <w:t>服务质量</w:t>
      </w:r>
      <w:r>
        <w:rPr>
          <w:rFonts w:hint="eastAsia" w:ascii="仿宋" w:hAnsi="仿宋" w:eastAsia="仿宋" w:cs="宋体"/>
          <w:kern w:val="0"/>
          <w:sz w:val="32"/>
          <w:szCs w:val="32"/>
        </w:rPr>
        <w:t>实现标准化、规范化和品牌化，服务业质量水平显著提升，高端酒店和住宅物业服务企业的服务质量达到或接近国际先进水平，服务业品牌价值和效益大幅提升，推动实现服务业大发展。</w:t>
      </w:r>
    </w:p>
    <w:p>
      <w:pPr>
        <w:ind w:firstLine="643" w:firstLineChars="200"/>
        <w:rPr>
          <w:rFonts w:ascii="仿宋" w:hAnsi="仿宋" w:eastAsia="仿宋" w:cs="宋体"/>
          <w:kern w:val="0"/>
          <w:sz w:val="32"/>
          <w:szCs w:val="32"/>
        </w:rPr>
      </w:pPr>
      <w:r>
        <w:rPr>
          <w:rFonts w:hint="eastAsia" w:ascii="仿宋" w:hAnsi="仿宋" w:eastAsia="仿宋" w:cs="宋体"/>
          <w:b/>
          <w:kern w:val="0"/>
          <w:sz w:val="32"/>
          <w:szCs w:val="32"/>
        </w:rPr>
        <w:t>强化企业质量主体作用，加强质量监督管理。</w:t>
      </w:r>
      <w:r>
        <w:rPr>
          <w:rFonts w:hint="eastAsia" w:ascii="仿宋" w:hAnsi="仿宋" w:eastAsia="仿宋" w:cs="宋体"/>
          <w:kern w:val="0"/>
          <w:sz w:val="32"/>
          <w:szCs w:val="32"/>
        </w:rPr>
        <w:t>严格企业质量主体责任，提高企业质量管理水平，加快企业质量技术创新，发挥优势企业引领作用，推动企业履行社会责任；加快质量法制建设，强化质量安全监管，实施质量安全风险管理，加强宏观质量统计分析，推进质量诚信体系建设，依法严厉打击质量违法行为。</w:t>
      </w:r>
    </w:p>
    <w:p>
      <w:pPr>
        <w:ind w:firstLine="643" w:firstLineChars="200"/>
        <w:rPr>
          <w:rFonts w:ascii="仿宋" w:hAnsi="仿宋" w:eastAsia="仿宋" w:cs="宋体"/>
          <w:kern w:val="0"/>
          <w:sz w:val="32"/>
          <w:szCs w:val="32"/>
        </w:rPr>
      </w:pPr>
      <w:r>
        <w:rPr>
          <w:rFonts w:hint="eastAsia" w:ascii="仿宋" w:hAnsi="仿宋" w:eastAsia="仿宋" w:cs="宋体"/>
          <w:b/>
          <w:kern w:val="0"/>
          <w:sz w:val="32"/>
          <w:szCs w:val="32"/>
        </w:rPr>
        <w:t>优化质量发展环境，夯实质量发展基础。</w:t>
      </w:r>
      <w:r>
        <w:rPr>
          <w:rFonts w:hint="eastAsia" w:ascii="仿宋" w:hAnsi="仿宋" w:eastAsia="仿宋" w:cs="宋体"/>
          <w:kern w:val="0"/>
          <w:sz w:val="32"/>
          <w:szCs w:val="32"/>
        </w:rPr>
        <w:t>加强质量文化建设，营造良好市场环境，完善质量投诉和消费维权机制，发挥社会中介服务作用，加强质量舆论宣传，深化质量国际交流合作；推进质量创新能力建设，加强标准化工作，强化计量基础支撑作用，推动完善认证认可体系，加快检验检测技术保障体系建设，推进质量信息化建设。</w:t>
      </w:r>
    </w:p>
    <w:p>
      <w:pPr>
        <w:rPr>
          <w:rFonts w:ascii="仿宋" w:hAnsi="仿宋" w:eastAsia="仿宋" w:cs="仿宋"/>
          <w:sz w:val="32"/>
          <w:szCs w:val="32"/>
        </w:rPr>
      </w:pPr>
      <w:r>
        <w:rPr>
          <w:rFonts w:ascii="仿宋" w:hAnsi="仿宋" w:eastAsia="仿宋" w:cs="仿宋"/>
          <w:b/>
          <w:bCs/>
          <w:color w:val="2B2B2B"/>
          <w:sz w:val="32"/>
          <w:szCs w:val="32"/>
        </w:rPr>
        <w:t xml:space="preserve">  </w:t>
      </w:r>
      <w:r>
        <w:rPr>
          <w:rFonts w:hint="eastAsia" w:ascii="仿宋" w:hAnsi="仿宋" w:eastAsia="仿宋" w:cs="仿宋"/>
          <w:b/>
          <w:bCs/>
          <w:color w:val="2B2B2B"/>
          <w:sz w:val="32"/>
          <w:szCs w:val="32"/>
        </w:rPr>
        <w:t>（六）深入开展新时期爱国卫生运动</w:t>
      </w:r>
      <w:r>
        <w:rPr>
          <w:rFonts w:ascii="仿宋" w:hAnsi="仿宋" w:eastAsia="仿宋" w:cs="仿宋"/>
          <w:b/>
          <w:bCs/>
          <w:color w:val="2B2B2B"/>
          <w:sz w:val="32"/>
          <w:szCs w:val="32"/>
        </w:rPr>
        <w:t xml:space="preserve">  </w:t>
      </w:r>
      <w:r>
        <w:rPr>
          <w:rFonts w:hint="eastAsia" w:ascii="仿宋" w:hAnsi="仿宋" w:eastAsia="仿宋" w:cs="仿宋"/>
          <w:b/>
          <w:bCs/>
          <w:color w:val="2B2B2B"/>
          <w:sz w:val="32"/>
          <w:szCs w:val="32"/>
        </w:rPr>
        <w:t>促进全民身心健康</w:t>
      </w:r>
    </w:p>
    <w:p>
      <w:pPr>
        <w:ind w:firstLine="643" w:firstLineChars="200"/>
        <w:rPr>
          <w:rFonts w:ascii="仿宋_GB2312" w:eastAsia="仿宋_GB2312"/>
          <w:sz w:val="32"/>
          <w:szCs w:val="32"/>
        </w:rPr>
      </w:pPr>
      <w:r>
        <w:rPr>
          <w:rFonts w:hint="eastAsia" w:ascii="仿宋_GB2312" w:eastAsia="仿宋_GB2312"/>
          <w:b/>
          <w:sz w:val="32"/>
          <w:szCs w:val="32"/>
        </w:rPr>
        <w:t>爱国卫生运动是党和政府把群众路线运用于卫生防病工作的伟大创举和成功实践，是中国特色社会主义事业的重要组成部分。</w:t>
      </w:r>
      <w:r>
        <w:rPr>
          <w:rFonts w:hint="eastAsia" w:ascii="仿宋_GB2312" w:eastAsia="仿宋_GB2312"/>
          <w:sz w:val="32"/>
          <w:szCs w:val="32"/>
        </w:rPr>
        <w:t>通过广泛开展爱国卫生运动，城乡环境卫生条件明显改善，影响健康的主要环境危害因素得到有效治理；人民群众文明卫生素质显著提升，健康生活方式广泛普及；有利于健康的社会环境和政策环境进一步改善，重点传染病、慢性病、地方病和精神疾病等公共卫生问题防控干预取得明显成效，城乡居民健康水平明显提高。</w:t>
      </w:r>
    </w:p>
    <w:p>
      <w:pPr>
        <w:ind w:firstLine="643" w:firstLineChars="200"/>
        <w:rPr>
          <w:sz w:val="32"/>
          <w:szCs w:val="32"/>
        </w:rPr>
      </w:pPr>
      <w:r>
        <w:rPr>
          <w:rFonts w:hint="eastAsia" w:ascii="仿宋_GB2312" w:eastAsia="仿宋_GB2312"/>
          <w:b/>
          <w:sz w:val="32"/>
          <w:szCs w:val="32"/>
        </w:rPr>
        <w:t>深入开展城乡环境卫生整洁行动。</w:t>
      </w:r>
      <w:r>
        <w:rPr>
          <w:rFonts w:hint="eastAsia" w:ascii="仿宋_GB2312" w:eastAsia="仿宋_GB2312"/>
          <w:sz w:val="32"/>
          <w:szCs w:val="32"/>
        </w:rPr>
        <w:t>结合社会主义新农村建设、美丽乡村建设、改善农村人居环境和农村社区建设试点工作，以农村垃圾污水处理和城市环境卫生薄弱地段整治为重点，持续深入开展整洁行动，统筹治理城乡环境卫生问题。推行城乡生活垃圾和污水统筹治理，实施统一规划、统一建设、统一管理、统一运行，有条件的地方推进城乡垃圾污水处理设施和服务向农村延伸，不断提高对生活垃圾和污水进行处理的行政村比例。推行垃圾分类收集处理和资源回收利用，逐步实现垃圾处理减量化、资源化、无害化。营造清洁有序、健康宜居的生产生活环境。</w:t>
      </w:r>
    </w:p>
    <w:p>
      <w:pPr>
        <w:ind w:firstLine="643" w:firstLineChars="200"/>
        <w:rPr>
          <w:sz w:val="32"/>
          <w:szCs w:val="32"/>
        </w:rPr>
      </w:pPr>
      <w:r>
        <w:rPr>
          <w:rFonts w:hint="eastAsia" w:ascii="仿宋_GB2312" w:eastAsia="仿宋_GB2312"/>
          <w:b/>
          <w:sz w:val="32"/>
          <w:szCs w:val="32"/>
        </w:rPr>
        <w:t>科学预防控制病媒生物。</w:t>
      </w:r>
      <w:r>
        <w:rPr>
          <w:rFonts w:hint="eastAsia" w:ascii="仿宋_GB2312" w:eastAsia="仿宋_GB2312"/>
          <w:sz w:val="32"/>
          <w:szCs w:val="32"/>
        </w:rPr>
        <w:t>建立健全病媒生物监测网络，定期开展监测调查，有针对性地组织开展“除四害”活动。实施以环境治理为主的综合预防控制策略，清除病媒生物孳生地，防止登革热、流行性出血热等病媒生物传播疾病的发生流行。加强病媒生物监测与预防控制，最大限度防止病媒生物传播。完善管理规范和技术标准，提高预防控制效果，减少环境污染。病媒生物预防控制使用的药物、器械必须符合国家的相关规定，严禁使用违禁药物。推进病媒生物预防控制服务市场化发展，规范服务行为。</w:t>
      </w:r>
    </w:p>
    <w:p>
      <w:pPr>
        <w:ind w:firstLine="643" w:firstLineChars="200"/>
        <w:rPr>
          <w:sz w:val="32"/>
          <w:szCs w:val="32"/>
        </w:rPr>
      </w:pPr>
      <w:r>
        <w:rPr>
          <w:rFonts w:hint="eastAsia" w:ascii="仿宋_GB2312" w:eastAsia="仿宋_GB2312"/>
          <w:b/>
          <w:sz w:val="32"/>
          <w:szCs w:val="32"/>
        </w:rPr>
        <w:t>加强健康教育和健康促进。</w:t>
      </w:r>
      <w:r>
        <w:rPr>
          <w:rFonts w:hint="eastAsia" w:ascii="仿宋_GB2312" w:eastAsia="仿宋_GB2312"/>
          <w:sz w:val="32"/>
          <w:szCs w:val="32"/>
        </w:rPr>
        <w:t>积极组织开展健康教育活动，培育和践行社会主义核心价值观，大力开展讲卫生、树新风、除陋习活动，摒弃乱扔、乱吐、乱贴、乱行等不文明行为，推动重点人群改变不良生活习惯，形成健康生活方式，提高群众文明卫生意识，营造社会和谐、精神文明的社会新风尚，</w:t>
      </w:r>
      <w:r>
        <w:rPr>
          <w:sz w:val="32"/>
          <w:szCs w:val="32"/>
        </w:rPr>
        <w:t xml:space="preserve"> </w:t>
      </w:r>
    </w:p>
    <w:p>
      <w:pPr>
        <w:ind w:firstLine="643" w:firstLineChars="200"/>
        <w:rPr>
          <w:sz w:val="32"/>
          <w:szCs w:val="32"/>
        </w:rPr>
      </w:pPr>
      <w:r>
        <w:rPr>
          <w:rFonts w:hint="eastAsia" w:ascii="仿宋_GB2312" w:eastAsia="仿宋_GB2312"/>
          <w:b/>
          <w:sz w:val="32"/>
          <w:szCs w:val="32"/>
        </w:rPr>
        <w:t>推进全民健身活动。</w:t>
      </w:r>
      <w:r>
        <w:rPr>
          <w:rFonts w:hint="eastAsia" w:ascii="仿宋_GB2312" w:eastAsia="仿宋_GB2312"/>
          <w:sz w:val="32"/>
          <w:szCs w:val="32"/>
        </w:rPr>
        <w:t>建设健康主题公园等支持性环境，改善城乡居民运动健身条件，提高公共体育设施的开放率和利用率，形成覆盖城乡比较健全的全民健身公共服务体系。加强青少年体育工作，着力提高青少年体质，在措施上加大对青少年体质健康的扶持力度，学生在校期间每天至少参加</w:t>
      </w:r>
      <w:r>
        <w:rPr>
          <w:rFonts w:ascii="仿宋_GB2312" w:eastAsia="仿宋_GB2312"/>
          <w:sz w:val="32"/>
          <w:szCs w:val="32"/>
        </w:rPr>
        <w:t>1</w:t>
      </w:r>
      <w:r>
        <w:rPr>
          <w:rFonts w:hint="eastAsia" w:ascii="仿宋_GB2312" w:eastAsia="仿宋_GB2312"/>
          <w:sz w:val="32"/>
          <w:szCs w:val="32"/>
        </w:rPr>
        <w:t>小时的体育锻炼活动。加强职工体育，推动机关、企事业单位落实工间操制度，建立职工健身团队，开展符合单位特点的健身和竞赛活动。加强全民健身科学研究，推广体质监测和科学健身方法，指导个人根据体质和健康状况开展适合的健身活动，提高群众科学健身水平。开展形式多样的社区健身活动，建立激励机制，引导和鼓励群众经常、持久地参加健身活动，大力推广和规范传统养生健身活动。</w:t>
      </w:r>
    </w:p>
    <w:p>
      <w:pPr>
        <w:ind w:firstLine="643" w:firstLineChars="200"/>
        <w:rPr>
          <w:rFonts w:ascii="仿宋" w:hAnsi="仿宋" w:eastAsia="仿宋" w:cs="宋体"/>
          <w:kern w:val="0"/>
          <w:sz w:val="32"/>
          <w:szCs w:val="32"/>
        </w:rPr>
      </w:pPr>
      <w:r>
        <w:rPr>
          <w:rFonts w:hint="eastAsia" w:ascii="仿宋_GB2312" w:eastAsia="仿宋_GB2312"/>
          <w:b/>
          <w:sz w:val="32"/>
          <w:szCs w:val="32"/>
        </w:rPr>
        <w:t>落实控烟各项措施。</w:t>
      </w:r>
      <w:r>
        <w:rPr>
          <w:rFonts w:hint="eastAsia" w:ascii="仿宋_GB2312" w:eastAsia="仿宋_GB2312"/>
          <w:sz w:val="32"/>
          <w:szCs w:val="32"/>
        </w:rPr>
        <w:t>积极开展控烟宣传教育，提高公众对烟草危害的正确认识，促进形成不吸烟、不敬烟、不劝烟的社会风气。各级领导干部要主动发挥带头表率作用，模范遵守公共场所禁烟规定。严格落实不向未成年人售烟的有关法律规定，将青少年作为吸烟预防干预的重点人群，努力减少新增吸烟人群。开展戒烟咨询热线和戒烟门诊等服务，提高戒烟干预能力。认真履行《烟草控制框架公约》，全面推行公共场所禁烟，创建无烟医疗卫生机构、无烟学校、无烟单位，努力建设无烟环境。</w:t>
      </w:r>
      <w:r>
        <w:rPr>
          <w:rFonts w:eastAsia="仿宋_GB2312"/>
          <w:sz w:val="32"/>
          <w:szCs w:val="32"/>
        </w:rPr>
        <w:t>   </w:t>
      </w:r>
    </w:p>
    <w:p>
      <w:pPr>
        <w:pStyle w:val="2"/>
        <w:spacing w:before="480" w:after="240" w:line="360" w:lineRule="auto"/>
        <w:jc w:val="center"/>
        <w:rPr>
          <w:rFonts w:ascii="仿宋" w:hAnsi="仿宋" w:eastAsia="仿宋"/>
          <w:sz w:val="40"/>
          <w:szCs w:val="32"/>
        </w:rPr>
      </w:pPr>
      <w:bookmarkStart w:id="173" w:name="_Toc22070"/>
      <w:bookmarkStart w:id="174" w:name="_Toc16047"/>
      <w:bookmarkStart w:id="175" w:name="_Toc443338989"/>
      <w:r>
        <w:rPr>
          <w:rFonts w:hint="eastAsia" w:ascii="仿宋" w:hAnsi="仿宋" w:eastAsia="仿宋"/>
          <w:sz w:val="40"/>
          <w:szCs w:val="32"/>
        </w:rPr>
        <w:t>第五部分</w:t>
      </w:r>
      <w:r>
        <w:rPr>
          <w:rFonts w:ascii="仿宋" w:hAnsi="仿宋" w:eastAsia="仿宋"/>
          <w:sz w:val="40"/>
          <w:szCs w:val="32"/>
        </w:rPr>
        <w:t xml:space="preserve">  </w:t>
      </w:r>
      <w:r>
        <w:rPr>
          <w:rFonts w:hint="eastAsia" w:ascii="仿宋" w:hAnsi="仿宋" w:eastAsia="仿宋"/>
          <w:sz w:val="40"/>
          <w:szCs w:val="32"/>
        </w:rPr>
        <w:t>打造宜居宜游环境，建设“魅力吉阳”</w:t>
      </w:r>
      <w:bookmarkEnd w:id="173"/>
      <w:bookmarkEnd w:id="174"/>
      <w:bookmarkEnd w:id="175"/>
    </w:p>
    <w:p>
      <w:pPr>
        <w:spacing w:beforeLines="50" w:afterLines="50"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坚持以“多规合一”为统领，以生态文明为理念，以“双修双城”为抓手，不断优化城区空间布局，加强生态环境保护与修复，着力提升城乡人居环境，大力建设文明城区，打造绿色生态、宜居乐游、近悦远来的“魅力吉阳”。</w:t>
      </w:r>
    </w:p>
    <w:p>
      <w:pPr>
        <w:pStyle w:val="3"/>
        <w:spacing w:before="480" w:after="240" w:line="360" w:lineRule="auto"/>
        <w:rPr>
          <w:rFonts w:ascii="仿宋" w:hAnsi="仿宋" w:eastAsia="仿宋" w:cs="宋体"/>
          <w:kern w:val="0"/>
          <w:sz w:val="36"/>
        </w:rPr>
      </w:pPr>
      <w:bookmarkStart w:id="176" w:name="_Toc32367"/>
      <w:bookmarkStart w:id="177" w:name="_Toc398"/>
      <w:bookmarkStart w:id="178" w:name="_Toc443338990"/>
      <w:r>
        <w:rPr>
          <w:rFonts w:hint="eastAsia" w:ascii="仿宋" w:hAnsi="仿宋" w:eastAsia="仿宋" w:cs="宋体"/>
          <w:kern w:val="0"/>
          <w:sz w:val="36"/>
        </w:rPr>
        <w:t>一、积极优化空间布局</w:t>
      </w:r>
      <w:bookmarkEnd w:id="176"/>
      <w:bookmarkEnd w:id="177"/>
      <w:bookmarkEnd w:id="178"/>
    </w:p>
    <w:p>
      <w:pPr>
        <w:spacing w:beforeLines="50" w:afterLines="50"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以基本生态空间为底线，以“多规合一”为统领，坚持“生态优先、统筹推进、功能提升、睿智增长”的原则，强化城乡空间统筹和海陆资源统筹，加快形成“一心、一带、四区、双廊道”的空间发展新格局，推动吉阳区由“高速发展的空间扩张模式”向“睿智增长的品质提升模式”转型，为建设“实力、活力、魅力、幸福”新吉阳提供强有力的空间支撑。</w:t>
      </w:r>
    </w:p>
    <w:p>
      <w:pPr>
        <w:jc w:val="center"/>
        <w:rPr>
          <w:rFonts w:ascii="华文宋体" w:hAnsi="华文宋体" w:eastAsia="华文宋体"/>
          <w:sz w:val="56"/>
          <w:szCs w:val="56"/>
        </w:rPr>
      </w:pPr>
      <w:r>
        <w:rPr>
          <w:sz w:val="28"/>
          <w:szCs w:val="28"/>
        </w:rPr>
        <w:drawing>
          <wp:inline distT="0" distB="0" distL="114300" distR="114300">
            <wp:extent cx="4486275" cy="44672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486275" cy="4467225"/>
                    </a:xfrm>
                    <a:prstGeom prst="rect">
                      <a:avLst/>
                    </a:prstGeom>
                    <a:noFill/>
                    <a:ln w="9525">
                      <a:noFill/>
                      <a:miter/>
                    </a:ln>
                  </pic:spPr>
                </pic:pic>
              </a:graphicData>
            </a:graphic>
          </wp:inline>
        </w:drawing>
      </w:r>
    </w:p>
    <w:p>
      <w:pPr>
        <w:widowControl/>
        <w:spacing w:beforeLines="50" w:afterLines="50" w:line="300" w:lineRule="auto"/>
        <w:jc w:val="center"/>
        <w:rPr>
          <w:rFonts w:ascii="仿宋" w:hAnsi="仿宋" w:eastAsia="仿宋" w:cs="宋体"/>
          <w:b/>
          <w:kern w:val="0"/>
          <w:sz w:val="28"/>
        </w:rPr>
      </w:pPr>
      <w:r>
        <w:rPr>
          <w:rFonts w:hint="eastAsia" w:ascii="仿宋" w:hAnsi="仿宋" w:eastAsia="仿宋" w:cs="宋体"/>
          <w:b/>
          <w:kern w:val="0"/>
          <w:sz w:val="28"/>
        </w:rPr>
        <w:t>图</w:t>
      </w:r>
      <w:r>
        <w:rPr>
          <w:rFonts w:ascii="仿宋" w:hAnsi="仿宋" w:eastAsia="仿宋" w:cs="宋体"/>
          <w:b/>
          <w:kern w:val="0"/>
          <w:sz w:val="28"/>
        </w:rPr>
        <w:t xml:space="preserve">3-1 </w:t>
      </w:r>
      <w:r>
        <w:rPr>
          <w:rFonts w:hint="eastAsia" w:ascii="仿宋" w:hAnsi="仿宋" w:eastAsia="仿宋" w:cs="宋体"/>
          <w:b/>
          <w:kern w:val="0"/>
          <w:sz w:val="28"/>
        </w:rPr>
        <w:t>吉阳区空间总体布局示意图</w:t>
      </w:r>
    </w:p>
    <w:tbl>
      <w:tblPr>
        <w:tblStyle w:val="26"/>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6" w:type="dxa"/>
          </w:tcPr>
          <w:p>
            <w:pPr>
              <w:spacing w:line="360" w:lineRule="auto"/>
              <w:jc w:val="center"/>
              <w:rPr>
                <w:rFonts w:ascii="仿宋" w:hAnsi="仿宋" w:eastAsia="仿宋" w:cs="Damascus"/>
                <w:b/>
                <w:sz w:val="24"/>
                <w:szCs w:val="24"/>
              </w:rPr>
            </w:pPr>
            <w:r>
              <w:rPr>
                <w:rFonts w:hint="eastAsia" w:ascii="仿宋" w:hAnsi="仿宋" w:eastAsia="仿宋"/>
                <w:b/>
                <w:sz w:val="24"/>
                <w:szCs w:val="24"/>
              </w:rPr>
              <w:t>专栏</w:t>
            </w:r>
            <w:r>
              <w:rPr>
                <w:rFonts w:ascii="仿宋" w:hAnsi="仿宋" w:eastAsia="仿宋"/>
                <w:b/>
                <w:sz w:val="24"/>
                <w:szCs w:val="24"/>
              </w:rPr>
              <w:t>3</w:t>
            </w:r>
            <w:r>
              <w:rPr>
                <w:rFonts w:hint="eastAsia" w:ascii="仿宋" w:hAnsi="仿宋" w:eastAsia="仿宋" w:cs="Damascus"/>
                <w:b/>
                <w:sz w:val="24"/>
                <w:szCs w:val="24"/>
              </w:rPr>
              <w:t>吉阳区“一心一带四区双廊道”的空间结构</w:t>
            </w:r>
          </w:p>
          <w:p>
            <w:pPr>
              <w:pStyle w:val="49"/>
              <w:spacing w:line="360" w:lineRule="auto"/>
              <w:ind w:left="0" w:leftChars="0" w:firstLine="482" w:firstLineChars="200"/>
              <w:rPr>
                <w:rFonts w:ascii="仿宋" w:hAnsi="仿宋" w:eastAsia="仿宋" w:cs="仿宋"/>
                <w:kern w:val="0"/>
                <w:szCs w:val="24"/>
              </w:rPr>
            </w:pPr>
            <w:r>
              <w:rPr>
                <w:rFonts w:hint="eastAsia" w:ascii="仿宋" w:hAnsi="仿宋" w:eastAsia="仿宋" w:cs="仿宋"/>
                <w:b/>
                <w:kern w:val="0"/>
                <w:szCs w:val="24"/>
              </w:rPr>
              <w:t>一心</w:t>
            </w:r>
            <w:r>
              <w:rPr>
                <w:rFonts w:hint="eastAsia" w:ascii="仿宋" w:hAnsi="仿宋" w:eastAsia="仿宋" w:cs="仿宋"/>
                <w:kern w:val="0"/>
                <w:szCs w:val="24"/>
              </w:rPr>
              <w:t>：吉阳高端服务核心，以原三亚河东片区和吉阳镇区为主体，构建全市的政治、经济和文化中心。</w:t>
            </w:r>
          </w:p>
          <w:p>
            <w:pPr>
              <w:pStyle w:val="49"/>
              <w:spacing w:line="360" w:lineRule="auto"/>
              <w:ind w:left="0" w:leftChars="0" w:firstLine="482" w:firstLineChars="200"/>
              <w:rPr>
                <w:rFonts w:ascii="仿宋" w:hAnsi="仿宋" w:eastAsia="仿宋" w:cs="仿宋"/>
                <w:kern w:val="0"/>
                <w:szCs w:val="24"/>
              </w:rPr>
            </w:pPr>
            <w:r>
              <w:rPr>
                <w:rFonts w:hint="eastAsia" w:ascii="仿宋" w:hAnsi="仿宋" w:eastAsia="仿宋" w:cs="仿宋"/>
                <w:b/>
                <w:kern w:val="0"/>
                <w:szCs w:val="24"/>
              </w:rPr>
              <w:t>一带</w:t>
            </w:r>
            <w:r>
              <w:rPr>
                <w:rFonts w:hint="eastAsia" w:ascii="仿宋" w:hAnsi="仿宋" w:eastAsia="仿宋" w:cs="仿宋"/>
                <w:kern w:val="0"/>
                <w:szCs w:val="24"/>
              </w:rPr>
              <w:t>：滨海综合发展带，整合沿线资源要素，带动南北两翼腹地相向发展。</w:t>
            </w:r>
          </w:p>
          <w:p>
            <w:pPr>
              <w:pStyle w:val="49"/>
              <w:spacing w:line="360" w:lineRule="auto"/>
              <w:ind w:left="0" w:leftChars="0" w:firstLine="482" w:firstLineChars="200"/>
              <w:rPr>
                <w:rFonts w:ascii="仿宋" w:hAnsi="仿宋" w:eastAsia="仿宋" w:cs="仿宋"/>
                <w:kern w:val="0"/>
                <w:szCs w:val="24"/>
              </w:rPr>
            </w:pPr>
            <w:r>
              <w:rPr>
                <w:rFonts w:hint="eastAsia" w:ascii="仿宋" w:hAnsi="仿宋" w:eastAsia="仿宋" w:cs="仿宋"/>
                <w:b/>
                <w:kern w:val="0"/>
                <w:szCs w:val="24"/>
              </w:rPr>
              <w:t>四区</w:t>
            </w:r>
            <w:r>
              <w:rPr>
                <w:rFonts w:hint="eastAsia" w:ascii="仿宋" w:hAnsi="仿宋" w:eastAsia="仿宋" w:cs="仿宋"/>
                <w:kern w:val="0"/>
                <w:szCs w:val="24"/>
              </w:rPr>
              <w:t>：城市综合服务区、滨海旅游度假区、北部生态文化区和北部乡村旅游区四大功能区。</w:t>
            </w:r>
          </w:p>
          <w:p>
            <w:pPr>
              <w:pStyle w:val="49"/>
              <w:spacing w:line="360" w:lineRule="auto"/>
              <w:ind w:left="0" w:leftChars="0" w:firstLine="482" w:firstLineChars="200"/>
              <w:rPr>
                <w:rFonts w:ascii="宋体"/>
                <w:b/>
                <w:szCs w:val="28"/>
              </w:rPr>
            </w:pPr>
            <w:r>
              <w:rPr>
                <w:rFonts w:hint="eastAsia" w:ascii="仿宋" w:hAnsi="仿宋" w:eastAsia="仿宋" w:cs="仿宋"/>
                <w:b/>
                <w:kern w:val="0"/>
                <w:szCs w:val="24"/>
              </w:rPr>
              <w:t>双廊道</w:t>
            </w:r>
            <w:r>
              <w:rPr>
                <w:rFonts w:hint="eastAsia" w:ascii="仿宋" w:hAnsi="仿宋" w:eastAsia="仿宋" w:cs="仿宋"/>
                <w:kern w:val="0"/>
                <w:szCs w:val="24"/>
              </w:rPr>
              <w:t>：依托交通干线、山脉林地、河流水系等形成的由滨海向山区渗透、由核心向功能片区组团辐射的两条主要绿色生态发展廊道。</w:t>
            </w:r>
          </w:p>
        </w:tc>
      </w:tr>
    </w:tbl>
    <w:p>
      <w:pPr>
        <w:spacing w:line="360" w:lineRule="auto"/>
        <w:rPr>
          <w:rFonts w:ascii="仿宋" w:hAnsi="仿宋" w:eastAsia="仿宋"/>
          <w:b/>
          <w:sz w:val="32"/>
          <w:szCs w:val="32"/>
        </w:rPr>
      </w:pPr>
    </w:p>
    <w:p>
      <w:pPr>
        <w:pStyle w:val="4"/>
        <w:shd w:val="clear" w:color="auto" w:fill="FFFFFF"/>
        <w:spacing w:before="240" w:after="120" w:line="360" w:lineRule="auto"/>
        <w:ind w:firstLine="453" w:firstLineChars="141"/>
        <w:rPr>
          <w:rStyle w:val="40"/>
          <w:rFonts w:ascii="仿宋" w:hAnsi="仿宋" w:eastAsia="仿宋"/>
        </w:rPr>
      </w:pPr>
      <w:bookmarkStart w:id="179" w:name="_Toc21837"/>
      <w:bookmarkStart w:id="180" w:name="_Toc10895"/>
      <w:bookmarkStart w:id="181" w:name="_Toc443338991"/>
      <w:r>
        <w:rPr>
          <w:rStyle w:val="40"/>
          <w:rFonts w:hint="eastAsia" w:ascii="仿宋" w:hAnsi="仿宋" w:eastAsia="仿宋"/>
        </w:rPr>
        <w:t>（一）构建更具活力的中心城区</w:t>
      </w:r>
      <w:bookmarkEnd w:id="179"/>
      <w:bookmarkEnd w:id="180"/>
      <w:bookmarkEnd w:id="181"/>
    </w:p>
    <w:p>
      <w:pPr>
        <w:spacing w:beforeLines="50" w:afterLines="50"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以原三亚河东片区和吉阳镇区为主体，强化城市活力中心和公共服务功能，构建吉阳区乃至三亚市最具活力的中心城区。加快完善公共服务和旅游服务设施，发展包括旅游服务、文化娱乐、商业办公、金融服务等综合功能；推动旧城更新和环境整治，增加公共开敞空间、绿地公园及商业服务设施，不断提升城区人居环境和发展活力；通过滨海综合发展带，加强与天涯区和海棠区的联系与互动。</w:t>
      </w:r>
    </w:p>
    <w:p>
      <w:pPr>
        <w:pStyle w:val="4"/>
        <w:shd w:val="clear" w:color="auto" w:fill="FFFFFF"/>
        <w:spacing w:before="240" w:after="120" w:line="360" w:lineRule="auto"/>
        <w:ind w:firstLine="453" w:firstLineChars="141"/>
        <w:rPr>
          <w:rStyle w:val="40"/>
          <w:rFonts w:ascii="仿宋" w:hAnsi="仿宋" w:eastAsia="仿宋"/>
        </w:rPr>
      </w:pPr>
      <w:bookmarkStart w:id="182" w:name="_Toc443338992"/>
      <w:bookmarkStart w:id="183" w:name="_Toc13570"/>
      <w:bookmarkStart w:id="184" w:name="_Toc9454"/>
      <w:r>
        <w:rPr>
          <w:rStyle w:val="40"/>
          <w:rFonts w:hint="eastAsia" w:ascii="仿宋" w:hAnsi="仿宋" w:eastAsia="仿宋"/>
        </w:rPr>
        <w:t>（二）优化提升滨海综合发展带</w:t>
      </w:r>
      <w:bookmarkEnd w:id="182"/>
      <w:bookmarkEnd w:id="183"/>
      <w:bookmarkEnd w:id="184"/>
    </w:p>
    <w:p>
      <w:pPr>
        <w:spacing w:beforeLines="50" w:afterLines="50"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依托绕城高速公路、东线高铁、迎宾路、凤凰路、榆亚路、吉阳大道、三环路等主要交通干线，串联沿线风景名胜区、高铁站点和港口码头，形成贯穿吉阳城区、西衔天涯区、东接海棠区的滨海综合发展带，整合沿线资源要素，带动南北两翼腹地相向发展。</w:t>
      </w:r>
    </w:p>
    <w:p>
      <w:pPr>
        <w:ind w:firstLine="643" w:firstLineChars="200"/>
        <w:rPr>
          <w:rFonts w:ascii="仿宋" w:hAnsi="仿宋" w:eastAsia="仿宋" w:cs="宋体"/>
          <w:kern w:val="0"/>
          <w:sz w:val="32"/>
          <w:szCs w:val="32"/>
        </w:rPr>
      </w:pPr>
      <w:r>
        <w:rPr>
          <w:rFonts w:hint="eastAsia" w:ascii="仿宋" w:hAnsi="仿宋" w:eastAsia="仿宋"/>
          <w:b/>
          <w:sz w:val="32"/>
          <w:szCs w:val="32"/>
        </w:rPr>
        <w:t>优化滨海岸线的开发利用。</w:t>
      </w:r>
      <w:r>
        <w:rPr>
          <w:rFonts w:hint="eastAsia" w:ascii="仿宋" w:hAnsi="仿宋" w:eastAsia="仿宋" w:cs="宋体"/>
          <w:kern w:val="0"/>
          <w:sz w:val="32"/>
          <w:szCs w:val="32"/>
        </w:rPr>
        <w:t>加快推进大东海、鹿回头、亚龙湾等沿海景观改造工程，提升迎宾路、凤凰路、榆亚路、吉阳大道等骨干道路整体景观和绿化改造。</w:t>
      </w:r>
    </w:p>
    <w:p>
      <w:pPr>
        <w:ind w:firstLine="643" w:firstLineChars="200"/>
        <w:rPr>
          <w:rFonts w:ascii="仿宋" w:hAnsi="仿宋" w:eastAsia="仿宋" w:cs="宋体"/>
          <w:kern w:val="0"/>
          <w:sz w:val="32"/>
          <w:szCs w:val="32"/>
        </w:rPr>
      </w:pPr>
      <w:r>
        <w:rPr>
          <w:rFonts w:hint="eastAsia" w:ascii="仿宋" w:hAnsi="仿宋" w:eastAsia="仿宋" w:cs="宋体"/>
          <w:b/>
          <w:kern w:val="0"/>
          <w:sz w:val="32"/>
          <w:szCs w:val="32"/>
        </w:rPr>
        <w:t>提升高端旅游及配套功能。</w:t>
      </w:r>
      <w:r>
        <w:rPr>
          <w:rFonts w:hint="eastAsia" w:ascii="仿宋" w:hAnsi="仿宋" w:eastAsia="仿宋" w:cs="宋体"/>
          <w:kern w:val="0"/>
          <w:sz w:val="32"/>
          <w:szCs w:val="32"/>
        </w:rPr>
        <w:t>优化提升亚龙湾、大东海、鹿回头等“老字号”景区，强化“景点</w:t>
      </w:r>
      <w:r>
        <w:rPr>
          <w:rFonts w:ascii="仿宋" w:hAnsi="仿宋" w:eastAsia="仿宋" w:cs="宋体"/>
          <w:kern w:val="0"/>
          <w:sz w:val="32"/>
          <w:szCs w:val="32"/>
        </w:rPr>
        <w:t>+</w:t>
      </w:r>
      <w:r>
        <w:rPr>
          <w:rFonts w:hint="eastAsia" w:ascii="仿宋" w:hAnsi="仿宋" w:eastAsia="仿宋" w:cs="宋体"/>
          <w:kern w:val="0"/>
          <w:sz w:val="32"/>
          <w:szCs w:val="32"/>
        </w:rPr>
        <w:t>酒店</w:t>
      </w:r>
      <w:r>
        <w:rPr>
          <w:rFonts w:ascii="仿宋" w:hAnsi="仿宋" w:eastAsia="仿宋" w:cs="宋体"/>
          <w:kern w:val="0"/>
          <w:sz w:val="32"/>
          <w:szCs w:val="32"/>
        </w:rPr>
        <w:t>+</w:t>
      </w:r>
      <w:r>
        <w:rPr>
          <w:rFonts w:hint="eastAsia" w:ascii="仿宋" w:hAnsi="仿宋" w:eastAsia="仿宋" w:cs="宋体"/>
          <w:kern w:val="0"/>
          <w:sz w:val="32"/>
          <w:szCs w:val="32"/>
        </w:rPr>
        <w:t>配套”的高端旅游服务基地功能；加快建设半山半岛国际帆船基地，积极承办沃尔沃环球帆船赛、世界帆船对抗锦标赛、世界帆船锦标赛等国际赛事，打造中国帆船之都；强化榆林片区的军港及后勤服务功能，优化环境，在保障不影响军事功能和安全保密的前提下适当发展开展国防教育、军事旅游功能。</w:t>
      </w:r>
    </w:p>
    <w:p>
      <w:pPr>
        <w:pStyle w:val="4"/>
        <w:shd w:val="clear" w:color="auto" w:fill="FFFFFF"/>
        <w:spacing w:before="240" w:after="120" w:line="360" w:lineRule="auto"/>
        <w:ind w:firstLine="453" w:firstLineChars="141"/>
        <w:rPr>
          <w:rStyle w:val="40"/>
          <w:rFonts w:ascii="仿宋" w:hAnsi="仿宋" w:eastAsia="仿宋"/>
        </w:rPr>
      </w:pPr>
      <w:bookmarkStart w:id="185" w:name="_Toc12506"/>
      <w:bookmarkStart w:id="186" w:name="_Toc13925"/>
      <w:bookmarkStart w:id="187" w:name="_Toc443338993"/>
      <w:r>
        <w:rPr>
          <w:rStyle w:val="40"/>
          <w:rFonts w:hint="eastAsia" w:ascii="仿宋" w:hAnsi="仿宋" w:eastAsia="仿宋"/>
        </w:rPr>
        <w:t>（三）推动四大功能区高效发展</w:t>
      </w:r>
      <w:bookmarkEnd w:id="185"/>
      <w:bookmarkEnd w:id="186"/>
      <w:bookmarkEnd w:id="187"/>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依据用地条件、生态隔离和主导产业划定四大功能区，即城市综合服务区、滨海旅游度假区、北部乡村旅游区和北部生态文化区。通过四大功能区的建设，统筹发展与保护的关系，优化空间资源配置、提升空间利用效率、推进陆海统筹发展、提升城乡一体化水平。</w:t>
      </w:r>
      <w:r>
        <w:rPr>
          <w:rFonts w:ascii="仿宋" w:hAnsi="仿宋" w:eastAsia="仿宋"/>
          <w:sz w:val="32"/>
          <w:szCs w:val="32"/>
        </w:rPr>
        <w:tab/>
      </w:r>
    </w:p>
    <w:p>
      <w:pPr>
        <w:ind w:firstLine="643" w:firstLineChars="200"/>
        <w:rPr>
          <w:rFonts w:ascii="仿宋" w:hAnsi="仿宋" w:eastAsia="仿宋" w:cs="宋体"/>
          <w:kern w:val="0"/>
          <w:sz w:val="32"/>
          <w:szCs w:val="32"/>
        </w:rPr>
      </w:pPr>
      <w:r>
        <w:rPr>
          <w:rFonts w:hint="eastAsia" w:ascii="仿宋" w:hAnsi="仿宋" w:eastAsia="仿宋"/>
          <w:b/>
          <w:sz w:val="32"/>
          <w:szCs w:val="32"/>
        </w:rPr>
        <w:t>城市综合服务区</w:t>
      </w:r>
      <w:r>
        <w:rPr>
          <w:rFonts w:hint="eastAsia" w:ascii="仿宋" w:hAnsi="仿宋" w:eastAsia="仿宋"/>
          <w:sz w:val="32"/>
          <w:szCs w:val="32"/>
        </w:rPr>
        <w:t>。</w:t>
      </w:r>
      <w:r>
        <w:rPr>
          <w:rFonts w:hint="eastAsia" w:ascii="仿宋" w:hAnsi="仿宋" w:eastAsia="仿宋" w:cs="宋体"/>
          <w:kern w:val="0"/>
          <w:sz w:val="32"/>
          <w:szCs w:val="32"/>
        </w:rPr>
        <w:t>以河东片区、月川</w:t>
      </w:r>
      <w:r>
        <w:rPr>
          <w:rFonts w:ascii="仿宋" w:hAnsi="仿宋" w:eastAsia="仿宋" w:cs="宋体"/>
          <w:kern w:val="0"/>
          <w:sz w:val="32"/>
          <w:szCs w:val="32"/>
        </w:rPr>
        <w:t>--</w:t>
      </w:r>
      <w:r>
        <w:rPr>
          <w:rFonts w:hint="eastAsia" w:ascii="仿宋" w:hAnsi="仿宋" w:eastAsia="仿宋" w:cs="宋体"/>
          <w:kern w:val="0"/>
          <w:sz w:val="32"/>
          <w:szCs w:val="32"/>
        </w:rPr>
        <w:t>荔枝沟</w:t>
      </w:r>
      <w:r>
        <w:rPr>
          <w:rFonts w:ascii="仿宋" w:hAnsi="仿宋" w:eastAsia="仿宋" w:cs="宋体"/>
          <w:kern w:val="0"/>
          <w:sz w:val="32"/>
          <w:szCs w:val="32"/>
        </w:rPr>
        <w:t>--</w:t>
      </w:r>
      <w:r>
        <w:rPr>
          <w:rFonts w:hint="eastAsia" w:ascii="仿宋" w:hAnsi="仿宋" w:eastAsia="仿宋" w:cs="宋体"/>
          <w:kern w:val="0"/>
          <w:sz w:val="32"/>
          <w:szCs w:val="32"/>
        </w:rPr>
        <w:t>抱坡岭片区和原吉阳镇区为主体，建设成为集行政服务、旅游服务、军港后勤保障服务、文化娱乐和商贸等综合功能于一体的“精美城市客厅”。重点发展金融、总部经济、休闲娱乐、商贸物流、文化创意等产业；加快推进旧城改造和环境整治工程，完善服务全市的旅游配套服务设施和公共服务设施；积极推进白鹭公园、金鸡岭公园、丰兴隆公园、凤凰岭森林公园、临春岭森林公园、大茅河湿地、红树林湿地、东岸湿地和高园湿地等城市森林、湿地公园建设，打造服务三亚市民的开放性城市生态休闲文化公园。</w:t>
      </w:r>
    </w:p>
    <w:p>
      <w:pPr>
        <w:ind w:firstLine="420"/>
        <w:rPr>
          <w:rFonts w:ascii="仿宋" w:hAnsi="仿宋" w:eastAsia="仿宋"/>
          <w:sz w:val="32"/>
          <w:szCs w:val="32"/>
        </w:rPr>
      </w:pPr>
      <w:r>
        <w:rPr>
          <w:rFonts w:hint="eastAsia" w:ascii="仿宋" w:hAnsi="仿宋" w:eastAsia="仿宋"/>
          <w:b/>
          <w:sz w:val="32"/>
          <w:szCs w:val="32"/>
        </w:rPr>
        <w:t>滨海旅游度假区。</w:t>
      </w:r>
      <w:r>
        <w:rPr>
          <w:rFonts w:hint="eastAsia" w:ascii="仿宋" w:hAnsi="仿宋" w:eastAsia="仿宋" w:cs="宋体"/>
          <w:kern w:val="0"/>
          <w:sz w:val="32"/>
          <w:szCs w:val="32"/>
        </w:rPr>
        <w:t>以大东海旅游景区、亚龙湾旅游景区、鹿回头风景区、亚龙湾玫瑰风情小镇、亚龙湾热带天堂森林公园，以及半山半岛帆船港、鸿洲游艇码头等主体，建设国际一流的热带滨海旅游度假区。重点发展滨海度假、民俗风情、高端旅游地产、游艇帆船、总部经济、金融服务、高端商贸、商务服务等现代服务业，积极开发海洋资源，打造海上度假（游艇）、海上运动（帆船）、海上观光、海岛体验等海上游新热点；优化提升亚龙湾、大东海、鹿回头等“老字号”景区，强化“景点</w:t>
      </w:r>
      <w:r>
        <w:rPr>
          <w:rFonts w:ascii="仿宋" w:hAnsi="仿宋" w:eastAsia="仿宋" w:cs="宋体"/>
          <w:kern w:val="0"/>
          <w:sz w:val="32"/>
          <w:szCs w:val="32"/>
        </w:rPr>
        <w:t>+</w:t>
      </w:r>
      <w:r>
        <w:rPr>
          <w:rFonts w:hint="eastAsia" w:ascii="仿宋" w:hAnsi="仿宋" w:eastAsia="仿宋" w:cs="宋体"/>
          <w:kern w:val="0"/>
          <w:sz w:val="32"/>
          <w:szCs w:val="32"/>
        </w:rPr>
        <w:t>酒店</w:t>
      </w:r>
      <w:r>
        <w:rPr>
          <w:rFonts w:ascii="仿宋" w:hAnsi="仿宋" w:eastAsia="仿宋" w:cs="宋体"/>
          <w:kern w:val="0"/>
          <w:sz w:val="32"/>
          <w:szCs w:val="32"/>
        </w:rPr>
        <w:t>+</w:t>
      </w:r>
      <w:r>
        <w:rPr>
          <w:rFonts w:hint="eastAsia" w:ascii="仿宋" w:hAnsi="仿宋" w:eastAsia="仿宋" w:cs="宋体"/>
          <w:kern w:val="0"/>
          <w:sz w:val="32"/>
          <w:szCs w:val="32"/>
        </w:rPr>
        <w:t>配套”的高端旅游服务基地功能；高水平开发建设亚龙湾热带天堂森林公园、亚龙湾玫瑰风情小镇、鸿洲游艇码头、半山半岛帆船港等新兴旅游项目，提升新建旅游项目的国际化服务和管理水平；加快亚龙湾第二通道、鹿回头半岛对外联系通道建设，加强主要景区连接交通干线的旅游公路建设。</w:t>
      </w:r>
    </w:p>
    <w:p>
      <w:pPr>
        <w:ind w:firstLine="643" w:firstLineChars="200"/>
        <w:rPr>
          <w:rFonts w:ascii="仿宋" w:hAnsi="仿宋" w:eastAsia="仿宋" w:cs="宋体"/>
          <w:kern w:val="0"/>
          <w:sz w:val="32"/>
          <w:szCs w:val="32"/>
        </w:rPr>
      </w:pPr>
      <w:r>
        <w:rPr>
          <w:rFonts w:hint="eastAsia" w:ascii="仿宋" w:hAnsi="仿宋" w:eastAsia="仿宋"/>
          <w:b/>
          <w:sz w:val="32"/>
          <w:szCs w:val="32"/>
        </w:rPr>
        <w:t>北部生态文化区。</w:t>
      </w:r>
      <w:r>
        <w:rPr>
          <w:rFonts w:hint="eastAsia" w:ascii="仿宋" w:hAnsi="仿宋" w:eastAsia="仿宋" w:cs="宋体"/>
          <w:kern w:val="0"/>
          <w:sz w:val="32"/>
          <w:szCs w:val="32"/>
        </w:rPr>
        <w:t>以落笔洞景区、半岭温泉度假区、三亚高校聚集区和落笔村等为主体，打造成为三亚文化高地和疗养休闲地。重点发展文化旅游、特色农业、疗养度假、高等教育等产业和功能，积极促进文旅互动、农旅对接。围绕半岭温泉重点发展休闲度假和康体养生，围绕落笔洞景区重点发展以落笔洞文化和黎族文化为核心的三亚古今文化体验，依托三亚学院等高校聚集区，重点发展高等教育、创意研发，建设三亚市文化高地</w:t>
      </w:r>
      <w:r>
        <w:rPr>
          <w:rFonts w:ascii="仿宋" w:hAnsi="仿宋" w:eastAsia="仿宋" w:cs="宋体"/>
          <w:kern w:val="0"/>
          <w:sz w:val="32"/>
          <w:szCs w:val="32"/>
        </w:rPr>
        <w:t>;</w:t>
      </w:r>
      <w:r>
        <w:rPr>
          <w:rFonts w:hint="eastAsia" w:ascii="仿宋" w:hAnsi="仿宋" w:eastAsia="仿宋" w:cs="宋体"/>
          <w:kern w:val="0"/>
          <w:sz w:val="32"/>
          <w:szCs w:val="32"/>
        </w:rPr>
        <w:t>依靠南新农场及落笔村的冬季瓜菜和南繁育种基地，发展特色农业。以景区和高校等功能区发展带动村庄发展的整体提升，以村庄作为周边功能区的服务基地，同步改善乡村地区基础设施水平，实现城乡支撑体系建设一体化。</w:t>
      </w:r>
    </w:p>
    <w:p>
      <w:pPr>
        <w:ind w:firstLine="643" w:firstLineChars="200"/>
        <w:rPr>
          <w:rFonts w:ascii="仿宋" w:hAnsi="仿宋" w:eastAsia="仿宋" w:cs="宋体"/>
          <w:kern w:val="0"/>
          <w:sz w:val="32"/>
          <w:szCs w:val="32"/>
        </w:rPr>
      </w:pPr>
      <w:r>
        <w:rPr>
          <w:rFonts w:hint="eastAsia" w:ascii="仿宋" w:hAnsi="仿宋" w:eastAsia="仿宋"/>
          <w:b/>
          <w:iCs/>
          <w:sz w:val="32"/>
          <w:szCs w:val="32"/>
        </w:rPr>
        <w:t>北部乡村旅游区。</w:t>
      </w:r>
      <w:r>
        <w:rPr>
          <w:rFonts w:hint="eastAsia" w:ascii="仿宋" w:hAnsi="仿宋" w:eastAsia="仿宋" w:cs="宋体"/>
          <w:kern w:val="0"/>
          <w:sz w:val="32"/>
          <w:szCs w:val="32"/>
        </w:rPr>
        <w:t>以红花村、罗蓬村、大茅村、中廖村等北部山区的村庄地区为主体，坚持开发与保护融合，打造成为集特色农业、民俗体验、休闲观光于一体的乡村旅游区。优先保障北部山区的农业生产和生态保育功能，重点发展以南繁育种、热带水果、热带花卉、冬季瓜菜、热带林木等为主的高效农业，以休闲农业、民俗体验和养生度假为主的乡村旅游；全面加快红花、罗蓬、中廖、大茅等美丽乡村建设，深入推进互联网小镇建设，强化“红花</w:t>
      </w:r>
      <w:r>
        <w:rPr>
          <w:rFonts w:ascii="仿宋" w:hAnsi="仿宋" w:eastAsia="仿宋" w:cs="宋体"/>
          <w:kern w:val="0"/>
          <w:sz w:val="32"/>
          <w:szCs w:val="32"/>
        </w:rPr>
        <w:t>-</w:t>
      </w:r>
      <w:r>
        <w:rPr>
          <w:rFonts w:hint="eastAsia" w:ascii="仿宋" w:hAnsi="仿宋" w:eastAsia="仿宋" w:cs="宋体"/>
          <w:kern w:val="0"/>
          <w:sz w:val="32"/>
          <w:szCs w:val="32"/>
        </w:rPr>
        <w:t>罗蓬”和“中廖</w:t>
      </w:r>
      <w:r>
        <w:rPr>
          <w:rFonts w:ascii="仿宋" w:hAnsi="仿宋" w:eastAsia="仿宋" w:cs="宋体"/>
          <w:kern w:val="0"/>
          <w:sz w:val="32"/>
          <w:szCs w:val="32"/>
        </w:rPr>
        <w:t>-</w:t>
      </w:r>
      <w:r>
        <w:rPr>
          <w:rFonts w:hint="eastAsia" w:ascii="仿宋" w:hAnsi="仿宋" w:eastAsia="仿宋" w:cs="宋体"/>
          <w:kern w:val="0"/>
          <w:sz w:val="32"/>
          <w:szCs w:val="32"/>
        </w:rPr>
        <w:t>大茅”两个组团间的东西向横向联系；围绕“互联网</w:t>
      </w:r>
      <w:r>
        <w:rPr>
          <w:rFonts w:ascii="仿宋" w:hAnsi="仿宋" w:eastAsia="仿宋" w:cs="宋体"/>
          <w:kern w:val="0"/>
          <w:sz w:val="32"/>
          <w:szCs w:val="32"/>
        </w:rPr>
        <w:t>+</w:t>
      </w:r>
      <w:r>
        <w:rPr>
          <w:rFonts w:hint="eastAsia" w:ascii="仿宋" w:hAnsi="仿宋" w:eastAsia="仿宋" w:cs="宋体"/>
          <w:kern w:val="0"/>
          <w:sz w:val="32"/>
          <w:szCs w:val="32"/>
        </w:rPr>
        <w:t>”现代农业，重点发展农副产品加工和农副产品物流，适当培育食品研发、展示交易等功能；加快推进中廖美丽乡村建设，打造最具特色的海南本土黎苗风情民宿。</w:t>
      </w:r>
    </w:p>
    <w:p>
      <w:pPr>
        <w:pStyle w:val="4"/>
        <w:shd w:val="clear" w:color="auto" w:fill="FFFFFF"/>
        <w:spacing w:before="240" w:after="120" w:line="360" w:lineRule="auto"/>
        <w:ind w:firstLine="453" w:firstLineChars="141"/>
        <w:rPr>
          <w:rStyle w:val="40"/>
          <w:rFonts w:ascii="仿宋" w:hAnsi="仿宋" w:eastAsia="仿宋"/>
        </w:rPr>
      </w:pPr>
      <w:bookmarkStart w:id="188" w:name="_Toc19031"/>
      <w:bookmarkStart w:id="189" w:name="_Toc10362"/>
      <w:bookmarkStart w:id="190" w:name="_Toc443338994"/>
      <w:r>
        <w:rPr>
          <w:rStyle w:val="40"/>
          <w:rFonts w:hint="eastAsia" w:ascii="仿宋" w:hAnsi="仿宋" w:eastAsia="仿宋"/>
        </w:rPr>
        <w:t>（四）积极构建双廊道发展格局</w:t>
      </w:r>
      <w:bookmarkEnd w:id="188"/>
      <w:bookmarkEnd w:id="189"/>
      <w:bookmarkEnd w:id="190"/>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依托交通干线、山脉林地、河流水系等形成的由滨海向山区渗透、由核心向功能片区组团辐射、连接城内外森林及湿地的两条主要绿色生态发展廊道，连同其它滨河、滨海、沿山、沿路的绿色生态网络，共同构筑海绵城市的天然生态基底。</w:t>
      </w:r>
    </w:p>
    <w:p>
      <w:pPr>
        <w:pStyle w:val="47"/>
        <w:spacing w:after="156" w:line="360" w:lineRule="auto"/>
        <w:ind w:firstLine="643"/>
        <w:rPr>
          <w:rFonts w:ascii="仿宋" w:hAnsi="仿宋" w:eastAsia="仿宋" w:cs="宋体"/>
          <w:kern w:val="0"/>
          <w:sz w:val="32"/>
          <w:szCs w:val="32"/>
        </w:rPr>
      </w:pPr>
      <w:r>
        <w:rPr>
          <w:rFonts w:hint="eastAsia" w:ascii="仿宋" w:hAnsi="仿宋" w:eastAsia="仿宋"/>
          <w:b/>
          <w:sz w:val="32"/>
          <w:szCs w:val="32"/>
        </w:rPr>
        <w:t>西部绿色发展廊道。</w:t>
      </w:r>
      <w:r>
        <w:rPr>
          <w:rFonts w:hint="eastAsia" w:ascii="仿宋" w:hAnsi="仿宋" w:eastAsia="仿宋" w:cs="宋体"/>
          <w:kern w:val="0"/>
          <w:sz w:val="32"/>
          <w:szCs w:val="32"/>
        </w:rPr>
        <w:t>依托联系北部腹地的海榆中线等交通干线，形成连接中心城区、河东</w:t>
      </w:r>
      <w:r>
        <w:rPr>
          <w:rFonts w:ascii="仿宋" w:hAnsi="仿宋" w:eastAsia="仿宋" w:cs="宋体"/>
          <w:kern w:val="0"/>
          <w:sz w:val="32"/>
          <w:szCs w:val="32"/>
        </w:rPr>
        <w:t>—</w:t>
      </w:r>
      <w:r>
        <w:rPr>
          <w:rFonts w:hint="eastAsia" w:ascii="仿宋" w:hAnsi="仿宋" w:eastAsia="仿宋" w:cs="宋体"/>
          <w:kern w:val="0"/>
          <w:sz w:val="32"/>
          <w:szCs w:val="32"/>
        </w:rPr>
        <w:t>荔枝沟</w:t>
      </w:r>
      <w:r>
        <w:rPr>
          <w:rFonts w:ascii="仿宋" w:hAnsi="仿宋" w:eastAsia="仿宋" w:cs="宋体"/>
          <w:kern w:val="0"/>
          <w:sz w:val="32"/>
          <w:szCs w:val="32"/>
        </w:rPr>
        <w:t>—</w:t>
      </w:r>
      <w:r>
        <w:rPr>
          <w:rFonts w:hint="eastAsia" w:ascii="仿宋" w:hAnsi="仿宋" w:eastAsia="仿宋" w:cs="宋体"/>
          <w:kern w:val="0"/>
          <w:sz w:val="32"/>
          <w:szCs w:val="32"/>
        </w:rPr>
        <w:t>半岭、落笔洞</w:t>
      </w:r>
      <w:r>
        <w:rPr>
          <w:rFonts w:ascii="仿宋" w:hAnsi="仿宋" w:eastAsia="仿宋" w:cs="宋体"/>
          <w:kern w:val="0"/>
          <w:sz w:val="32"/>
          <w:szCs w:val="32"/>
        </w:rPr>
        <w:t>—</w:t>
      </w:r>
      <w:r>
        <w:rPr>
          <w:rFonts w:hint="eastAsia" w:ascii="仿宋" w:hAnsi="仿宋" w:eastAsia="仿宋" w:cs="宋体"/>
          <w:kern w:val="0"/>
          <w:sz w:val="32"/>
          <w:szCs w:val="32"/>
        </w:rPr>
        <w:t>红花、罗蓬</w:t>
      </w:r>
      <w:r>
        <w:rPr>
          <w:rFonts w:ascii="仿宋" w:hAnsi="仿宋" w:eastAsia="仿宋" w:cs="宋体"/>
          <w:kern w:val="0"/>
          <w:sz w:val="32"/>
          <w:szCs w:val="32"/>
        </w:rPr>
        <w:t>—</w:t>
      </w:r>
      <w:r>
        <w:rPr>
          <w:rFonts w:hint="eastAsia" w:ascii="仿宋" w:hAnsi="仿宋" w:eastAsia="仿宋" w:cs="宋体"/>
          <w:kern w:val="0"/>
          <w:sz w:val="32"/>
          <w:szCs w:val="32"/>
        </w:rPr>
        <w:t>保亭的发展廊道。沿线重点发展旅游服务、商贸物流、文化旅游、休闲农业、民俗体验和养生度假等产业，积极推进文旅互动、农旅对接。</w:t>
      </w:r>
    </w:p>
    <w:p>
      <w:pPr>
        <w:ind w:firstLine="643" w:firstLineChars="200"/>
        <w:rPr>
          <w:rFonts w:ascii="仿宋" w:hAnsi="仿宋" w:eastAsia="仿宋" w:cs="宋体"/>
          <w:kern w:val="0"/>
          <w:sz w:val="32"/>
          <w:szCs w:val="32"/>
        </w:rPr>
      </w:pPr>
      <w:r>
        <w:rPr>
          <w:rFonts w:hint="eastAsia" w:ascii="仿宋" w:hAnsi="仿宋" w:eastAsia="仿宋"/>
          <w:b/>
          <w:sz w:val="32"/>
          <w:szCs w:val="32"/>
        </w:rPr>
        <w:t>东部绿色发展廊道。</w:t>
      </w:r>
      <w:r>
        <w:rPr>
          <w:rFonts w:hint="eastAsia" w:ascii="仿宋" w:hAnsi="仿宋" w:eastAsia="仿宋" w:cs="宋体"/>
          <w:kern w:val="0"/>
          <w:sz w:val="32"/>
          <w:szCs w:val="32"/>
        </w:rPr>
        <w:t>依托联系北部腹地的海榆中线、联系滨海地区的亚龙湾路等交通干线，由南向北贯穿亚龙湾景区、原田独片区、亚龙湾火车站、中廖村、大茅村，向北对接保亭五指山一线，形成以滨海旅游、乡村旅游、热带种植、民俗体验等为主要特色的发展廊道。沿线依托山体林地、九曲水库、松和水库、山浓水库等建设多个生态绿心和生态节点，形成绿色复合生态廊道。</w:t>
      </w:r>
    </w:p>
    <w:p>
      <w:pPr>
        <w:pStyle w:val="3"/>
        <w:spacing w:before="480" w:after="240" w:line="360" w:lineRule="auto"/>
        <w:rPr>
          <w:rFonts w:ascii="仿宋" w:hAnsi="仿宋" w:eastAsia="仿宋" w:cs="宋体"/>
          <w:kern w:val="0"/>
          <w:sz w:val="36"/>
        </w:rPr>
      </w:pPr>
      <w:bookmarkStart w:id="191" w:name="_Toc443338995"/>
      <w:bookmarkStart w:id="192" w:name="_Toc9775"/>
      <w:bookmarkStart w:id="193" w:name="_Toc32014"/>
      <w:r>
        <w:rPr>
          <w:rFonts w:hint="eastAsia" w:ascii="仿宋" w:hAnsi="仿宋" w:eastAsia="仿宋" w:cs="宋体"/>
          <w:kern w:val="0"/>
          <w:sz w:val="36"/>
        </w:rPr>
        <w:t>二、全面推进“双修双城”</w:t>
      </w:r>
      <w:bookmarkEnd w:id="191"/>
      <w:bookmarkEnd w:id="192"/>
      <w:bookmarkEnd w:id="193"/>
    </w:p>
    <w:p>
      <w:pPr>
        <w:spacing w:beforeLines="50" w:afterLines="50"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加强滨海岸线的环境治理，强化河流湿地的生态保护，加快推进“双修双城”试点，大力开展城乡绿化和环境综合整治，打造宜居宜游的生态环境品质。</w:t>
      </w:r>
    </w:p>
    <w:p>
      <w:pPr>
        <w:pStyle w:val="4"/>
        <w:shd w:val="clear" w:color="auto" w:fill="FFFFFF"/>
        <w:spacing w:before="240" w:after="120" w:line="360" w:lineRule="auto"/>
        <w:ind w:firstLine="453" w:firstLineChars="141"/>
        <w:rPr>
          <w:rStyle w:val="40"/>
          <w:rFonts w:ascii="仿宋" w:hAnsi="仿宋" w:eastAsia="仿宋"/>
        </w:rPr>
      </w:pPr>
      <w:bookmarkStart w:id="194" w:name="_Toc19741"/>
      <w:bookmarkStart w:id="195" w:name="_Toc443338996"/>
      <w:bookmarkStart w:id="196" w:name="_Toc660"/>
      <w:bookmarkStart w:id="197" w:name="_Toc438920998"/>
      <w:r>
        <w:rPr>
          <w:rStyle w:val="40"/>
          <w:rFonts w:hint="eastAsia" w:ascii="仿宋" w:hAnsi="仿宋" w:eastAsia="仿宋"/>
        </w:rPr>
        <w:t>（一）加强滨海岸线的环境治理</w:t>
      </w:r>
      <w:bookmarkEnd w:id="194"/>
      <w:bookmarkEnd w:id="195"/>
      <w:bookmarkEnd w:id="196"/>
      <w:bookmarkEnd w:id="197"/>
    </w:p>
    <w:p>
      <w:pPr>
        <w:spacing w:beforeLines="50" w:afterLines="50" w:line="360" w:lineRule="auto"/>
        <w:ind w:firstLine="643" w:firstLineChars="200"/>
        <w:rPr>
          <w:rFonts w:ascii="仿宋" w:hAnsi="仿宋" w:eastAsia="仿宋" w:cs="宋体"/>
          <w:kern w:val="0"/>
          <w:sz w:val="32"/>
          <w:szCs w:val="32"/>
        </w:rPr>
      </w:pPr>
      <w:r>
        <w:rPr>
          <w:rFonts w:hint="eastAsia" w:ascii="仿宋" w:hAnsi="仿宋" w:eastAsia="仿宋"/>
          <w:b/>
          <w:sz w:val="32"/>
          <w:szCs w:val="32"/>
        </w:rPr>
        <w:t>加强海洋生态综合管理。</w:t>
      </w:r>
      <w:r>
        <w:rPr>
          <w:rFonts w:hint="eastAsia" w:ascii="仿宋" w:hAnsi="仿宋" w:eastAsia="仿宋" w:cs="宋体"/>
          <w:kern w:val="0"/>
          <w:sz w:val="32"/>
          <w:szCs w:val="32"/>
        </w:rPr>
        <w:t>加强海岛保护和海洋自然保护区管理，恢复近岸海洋生态功能，遏制近岸海域生态恶化趋势。切实提高已建海洋保护区的管理水平，加强珊瑚礁、红树林、河口的生态系统的监督管理，精心呵护大东海珊瑚礁、青梅港红树林等自然保护区。加强海洋环境监测、灾害预警、行政执法和信息决策支持系统等监管能力建设。</w:t>
      </w:r>
    </w:p>
    <w:p>
      <w:pPr>
        <w:spacing w:beforeLines="50" w:afterLines="50" w:line="360" w:lineRule="auto"/>
        <w:ind w:firstLine="643" w:firstLineChars="200"/>
        <w:rPr>
          <w:rFonts w:ascii="仿宋" w:hAnsi="仿宋" w:eastAsia="仿宋" w:cs="宋体"/>
          <w:kern w:val="0"/>
          <w:sz w:val="32"/>
          <w:szCs w:val="32"/>
        </w:rPr>
      </w:pPr>
      <w:r>
        <w:rPr>
          <w:rFonts w:hint="eastAsia" w:ascii="仿宋" w:hAnsi="仿宋" w:eastAsia="仿宋"/>
          <w:b/>
          <w:sz w:val="32"/>
          <w:szCs w:val="32"/>
        </w:rPr>
        <w:t>合理开发利用海洋资源。</w:t>
      </w:r>
      <w:r>
        <w:rPr>
          <w:rFonts w:hint="eastAsia" w:ascii="仿宋" w:hAnsi="仿宋" w:eastAsia="仿宋" w:cs="宋体"/>
          <w:kern w:val="0"/>
          <w:sz w:val="32"/>
          <w:szCs w:val="32"/>
        </w:rPr>
        <w:t>实施“科技兴海”战略，保护海岛、海岸带和海洋生态环境，加强海域、海岛和海岸带的修复保护，合理开发利用海洋资源，确保海洋资源可持续发展。</w:t>
      </w:r>
    </w:p>
    <w:p>
      <w:pPr>
        <w:pStyle w:val="4"/>
        <w:shd w:val="clear" w:color="auto" w:fill="FFFFFF"/>
        <w:spacing w:before="240" w:after="120" w:line="360" w:lineRule="auto"/>
        <w:ind w:firstLine="453" w:firstLineChars="141"/>
        <w:rPr>
          <w:rStyle w:val="40"/>
          <w:rFonts w:ascii="仿宋" w:hAnsi="仿宋" w:eastAsia="仿宋"/>
        </w:rPr>
      </w:pPr>
      <w:bookmarkStart w:id="198" w:name="_Toc438920999"/>
      <w:bookmarkStart w:id="199" w:name="_Toc1911"/>
      <w:bookmarkStart w:id="200" w:name="_Toc25692"/>
      <w:bookmarkStart w:id="201" w:name="_Toc443338997"/>
      <w:r>
        <w:rPr>
          <w:rStyle w:val="40"/>
          <w:rFonts w:hint="eastAsia" w:ascii="仿宋" w:hAnsi="仿宋" w:eastAsia="仿宋"/>
        </w:rPr>
        <w:t>（二）强化河流湿地的生态保护</w:t>
      </w:r>
      <w:bookmarkEnd w:id="198"/>
      <w:bookmarkEnd w:id="199"/>
      <w:bookmarkEnd w:id="200"/>
      <w:bookmarkEnd w:id="201"/>
    </w:p>
    <w:p>
      <w:pPr>
        <w:spacing w:beforeLines="50" w:afterLines="50" w:line="360" w:lineRule="auto"/>
        <w:ind w:firstLine="643" w:firstLineChars="200"/>
        <w:rPr>
          <w:rFonts w:ascii="仿宋" w:hAnsi="仿宋" w:eastAsia="仿宋" w:cs="宋体"/>
          <w:kern w:val="0"/>
          <w:sz w:val="32"/>
          <w:szCs w:val="32"/>
        </w:rPr>
      </w:pPr>
      <w:r>
        <w:rPr>
          <w:rFonts w:hint="eastAsia" w:ascii="仿宋" w:hAnsi="仿宋" w:eastAsia="仿宋"/>
          <w:b/>
          <w:sz w:val="32"/>
          <w:szCs w:val="32"/>
        </w:rPr>
        <w:t>加强重点河流的环境保护。</w:t>
      </w:r>
      <w:r>
        <w:rPr>
          <w:rFonts w:hint="eastAsia" w:ascii="仿宋" w:hAnsi="仿宋" w:eastAsia="仿宋" w:cs="宋体"/>
          <w:kern w:val="0"/>
          <w:sz w:val="32"/>
          <w:szCs w:val="32"/>
        </w:rPr>
        <w:t>按照“尊重自然、顺应自然、保护自然”的理念，清理河道违建，推进河道岸线修复及河道水环境治理；巩固三亚河、临春河两河污染治理，加强大茅河、北坡河等重点河道的环境治理，防治洪涝对河道两岸的危害。</w:t>
      </w:r>
    </w:p>
    <w:p>
      <w:pPr>
        <w:spacing w:beforeLines="50" w:afterLines="50" w:line="360" w:lineRule="auto"/>
        <w:ind w:firstLine="643" w:firstLineChars="200"/>
        <w:rPr>
          <w:rFonts w:ascii="仿宋" w:hAnsi="仿宋" w:eastAsia="仿宋"/>
          <w:sz w:val="32"/>
          <w:szCs w:val="32"/>
        </w:rPr>
      </w:pPr>
      <w:r>
        <w:rPr>
          <w:rFonts w:hint="eastAsia" w:ascii="仿宋" w:hAnsi="仿宋" w:eastAsia="仿宋"/>
          <w:b/>
          <w:sz w:val="32"/>
          <w:szCs w:val="32"/>
        </w:rPr>
        <w:t>加强滩涂湿地的环境保护。</w:t>
      </w:r>
      <w:r>
        <w:rPr>
          <w:rFonts w:hint="eastAsia" w:ascii="仿宋" w:hAnsi="仿宋" w:eastAsia="仿宋" w:cs="宋体"/>
          <w:kern w:val="0"/>
          <w:sz w:val="32"/>
          <w:szCs w:val="32"/>
        </w:rPr>
        <w:t>加强对浅海滩涂、红树林、河口泻湖、珊瑚礁等滨海湿地保护，加强对青梅河口、大茅河口等泻湖海湾水质监测和治理，通过实施保护和恢复工程，使天然湿地减少的趋势得到遏制，湿地生物多样性得到保护，最大限度地发挥湿地生态系统的各种功能和效益，实现湿地资源的可持续利用。</w:t>
      </w:r>
    </w:p>
    <w:p>
      <w:pPr>
        <w:spacing w:beforeLines="50" w:afterLines="50" w:line="360" w:lineRule="auto"/>
        <w:ind w:firstLine="643" w:firstLineChars="200"/>
        <w:rPr>
          <w:rFonts w:ascii="仿宋" w:hAnsi="仿宋" w:eastAsia="仿宋"/>
          <w:sz w:val="32"/>
          <w:szCs w:val="32"/>
        </w:rPr>
      </w:pPr>
      <w:r>
        <w:rPr>
          <w:rFonts w:hint="eastAsia" w:ascii="仿宋" w:hAnsi="仿宋" w:eastAsia="仿宋"/>
          <w:b/>
          <w:sz w:val="32"/>
          <w:szCs w:val="32"/>
        </w:rPr>
        <w:t>加快推进“海绵城市”建设。</w:t>
      </w:r>
      <w:r>
        <w:rPr>
          <w:rFonts w:hint="eastAsia" w:ascii="仿宋" w:hAnsi="仿宋" w:eastAsia="仿宋" w:cs="宋体"/>
          <w:kern w:val="0"/>
          <w:sz w:val="32"/>
          <w:szCs w:val="32"/>
        </w:rPr>
        <w:t>遵循三亚市统一规划，充分发挥吉阳区绿地、道路、水系等对雨水吸纳、蓄水和缓释作用，改造清理村内现有废弃池塘、洼地等“海绵体”，利用三亚河、大茅河、临春河、半岭水等水系流域低洼地建设湿地、坑塘，利用天然排水系统，汛时吸收、存蓄雨水，补充地下水、调节水循环，旱时将蓄存的水释放出来，让水“自然”迁移，，有效缓解城市内涝和径流污染负荷，保护和改善生态环境。</w:t>
      </w:r>
    </w:p>
    <w:tbl>
      <w:tblPr>
        <w:tblStyle w:val="26"/>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522" w:type="dxa"/>
            <w:tcBorders>
              <w:top w:val="single" w:color="auto" w:sz="4" w:space="0"/>
              <w:bottom w:val="single" w:color="auto" w:sz="4" w:space="0"/>
            </w:tcBorders>
          </w:tcPr>
          <w:p>
            <w:pPr>
              <w:spacing w:line="360" w:lineRule="auto"/>
              <w:ind w:firstLine="482" w:firstLineChars="200"/>
              <w:jc w:val="center"/>
              <w:rPr>
                <w:rFonts w:ascii="仿宋" w:hAnsi="仿宋" w:eastAsia="仿宋" w:cs="仿宋"/>
                <w:b/>
                <w:bCs/>
                <w:sz w:val="24"/>
              </w:rPr>
            </w:pPr>
            <w:r>
              <w:rPr>
                <w:rFonts w:hint="eastAsia" w:ascii="仿宋" w:hAnsi="仿宋" w:eastAsia="仿宋" w:cs="仿宋"/>
                <w:b/>
                <w:bCs/>
                <w:sz w:val="24"/>
              </w:rPr>
              <w:t>专栏</w:t>
            </w:r>
            <w:r>
              <w:rPr>
                <w:rFonts w:ascii="仿宋" w:hAnsi="仿宋" w:eastAsia="仿宋" w:cs="仿宋"/>
                <w:b/>
                <w:bCs/>
                <w:sz w:val="24"/>
              </w:rPr>
              <w:t>4</w:t>
            </w:r>
            <w:r>
              <w:rPr>
                <w:rFonts w:hint="eastAsia" w:ascii="仿宋" w:hAnsi="仿宋" w:eastAsia="仿宋" w:cs="仿宋"/>
                <w:b/>
                <w:bCs/>
                <w:sz w:val="24"/>
              </w:rPr>
              <w:t>生态环境保护项目</w:t>
            </w:r>
          </w:p>
          <w:p>
            <w:pPr>
              <w:numPr>
                <w:ilvl w:val="1"/>
                <w:numId w:val="3"/>
              </w:numPr>
              <w:spacing w:line="360" w:lineRule="auto"/>
              <w:ind w:left="0" w:firstLine="425"/>
              <w:jc w:val="left"/>
              <w:rPr>
                <w:rFonts w:ascii="仿宋" w:hAnsi="仿宋" w:eastAsia="仿宋"/>
                <w:sz w:val="24"/>
                <w:szCs w:val="24"/>
              </w:rPr>
            </w:pPr>
            <w:r>
              <w:rPr>
                <w:rFonts w:hint="eastAsia" w:ascii="仿宋" w:hAnsi="仿宋" w:eastAsia="仿宋" w:cs="仿宋"/>
                <w:b/>
                <w:bCs/>
                <w:sz w:val="24"/>
              </w:rPr>
              <w:t>大东海珊瑚礁保护项目。</w:t>
            </w:r>
            <w:r>
              <w:rPr>
                <w:rFonts w:hint="eastAsia" w:ascii="仿宋" w:hAnsi="仿宋" w:eastAsia="仿宋"/>
                <w:sz w:val="24"/>
                <w:szCs w:val="24"/>
              </w:rPr>
              <w:t>加强对珊瑚礁自然保护区的管理，加大巡护力度，建立举报热线和奖惩机制。</w:t>
            </w:r>
          </w:p>
          <w:p>
            <w:pPr>
              <w:numPr>
                <w:ilvl w:val="1"/>
                <w:numId w:val="3"/>
              </w:numPr>
              <w:spacing w:line="360" w:lineRule="auto"/>
              <w:ind w:left="0" w:firstLine="425"/>
              <w:jc w:val="left"/>
              <w:rPr>
                <w:rFonts w:ascii="仿宋" w:hAnsi="仿宋" w:eastAsia="仿宋"/>
                <w:sz w:val="24"/>
                <w:szCs w:val="24"/>
              </w:rPr>
            </w:pPr>
            <w:r>
              <w:rPr>
                <w:rFonts w:hint="eastAsia" w:ascii="仿宋" w:hAnsi="仿宋" w:eastAsia="仿宋" w:cs="仿宋"/>
                <w:b/>
                <w:bCs/>
                <w:sz w:val="24"/>
              </w:rPr>
              <w:t>青梅港红树林自然保护区改造项目。</w:t>
            </w:r>
            <w:r>
              <w:rPr>
                <w:rFonts w:hint="eastAsia" w:ascii="仿宋" w:hAnsi="仿宋" w:eastAsia="仿宋"/>
                <w:sz w:val="24"/>
                <w:szCs w:val="24"/>
              </w:rPr>
              <w:t>着力恢复青梅港红树林自然保护区核心区和河口段的水位，保证青梅河河口段枯水期潮流不断流为治理目标，加大科研和管理力度，维护红树林等特色种群的健康发展。</w:t>
            </w:r>
          </w:p>
          <w:p>
            <w:pPr>
              <w:numPr>
                <w:ilvl w:val="1"/>
                <w:numId w:val="3"/>
              </w:numPr>
              <w:spacing w:line="360" w:lineRule="auto"/>
              <w:ind w:left="0" w:firstLine="425"/>
              <w:jc w:val="left"/>
              <w:rPr>
                <w:rFonts w:ascii="仿宋" w:hAnsi="仿宋" w:eastAsia="仿宋"/>
                <w:sz w:val="24"/>
                <w:szCs w:val="24"/>
              </w:rPr>
            </w:pPr>
            <w:r>
              <w:rPr>
                <w:rFonts w:hint="eastAsia" w:ascii="仿宋" w:hAnsi="仿宋" w:eastAsia="仿宋" w:cs="仿宋"/>
                <w:b/>
                <w:bCs/>
                <w:sz w:val="24"/>
              </w:rPr>
              <w:t>半岭水库及排洪道沿途生态修补。</w:t>
            </w:r>
            <w:r>
              <w:rPr>
                <w:rFonts w:hint="eastAsia" w:ascii="仿宋" w:hAnsi="仿宋" w:eastAsia="仿宋"/>
                <w:sz w:val="24"/>
                <w:szCs w:val="24"/>
              </w:rPr>
              <w:t>依照三亚市委市政府提出的“双修”理念，按照“大脚革命”和“海绵城市”理念对半岭水库以及排洪道沿途进行生态修复。将半岭水库的排洪体系建设作为吉阳区进行海绵城市建设的第一个试点，通过发掘半岭水库排洪道沿途可用于蓄水的水塘、湿地等构建雨水收集，植被、生态集雨盆地，将台风带来的雨水尽可能地留在地底，减少对下游村庄、学校及地产等项目的危害。</w:t>
            </w:r>
          </w:p>
        </w:tc>
      </w:tr>
    </w:tbl>
    <w:p>
      <w:pPr>
        <w:pStyle w:val="4"/>
        <w:shd w:val="clear" w:color="auto" w:fill="FFFFFF"/>
        <w:spacing w:before="240" w:after="120" w:line="360" w:lineRule="auto"/>
        <w:ind w:firstLine="453" w:firstLineChars="141"/>
        <w:rPr>
          <w:rStyle w:val="40"/>
          <w:rFonts w:ascii="仿宋" w:hAnsi="仿宋" w:eastAsia="仿宋"/>
        </w:rPr>
      </w:pPr>
      <w:bookmarkStart w:id="202" w:name="_Toc443338998"/>
      <w:bookmarkStart w:id="203" w:name="_Toc30200"/>
      <w:bookmarkStart w:id="204" w:name="_Toc438921000"/>
      <w:bookmarkStart w:id="205" w:name="_Toc11550"/>
      <w:r>
        <w:rPr>
          <w:rStyle w:val="40"/>
          <w:rFonts w:hint="eastAsia" w:ascii="仿宋" w:hAnsi="仿宋" w:eastAsia="仿宋"/>
        </w:rPr>
        <w:t>（三）继续推进城乡绿化建设</w:t>
      </w:r>
      <w:bookmarkEnd w:id="202"/>
      <w:bookmarkEnd w:id="203"/>
      <w:bookmarkEnd w:id="204"/>
      <w:bookmarkEnd w:id="205"/>
    </w:p>
    <w:p>
      <w:pPr>
        <w:spacing w:beforeLines="50" w:afterLines="50" w:line="276" w:lineRule="auto"/>
        <w:ind w:firstLine="420"/>
        <w:rPr>
          <w:rFonts w:ascii="仿宋" w:hAnsi="仿宋" w:eastAsia="仿宋"/>
          <w:sz w:val="32"/>
          <w:szCs w:val="32"/>
        </w:rPr>
      </w:pPr>
      <w:r>
        <w:rPr>
          <w:rFonts w:hint="eastAsia" w:ascii="仿宋" w:hAnsi="仿宋" w:eastAsia="仿宋"/>
          <w:b/>
          <w:sz w:val="32"/>
          <w:szCs w:val="32"/>
        </w:rPr>
        <w:t>加强城区绿化建设。</w:t>
      </w:r>
      <w:r>
        <w:rPr>
          <w:rFonts w:hint="eastAsia" w:ascii="仿宋" w:hAnsi="仿宋" w:eastAsia="仿宋" w:cs="宋体"/>
          <w:kern w:val="0"/>
          <w:sz w:val="32"/>
          <w:szCs w:val="32"/>
        </w:rPr>
        <w:t>按照城区园林化、郊区森林化、道路林荫化、农民庭院花果化的要求，以凤凰路、迎宾路、榆亚路和吉阳大道的整治为重点，以提升城市骨干道路整体景观效果为目标，进一步优化道路绿化设计方案，大力推进城市绿化和通道绿化。加快绕城高速、海榆东线、海榆中线、西线高速和东线高铁地段的森林和绿地改造项目，充分发挥森林生态景观作用。积极开展环城林、环村林、单位庭院绿地、居住区绿地建设，加快完成中心城区绿地公园改造工程，重点提升完善凤凰岭、临春岭山地森林公园和东岸湿地公园功能。充分利用滨海绿地、公共绿地、天然湿地等地块改造，建设服务开放性城市生态休闲文化公园。大力推行屋顶绿化和垂直绿色，增加城区绿量和碳汇，打造康居、安居、乐居的宜居城市。</w:t>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1" w:hRule="atLeast"/>
        </w:trPr>
        <w:tc>
          <w:tcPr>
            <w:tcW w:w="8522" w:type="dxa"/>
          </w:tcPr>
          <w:p>
            <w:pPr>
              <w:spacing w:line="360" w:lineRule="auto"/>
              <w:jc w:val="center"/>
              <w:rPr>
                <w:rFonts w:ascii="仿宋" w:hAnsi="仿宋" w:eastAsia="仿宋" w:cs="仿宋"/>
                <w:b/>
                <w:bCs/>
                <w:sz w:val="24"/>
              </w:rPr>
            </w:pPr>
            <w:r>
              <w:rPr>
                <w:rFonts w:hint="eastAsia" w:ascii="仿宋" w:hAnsi="仿宋" w:eastAsia="仿宋" w:cs="仿宋"/>
                <w:b/>
                <w:bCs/>
                <w:sz w:val="24"/>
              </w:rPr>
              <w:t>专栏</w:t>
            </w:r>
            <w:r>
              <w:rPr>
                <w:rFonts w:ascii="仿宋" w:hAnsi="仿宋" w:eastAsia="仿宋" w:cs="仿宋"/>
                <w:b/>
                <w:bCs/>
                <w:sz w:val="24"/>
              </w:rPr>
              <w:t xml:space="preserve">5 </w:t>
            </w:r>
            <w:r>
              <w:rPr>
                <w:rFonts w:hint="eastAsia" w:ascii="仿宋" w:hAnsi="仿宋" w:eastAsia="仿宋" w:cs="仿宋"/>
                <w:b/>
                <w:bCs/>
                <w:sz w:val="24"/>
              </w:rPr>
              <w:t>城市公园建设工程</w:t>
            </w:r>
          </w:p>
          <w:p>
            <w:pPr>
              <w:spacing w:line="360" w:lineRule="auto"/>
              <w:ind w:firstLine="470" w:firstLineChars="196"/>
              <w:rPr>
                <w:rFonts w:ascii="仿宋" w:hAnsi="仿宋" w:eastAsia="仿宋" w:cs="仿宋"/>
                <w:sz w:val="24"/>
                <w:szCs w:val="24"/>
              </w:rPr>
            </w:pPr>
            <w:r>
              <w:rPr>
                <w:rFonts w:hint="eastAsia" w:ascii="仿宋" w:hAnsi="仿宋" w:eastAsia="仿宋"/>
                <w:sz w:val="24"/>
                <w:szCs w:val="24"/>
              </w:rPr>
              <w:t>加强对</w:t>
            </w:r>
            <w:r>
              <w:rPr>
                <w:rFonts w:ascii="仿宋" w:hAnsi="仿宋" w:eastAsia="仿宋"/>
                <w:sz w:val="24"/>
                <w:szCs w:val="24"/>
              </w:rPr>
              <w:t>26</w:t>
            </w:r>
            <w:r>
              <w:rPr>
                <w:rFonts w:hint="eastAsia" w:ascii="仿宋" w:hAnsi="仿宋" w:eastAsia="仿宋"/>
                <w:sz w:val="24"/>
                <w:szCs w:val="24"/>
              </w:rPr>
              <w:t>处中心城区绿地公园改造，加快推进白鹭公园、鹿回头广场公园、东岸湿地公园、月川</w:t>
            </w:r>
            <w:r>
              <w:rPr>
                <w:rFonts w:hint="eastAsia" w:ascii="Damascus" w:hAnsi="Damascus" w:eastAsia="仿宋" w:cs="Damascus"/>
                <w:sz w:val="24"/>
                <w:szCs w:val="24"/>
              </w:rPr>
              <w:t>中轴带状公园、</w:t>
            </w:r>
            <w:r>
              <w:rPr>
                <w:rFonts w:hint="eastAsia" w:ascii="仿宋" w:hAnsi="仿宋" w:eastAsia="仿宋"/>
                <w:sz w:val="24"/>
                <w:szCs w:val="24"/>
              </w:rPr>
              <w:t>高园湿地公园、红树林湿地公园、金鸡岭公园、凤凰岭森林公园、临春岭森林公园、大茅河湿地、半岭温泉森林公园、甘什岭省级森林公园和青梅港湿地公园等城市森林、湿地公园建设，打造服务三亚市民的开放性城市生态休闲文化公园，将凤凰岭森林公园建成三亚版“中央公园”；沿三亚河、大茅河形成林水结合的自然景观带，有效发挥保护河流、连接城内外森林及湿地的生态廊道功能。</w:t>
            </w:r>
          </w:p>
        </w:tc>
      </w:tr>
    </w:tbl>
    <w:p>
      <w:pPr>
        <w:spacing w:beforeLines="50" w:afterLines="50" w:line="360" w:lineRule="auto"/>
        <w:ind w:firstLine="420"/>
        <w:rPr>
          <w:rFonts w:ascii="仿宋" w:hAnsi="仿宋" w:eastAsia="仿宋"/>
          <w:sz w:val="32"/>
          <w:szCs w:val="28"/>
        </w:rPr>
      </w:pPr>
      <w:r>
        <w:rPr>
          <w:rFonts w:hint="eastAsia" w:ascii="仿宋" w:hAnsi="仿宋" w:eastAsia="仿宋"/>
          <w:b/>
          <w:sz w:val="32"/>
          <w:szCs w:val="28"/>
        </w:rPr>
        <w:t>加快森林城市建设。</w:t>
      </w:r>
      <w:r>
        <w:rPr>
          <w:rFonts w:hint="eastAsia" w:ascii="仿宋" w:hAnsi="仿宋" w:eastAsia="仿宋" w:cs="宋体"/>
          <w:kern w:val="0"/>
          <w:sz w:val="32"/>
        </w:rPr>
        <w:t>大力推进森林城市建设，细化退果还林任务，按照分地块责任明确到具体护林员。继续做好绿化宝岛工作，全方位开展生态风景林、沿海防护林、水源涵养林等建设。结合美丽乡村建设，开展村屯道路、庭院、房前屋后绿化，广泛种植珍贵树种、经济林果，将农村居住环境改善与农民增收相结合，让城乡居民享受更美好的生态环境。</w:t>
      </w:r>
    </w:p>
    <w:p>
      <w:pPr>
        <w:pStyle w:val="4"/>
        <w:shd w:val="clear" w:color="auto" w:fill="FFFFFF"/>
        <w:spacing w:before="240" w:after="120" w:line="360" w:lineRule="auto"/>
        <w:ind w:firstLine="453" w:firstLineChars="141"/>
        <w:rPr>
          <w:rStyle w:val="40"/>
          <w:rFonts w:ascii="仿宋" w:hAnsi="仿宋" w:eastAsia="仿宋"/>
        </w:rPr>
      </w:pPr>
      <w:bookmarkStart w:id="206" w:name="_Toc298"/>
      <w:bookmarkStart w:id="207" w:name="_Toc438921001"/>
      <w:bookmarkStart w:id="208" w:name="_Toc2254"/>
      <w:bookmarkStart w:id="209" w:name="_Toc443338999"/>
      <w:r>
        <w:rPr>
          <w:rStyle w:val="40"/>
          <w:rFonts w:hint="eastAsia" w:ascii="仿宋" w:hAnsi="仿宋" w:eastAsia="仿宋"/>
        </w:rPr>
        <w:t>（四）着力提升城乡人居环境</w:t>
      </w:r>
      <w:bookmarkEnd w:id="206"/>
      <w:bookmarkEnd w:id="207"/>
      <w:bookmarkEnd w:id="208"/>
      <w:bookmarkEnd w:id="209"/>
    </w:p>
    <w:p>
      <w:pPr>
        <w:ind w:firstLine="649" w:firstLineChars="202"/>
        <w:rPr>
          <w:rFonts w:ascii="仿宋" w:hAnsi="仿宋" w:eastAsia="仿宋" w:cs="宋体"/>
          <w:kern w:val="0"/>
          <w:sz w:val="32"/>
        </w:rPr>
      </w:pPr>
      <w:r>
        <w:rPr>
          <w:rFonts w:hint="eastAsia" w:ascii="仿宋" w:hAnsi="仿宋" w:eastAsia="仿宋"/>
          <w:b/>
          <w:sz w:val="32"/>
          <w:szCs w:val="28"/>
        </w:rPr>
        <w:t>优化城区色彩和城市意象。</w:t>
      </w:r>
      <w:r>
        <w:rPr>
          <w:rFonts w:hint="eastAsia" w:ascii="仿宋" w:hAnsi="仿宋" w:eastAsia="仿宋" w:cs="宋体"/>
          <w:kern w:val="0"/>
          <w:sz w:val="32"/>
        </w:rPr>
        <w:t>做好对城区色彩的规划设计，加强城市天际线和街道立面改造，着力解决城区建筑色彩主基调、建筑秩序、街道立面和城市意象的整体协调问题。重点围绕亚龙湾、大东海、三亚河、迎宾路、凤凰路、榆亚路、吉阳大道、绕城高速和高铁沿线等主要海湾和交通沿线展开，对建筑风格、风貌特色、材质色彩和建筑秩序等进行科学的规划设计。</w:t>
      </w:r>
    </w:p>
    <w:p>
      <w:pPr>
        <w:ind w:firstLine="649" w:firstLineChars="202"/>
        <w:rPr>
          <w:rFonts w:ascii="仿宋" w:hAnsi="仿宋" w:eastAsia="仿宋" w:cs="宋体"/>
          <w:kern w:val="0"/>
          <w:sz w:val="32"/>
        </w:rPr>
      </w:pPr>
      <w:r>
        <w:rPr>
          <w:rFonts w:hint="eastAsia" w:ascii="仿宋" w:hAnsi="仿宋" w:eastAsia="仿宋"/>
          <w:b/>
          <w:sz w:val="32"/>
          <w:szCs w:val="28"/>
        </w:rPr>
        <w:t>做好城区亮化美化净化工程。</w:t>
      </w:r>
      <w:r>
        <w:rPr>
          <w:rFonts w:hint="eastAsia" w:ascii="仿宋" w:hAnsi="仿宋" w:eastAsia="仿宋" w:cs="宋体"/>
          <w:kern w:val="0"/>
          <w:sz w:val="32"/>
        </w:rPr>
        <w:t>加快推进亚龙湾景观带、大东海、三亚河、大茅河景观带、城区主干道等重要建筑的亮化工作。加强广告牌匾整治，坚决拆除违规设置和审批到期的广告牌，加快制定亚龙湾国家旅游度假区、鹿回头景区、大东海景区、半岭温泉旅游度假区、落笔洞旅游度假区等重要景区和设施的景区标示、企业</w:t>
      </w:r>
      <w:r>
        <w:rPr>
          <w:rFonts w:ascii="仿宋" w:hAnsi="仿宋" w:eastAsia="仿宋" w:cs="宋体"/>
          <w:kern w:val="0"/>
          <w:sz w:val="32"/>
        </w:rPr>
        <w:t>LOGO</w:t>
      </w:r>
      <w:r>
        <w:rPr>
          <w:rFonts w:hint="eastAsia" w:ascii="仿宋" w:hAnsi="仿宋" w:eastAsia="仿宋" w:cs="宋体"/>
          <w:kern w:val="0"/>
          <w:sz w:val="32"/>
        </w:rPr>
        <w:t>、道路指示牌等设置标准和方案，提升广告牌匾和道路标识的规范性和国际化程度。加强公共设施、交通秩序、园林绿化等管理，确保主干道洁净靓丽、背街小巷干净整洁，街景建设精致高雅。适度改造严重影响城市风貌的破旧建筑，重点实施城区市政路网和背街小巷改建扩建、美化亮化，对各路段、街道、小巷进行精品化设计，充分挖掘和体现吉阳的“美”。</w:t>
      </w:r>
    </w:p>
    <w:p>
      <w:pPr>
        <w:ind w:firstLine="643" w:firstLineChars="200"/>
        <w:rPr>
          <w:rFonts w:ascii="仿宋" w:hAnsi="仿宋" w:eastAsia="仿宋"/>
          <w:sz w:val="32"/>
          <w:szCs w:val="28"/>
        </w:rPr>
      </w:pPr>
      <w:r>
        <w:rPr>
          <w:rFonts w:hint="eastAsia" w:ascii="仿宋" w:hAnsi="仿宋" w:eastAsia="仿宋"/>
          <w:b/>
          <w:sz w:val="32"/>
          <w:szCs w:val="28"/>
        </w:rPr>
        <w:t>加快地下综合管廊试点建设。</w:t>
      </w:r>
      <w:r>
        <w:rPr>
          <w:rFonts w:hint="eastAsia" w:ascii="仿宋" w:hAnsi="仿宋" w:eastAsia="仿宋" w:cs="宋体"/>
          <w:kern w:val="0"/>
          <w:sz w:val="32"/>
        </w:rPr>
        <w:t>按照“条件成熟先行、连片形成网络、干线支线结合、高标准规划建设”的原则，在新建道路、旧城改造示范区和新兴产业园区等条件成熟地区启动试点建设，按照综合管廊模式进行地下管线开发建设，对供水、排水、燃气、电力、通信、广播电视等管线统一规划管理、统筹建设。</w:t>
      </w:r>
    </w:p>
    <w:p>
      <w:pPr>
        <w:spacing w:beforeLines="50" w:afterLines="50" w:line="360" w:lineRule="auto"/>
        <w:ind w:firstLine="643" w:firstLineChars="200"/>
        <w:rPr>
          <w:rFonts w:ascii="仿宋" w:hAnsi="仿宋" w:eastAsia="仿宋"/>
          <w:sz w:val="32"/>
          <w:szCs w:val="28"/>
        </w:rPr>
      </w:pPr>
      <w:r>
        <w:rPr>
          <w:rFonts w:hint="eastAsia" w:ascii="仿宋" w:hAnsi="仿宋" w:eastAsia="仿宋"/>
          <w:b/>
          <w:sz w:val="32"/>
          <w:szCs w:val="28"/>
        </w:rPr>
        <w:t>加强城区环境污染治理。</w:t>
      </w:r>
      <w:r>
        <w:rPr>
          <w:rFonts w:hint="eastAsia" w:ascii="仿宋" w:hAnsi="仿宋" w:eastAsia="仿宋" w:cs="宋体"/>
          <w:kern w:val="0"/>
          <w:sz w:val="32"/>
        </w:rPr>
        <w:t>加强对红沙、亚龙湾、荔枝沟、高新技术产业园等现有污水处理厂的运行管理，不断完善各污水处理厂配套管网设施建设，提高污水处理厂的处理能力和城区污水处理率。加强垃圾无害化收运，逐步构建垃圾分类收集和处理体系，加强危险废物的分类收集、集中处置和全程监管，促进生活垃圾、餐厨垃圾、建筑垃圾等分类收集和资源化利用。加强汽车尾气治理、建筑节能和绿色生产，减少大气污染物的排放，维护良好的空气质量。</w:t>
      </w:r>
    </w:p>
    <w:p>
      <w:pPr>
        <w:spacing w:beforeLines="50" w:afterLines="50" w:line="360" w:lineRule="auto"/>
        <w:ind w:firstLine="420"/>
        <w:rPr>
          <w:rFonts w:ascii="仿宋" w:hAnsi="仿宋" w:eastAsia="仿宋"/>
          <w:sz w:val="32"/>
          <w:szCs w:val="28"/>
        </w:rPr>
      </w:pPr>
      <w:r>
        <w:rPr>
          <w:rFonts w:hint="eastAsia" w:ascii="仿宋" w:hAnsi="仿宋" w:eastAsia="仿宋"/>
          <w:b/>
          <w:sz w:val="32"/>
          <w:szCs w:val="28"/>
        </w:rPr>
        <w:t>加强农村环境综合整治。</w:t>
      </w:r>
      <w:r>
        <w:rPr>
          <w:rFonts w:hint="eastAsia" w:ascii="仿宋" w:hAnsi="仿宋" w:eastAsia="仿宋" w:cs="宋体"/>
          <w:kern w:val="0"/>
          <w:sz w:val="32"/>
        </w:rPr>
        <w:t>以治理脏、乱、差、堵、黑为总体要求，全面落实责任制，采取集中整治和分片包干维护相结合的方法做好重点区域整治，实现农村环境综合整治的全覆盖。大力推广生态农业和现代农业，有效治理农业面源污染。开展农村沼气池建设工作，全面推进“一池三改”（建沼气池、改厕、改厨、改畜圈）工程，提高沼气等新型能源利用率和覆盖率。因地制宜妥善处理农村生活污水，加快推进农村污水净化池和移动式污水处理站建设，加强生活垃圾的定点收集、转运和集中处理。完善农村环境基础设施，着力解决农村的突出环境问题，改善农村人居环境质量，确保村容村貌整洁有序。</w:t>
      </w:r>
    </w:p>
    <w:tbl>
      <w:tblPr>
        <w:tblStyle w:val="26"/>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522" w:type="dxa"/>
            <w:tcBorders>
              <w:top w:val="single" w:color="auto" w:sz="4" w:space="0"/>
              <w:bottom w:val="single" w:color="auto" w:sz="4" w:space="0"/>
            </w:tcBorders>
          </w:tcPr>
          <w:p>
            <w:pPr>
              <w:spacing w:line="360" w:lineRule="auto"/>
              <w:jc w:val="center"/>
              <w:rPr>
                <w:rFonts w:ascii="仿宋" w:hAnsi="仿宋" w:eastAsia="仿宋" w:cs="仿宋"/>
                <w:b/>
                <w:bCs/>
                <w:sz w:val="24"/>
              </w:rPr>
            </w:pPr>
            <w:r>
              <w:rPr>
                <w:rFonts w:hint="eastAsia" w:ascii="仿宋" w:hAnsi="仿宋" w:eastAsia="仿宋" w:cs="仿宋"/>
                <w:b/>
                <w:bCs/>
                <w:sz w:val="24"/>
              </w:rPr>
              <w:t>专栏</w:t>
            </w:r>
            <w:r>
              <w:rPr>
                <w:rFonts w:ascii="仿宋" w:hAnsi="仿宋" w:eastAsia="仿宋" w:cs="仿宋"/>
                <w:b/>
                <w:bCs/>
                <w:sz w:val="24"/>
              </w:rPr>
              <w:t xml:space="preserve">6 </w:t>
            </w:r>
            <w:r>
              <w:rPr>
                <w:rFonts w:hint="eastAsia" w:ascii="仿宋" w:hAnsi="仿宋" w:eastAsia="仿宋" w:cs="仿宋"/>
                <w:b/>
                <w:bCs/>
                <w:sz w:val="24"/>
              </w:rPr>
              <w:t>污水处理厂及配套管网建设项目</w:t>
            </w:r>
          </w:p>
          <w:p>
            <w:pPr>
              <w:spacing w:line="360" w:lineRule="auto"/>
              <w:ind w:firstLine="480" w:firstLineChars="200"/>
              <w:rPr>
                <w:rFonts w:eastAsia="仿宋"/>
                <w:sz w:val="24"/>
                <w:szCs w:val="24"/>
              </w:rPr>
            </w:pPr>
            <w:r>
              <w:rPr>
                <w:rFonts w:hint="eastAsia" w:ascii="仿宋" w:hAnsi="仿宋" w:eastAsia="仿宋"/>
                <w:sz w:val="24"/>
                <w:szCs w:val="24"/>
              </w:rPr>
              <w:t>扩建荔枝沟水质净化厂，原荔枝沟</w:t>
            </w:r>
            <w:r>
              <w:rPr>
                <w:rFonts w:hint="eastAsia" w:ascii="Damascus" w:hAnsi="Damascus" w:eastAsia="仿宋" w:cs="Damascus"/>
                <w:sz w:val="24"/>
                <w:szCs w:val="24"/>
              </w:rPr>
              <w:t>水质净化厂扩至</w:t>
            </w:r>
            <w:r>
              <w:rPr>
                <w:rFonts w:eastAsia="仿宋"/>
                <w:sz w:val="24"/>
                <w:szCs w:val="24"/>
              </w:rPr>
              <w:t>1.5</w:t>
            </w:r>
            <w:r>
              <w:rPr>
                <w:rFonts w:hint="eastAsia" w:eastAsia="仿宋"/>
                <w:sz w:val="24"/>
                <w:szCs w:val="24"/>
              </w:rPr>
              <w:t>万</w:t>
            </w:r>
            <w:r>
              <w:rPr>
                <w:rFonts w:eastAsia="仿宋"/>
                <w:sz w:val="24"/>
                <w:szCs w:val="24"/>
              </w:rPr>
              <w:t>m</w:t>
            </w:r>
            <w:r>
              <w:rPr>
                <w:rFonts w:eastAsia="仿宋"/>
                <w:sz w:val="24"/>
                <w:szCs w:val="24"/>
                <w:vertAlign w:val="superscript"/>
              </w:rPr>
              <w:t>3</w:t>
            </w:r>
            <w:r>
              <w:rPr>
                <w:rFonts w:eastAsia="仿宋"/>
                <w:sz w:val="24"/>
                <w:szCs w:val="24"/>
              </w:rPr>
              <w:t>/d</w:t>
            </w:r>
            <w:r>
              <w:rPr>
                <w:rFonts w:hint="eastAsia" w:eastAsia="仿宋"/>
                <w:sz w:val="24"/>
                <w:szCs w:val="24"/>
              </w:rPr>
              <w:t>，新建</w:t>
            </w:r>
            <w:r>
              <w:rPr>
                <w:rFonts w:hint="eastAsia" w:ascii="Damascus" w:hAnsi="Damascus" w:eastAsia="仿宋" w:cs="Damascus"/>
                <w:sz w:val="24"/>
                <w:szCs w:val="24"/>
              </w:rPr>
              <w:t>二厂</w:t>
            </w:r>
            <w:r>
              <w:rPr>
                <w:rFonts w:eastAsia="仿宋"/>
                <w:sz w:val="24"/>
                <w:szCs w:val="24"/>
              </w:rPr>
              <w:t>4</w:t>
            </w:r>
            <w:r>
              <w:rPr>
                <w:rFonts w:hint="eastAsia" w:eastAsia="仿宋"/>
                <w:sz w:val="24"/>
                <w:szCs w:val="24"/>
              </w:rPr>
              <w:t>万</w:t>
            </w:r>
            <w:r>
              <w:rPr>
                <w:rFonts w:eastAsia="仿宋"/>
                <w:sz w:val="24"/>
                <w:szCs w:val="24"/>
              </w:rPr>
              <w:t>m</w:t>
            </w:r>
            <w:r>
              <w:rPr>
                <w:rFonts w:eastAsia="仿宋"/>
                <w:sz w:val="24"/>
                <w:szCs w:val="24"/>
                <w:vertAlign w:val="superscript"/>
              </w:rPr>
              <w:t>3</w:t>
            </w:r>
            <w:r>
              <w:rPr>
                <w:rFonts w:eastAsia="仿宋"/>
                <w:sz w:val="24"/>
                <w:szCs w:val="24"/>
              </w:rPr>
              <w:t>/d</w:t>
            </w:r>
            <w:r>
              <w:rPr>
                <w:rFonts w:hint="eastAsia" w:eastAsia="仿宋"/>
                <w:sz w:val="24"/>
                <w:szCs w:val="24"/>
              </w:rPr>
              <w:t>；加快</w:t>
            </w:r>
            <w:r>
              <w:rPr>
                <w:rFonts w:hint="eastAsia" w:ascii="Damascus" w:hAnsi="Damascus" w:eastAsia="仿宋" w:cs="Damascus"/>
                <w:sz w:val="24"/>
                <w:szCs w:val="24"/>
              </w:rPr>
              <w:t>推进红沙污水处理</w:t>
            </w:r>
            <w:r>
              <w:rPr>
                <w:rFonts w:hint="eastAsia" w:eastAsia="仿宋"/>
                <w:sz w:val="24"/>
                <w:szCs w:val="24"/>
              </w:rPr>
              <w:t>二厂</w:t>
            </w:r>
            <w:r>
              <w:rPr>
                <w:rFonts w:hint="eastAsia" w:ascii="Damascus" w:hAnsi="Damascus" w:eastAsia="仿宋" w:cs="Damascus"/>
                <w:sz w:val="24"/>
                <w:szCs w:val="24"/>
              </w:rPr>
              <w:t>工程，污水处理规模达到</w:t>
            </w:r>
            <w:r>
              <w:rPr>
                <w:rFonts w:eastAsia="仿宋"/>
                <w:sz w:val="24"/>
                <w:szCs w:val="24"/>
              </w:rPr>
              <w:t>10</w:t>
            </w:r>
            <w:r>
              <w:rPr>
                <w:rFonts w:hint="eastAsia" w:eastAsia="仿宋"/>
                <w:sz w:val="24"/>
                <w:szCs w:val="24"/>
              </w:rPr>
              <w:t>万吨</w:t>
            </w:r>
            <w:r>
              <w:rPr>
                <w:rFonts w:eastAsia="仿宋"/>
                <w:sz w:val="24"/>
                <w:szCs w:val="24"/>
              </w:rPr>
              <w:t>/</w:t>
            </w:r>
            <w:r>
              <w:rPr>
                <w:rFonts w:hint="eastAsia" w:eastAsia="仿宋"/>
                <w:sz w:val="24"/>
                <w:szCs w:val="24"/>
              </w:rPr>
              <w:t>日</w:t>
            </w:r>
            <w:r>
              <w:rPr>
                <w:rFonts w:hint="eastAsia" w:ascii="仿宋" w:hAnsi="仿宋" w:eastAsia="仿宋"/>
                <w:sz w:val="24"/>
                <w:szCs w:val="24"/>
              </w:rPr>
              <w:t>。加强对红沙、鹿回头、荔枝沟、高新技术产业园、亚龙湾、福海苑安置区等污水处理（水质净化）厂及其他自建小型污水处理设施的配套管网建设。</w:t>
            </w:r>
          </w:p>
        </w:tc>
      </w:tr>
    </w:tbl>
    <w:p>
      <w:pPr>
        <w:ind w:firstLine="643" w:firstLineChars="200"/>
        <w:rPr>
          <w:rFonts w:ascii="仿宋" w:hAnsi="仿宋" w:eastAsia="仿宋"/>
          <w:b/>
          <w:sz w:val="32"/>
          <w:szCs w:val="32"/>
        </w:rPr>
      </w:pPr>
    </w:p>
    <w:p>
      <w:pPr>
        <w:pStyle w:val="4"/>
        <w:shd w:val="clear" w:color="auto" w:fill="FFFFFF"/>
        <w:spacing w:before="240" w:after="120" w:line="360" w:lineRule="auto"/>
        <w:ind w:firstLine="453" w:firstLineChars="141"/>
        <w:rPr>
          <w:rStyle w:val="40"/>
          <w:rFonts w:ascii="仿宋" w:hAnsi="仿宋" w:eastAsia="仿宋"/>
        </w:rPr>
      </w:pPr>
      <w:bookmarkStart w:id="210" w:name="_Toc443339000"/>
      <w:bookmarkStart w:id="211" w:name="_Toc20544"/>
      <w:bookmarkStart w:id="212" w:name="_Toc20530"/>
      <w:bookmarkStart w:id="213" w:name="_Toc438921002"/>
      <w:r>
        <w:rPr>
          <w:rStyle w:val="40"/>
          <w:rFonts w:hint="eastAsia" w:ascii="仿宋" w:hAnsi="仿宋" w:eastAsia="仿宋"/>
        </w:rPr>
        <w:t>（五）全面推进文明城区建设</w:t>
      </w:r>
      <w:bookmarkEnd w:id="210"/>
      <w:bookmarkEnd w:id="211"/>
      <w:bookmarkEnd w:id="212"/>
      <w:bookmarkEnd w:id="213"/>
    </w:p>
    <w:p>
      <w:pPr>
        <w:spacing w:beforeLines="50" w:afterLines="50" w:line="360" w:lineRule="auto"/>
        <w:ind w:firstLine="420"/>
        <w:rPr>
          <w:rFonts w:ascii="仿宋" w:hAnsi="仿宋" w:eastAsia="仿宋" w:cs="宋体"/>
          <w:kern w:val="0"/>
          <w:sz w:val="32"/>
          <w:szCs w:val="32"/>
        </w:rPr>
      </w:pPr>
      <w:r>
        <w:rPr>
          <w:rFonts w:hint="eastAsia" w:ascii="仿宋" w:hAnsi="仿宋" w:eastAsia="仿宋" w:cs="宋体"/>
          <w:kern w:val="0"/>
          <w:sz w:val="32"/>
          <w:szCs w:val="32"/>
        </w:rPr>
        <w:t>以三亚市创建全国文明城市为契机，积极支持、配合三亚开展相关行动计划。按照全国文明城市建设和管理标准为标杆，全面提升城乡建设、管理和服务水平。加强公务员队伍建设，提高政务服务能力，塑造廉洁高效的政务环境；坚持依法办事、依法执政，促进社会公平正义，塑造民主公正的法治环境；加强社会治安防控，严厉打击“两抢一盗”和“黄赌毒”以及商业贿赂、商业欺诈等违法犯罪活动，强化平安吉阳建设，维护社会和谐，营造公平诚信的市场环境和安全稳定的社会环境；加大违章建筑管控和拆除力度，加强区域环境卫生整治，加快推进各类便民工程，营造舒适便利的生活环境；坚决打击各种邪教势力的渗透，鼓励开展丰富多彩的群众性文体活动，以学前教育、基础教育、职业教育为重点全面提升强化教育水平，营造健康向上的人文环境；全面开展精神文明教育，大力宣传社会主义核心价值观，着力提高城乡居民的精神文明素养。以生态文明理念推动经济社会发展，持续增强可持续发展能力。</w:t>
      </w:r>
    </w:p>
    <w:p>
      <w:pPr>
        <w:spacing w:beforeLines="50" w:afterLines="50" w:line="360" w:lineRule="auto"/>
        <w:ind w:firstLine="420"/>
        <w:rPr>
          <w:rFonts w:ascii="仿宋" w:hAnsi="仿宋" w:eastAsia="仿宋" w:cs="宋体"/>
          <w:kern w:val="0"/>
          <w:sz w:val="32"/>
          <w:szCs w:val="32"/>
        </w:rPr>
      </w:pPr>
    </w:p>
    <w:p>
      <w:pPr>
        <w:pStyle w:val="2"/>
        <w:spacing w:before="480" w:after="240" w:line="360" w:lineRule="auto"/>
        <w:jc w:val="center"/>
        <w:rPr>
          <w:rFonts w:ascii="仿宋" w:hAnsi="仿宋" w:eastAsia="仿宋"/>
          <w:sz w:val="40"/>
          <w:szCs w:val="32"/>
        </w:rPr>
      </w:pPr>
      <w:bookmarkStart w:id="214" w:name="_Toc443339001"/>
      <w:bookmarkStart w:id="215" w:name="_Toc13628"/>
      <w:bookmarkStart w:id="216" w:name="_Toc29440"/>
      <w:r>
        <w:rPr>
          <w:rFonts w:hint="eastAsia" w:ascii="仿宋" w:hAnsi="仿宋" w:eastAsia="仿宋"/>
          <w:sz w:val="40"/>
          <w:szCs w:val="32"/>
        </w:rPr>
        <w:t>第六部分</w:t>
      </w:r>
      <w:r>
        <w:rPr>
          <w:rFonts w:ascii="仿宋" w:hAnsi="仿宋" w:eastAsia="仿宋"/>
          <w:sz w:val="40"/>
          <w:szCs w:val="32"/>
        </w:rPr>
        <w:t xml:space="preserve">  </w:t>
      </w:r>
      <w:r>
        <w:rPr>
          <w:rFonts w:hint="eastAsia" w:ascii="仿宋" w:hAnsi="仿宋" w:eastAsia="仿宋"/>
          <w:sz w:val="40"/>
          <w:szCs w:val="32"/>
        </w:rPr>
        <w:t>统筹推进城乡发展，建设“幸福吉阳”</w:t>
      </w:r>
      <w:bookmarkEnd w:id="214"/>
      <w:bookmarkEnd w:id="215"/>
      <w:bookmarkEnd w:id="216"/>
    </w:p>
    <w:p>
      <w:pPr>
        <w:spacing w:beforeLines="50" w:afterLines="50" w:line="360" w:lineRule="auto"/>
        <w:ind w:firstLine="420"/>
        <w:rPr>
          <w:rFonts w:ascii="仿宋" w:hAnsi="仿宋" w:eastAsia="仿宋" w:cs="宋体"/>
          <w:kern w:val="0"/>
          <w:sz w:val="32"/>
          <w:szCs w:val="32"/>
        </w:rPr>
      </w:pPr>
      <w:bookmarkStart w:id="217" w:name="_Toc430344850"/>
      <w:r>
        <w:rPr>
          <w:rFonts w:hint="eastAsia" w:ascii="仿宋" w:hAnsi="仿宋" w:eastAsia="仿宋" w:cs="宋体"/>
          <w:kern w:val="0"/>
          <w:sz w:val="32"/>
          <w:szCs w:val="32"/>
        </w:rPr>
        <w:t>坚持城乡统筹、共建共享的原则，以“五网”建设为重点，着力强化城区功能；以美丽乡村和特色风情小镇建设为抓手，加快农村地区发展；以基本公共服务均等化为核心，全面促进共建共享；不断提高人民生活水平和质量，努力建设城乡一体、全民共享的“幸福吉阳”。</w:t>
      </w:r>
    </w:p>
    <w:p>
      <w:pPr>
        <w:pStyle w:val="3"/>
        <w:spacing w:before="480" w:after="240" w:line="360" w:lineRule="auto"/>
        <w:rPr>
          <w:rFonts w:ascii="仿宋" w:hAnsi="仿宋" w:eastAsia="仿宋" w:cs="宋体"/>
          <w:kern w:val="0"/>
          <w:sz w:val="36"/>
        </w:rPr>
      </w:pPr>
      <w:bookmarkStart w:id="218" w:name="_Toc443339002"/>
      <w:bookmarkStart w:id="219" w:name="_Toc18066"/>
      <w:bookmarkStart w:id="220" w:name="_Toc25284"/>
      <w:r>
        <w:rPr>
          <w:rFonts w:hint="eastAsia" w:ascii="仿宋" w:hAnsi="仿宋" w:eastAsia="仿宋" w:cs="宋体"/>
          <w:kern w:val="0"/>
          <w:sz w:val="36"/>
        </w:rPr>
        <w:t>一、着力强化城区功能</w:t>
      </w:r>
      <w:bookmarkEnd w:id="217"/>
      <w:bookmarkEnd w:id="218"/>
      <w:bookmarkEnd w:id="219"/>
      <w:bookmarkEnd w:id="220"/>
    </w:p>
    <w:p>
      <w:pPr>
        <w:spacing w:beforeLines="50" w:afterLines="50" w:line="360" w:lineRule="auto"/>
        <w:ind w:firstLine="420"/>
        <w:rPr>
          <w:rFonts w:ascii="仿宋" w:hAnsi="仿宋" w:eastAsia="仿宋" w:cs="宋体"/>
          <w:kern w:val="0"/>
          <w:sz w:val="32"/>
          <w:szCs w:val="32"/>
        </w:rPr>
      </w:pPr>
      <w:bookmarkStart w:id="221" w:name="_Toc430344851"/>
      <w:r>
        <w:rPr>
          <w:rFonts w:hint="eastAsia" w:ascii="仿宋" w:hAnsi="仿宋" w:eastAsia="仿宋" w:cs="宋体"/>
          <w:kern w:val="0"/>
          <w:sz w:val="32"/>
          <w:szCs w:val="32"/>
        </w:rPr>
        <w:t>树立精品理念，按照国际标准、适度超前、精致高雅的原则，精心规划、精致建设、精细管理，着力加强路网、水网、电网、气网、光网等基础设施建设，不断优化提升城区功能，把吉阳区建设成为通畅、安全、高效的国际化、现代化精品城区。</w:t>
      </w:r>
    </w:p>
    <w:p>
      <w:pPr>
        <w:pStyle w:val="4"/>
        <w:shd w:val="clear" w:color="auto" w:fill="FFFFFF"/>
        <w:spacing w:before="240" w:after="120" w:line="360" w:lineRule="auto"/>
        <w:ind w:firstLine="453" w:firstLineChars="141"/>
        <w:rPr>
          <w:rStyle w:val="40"/>
          <w:rFonts w:ascii="仿宋" w:hAnsi="仿宋" w:eastAsia="仿宋"/>
        </w:rPr>
      </w:pPr>
      <w:bookmarkStart w:id="222" w:name="_Toc438920982"/>
      <w:bookmarkStart w:id="223" w:name="_Toc443339003"/>
      <w:bookmarkStart w:id="224" w:name="_Toc5340"/>
      <w:bookmarkStart w:id="225" w:name="_Toc22882"/>
      <w:r>
        <w:rPr>
          <w:rStyle w:val="40"/>
          <w:rFonts w:hint="eastAsia" w:ascii="仿宋" w:hAnsi="仿宋" w:eastAsia="仿宋"/>
        </w:rPr>
        <w:t>（一）建设现代综合交通运输网络</w:t>
      </w:r>
      <w:bookmarkEnd w:id="222"/>
      <w:bookmarkEnd w:id="223"/>
      <w:bookmarkEnd w:id="224"/>
      <w:bookmarkEnd w:id="225"/>
    </w:p>
    <w:p>
      <w:pPr>
        <w:spacing w:line="360" w:lineRule="auto"/>
        <w:ind w:firstLine="643" w:firstLineChars="200"/>
        <w:rPr>
          <w:rFonts w:ascii="仿宋" w:hAnsi="仿宋" w:eastAsia="仿宋" w:cs="宋体"/>
          <w:kern w:val="0"/>
          <w:sz w:val="32"/>
          <w:szCs w:val="32"/>
        </w:rPr>
      </w:pPr>
      <w:r>
        <w:rPr>
          <w:rFonts w:hint="eastAsia" w:ascii="仿宋" w:hAnsi="仿宋" w:eastAsia="仿宋" w:cs="仿宋"/>
          <w:b/>
          <w:bCs/>
          <w:kern w:val="0"/>
          <w:sz w:val="32"/>
          <w:szCs w:val="32"/>
        </w:rPr>
        <w:t>深入推进对外交通体系建设。</w:t>
      </w:r>
      <w:r>
        <w:rPr>
          <w:rFonts w:hint="eastAsia" w:ascii="仿宋" w:hAnsi="仿宋" w:eastAsia="仿宋" w:cs="宋体"/>
          <w:kern w:val="0"/>
          <w:sz w:val="32"/>
          <w:szCs w:val="32"/>
        </w:rPr>
        <w:t>加快推进三亚现代有轨电车示范线工程，启动建设海榆东线亚龙湾段至海棠湾段公路改建工程、绕城高速亚龙湾互通改造、亚龙湾第二通道建设工程，以及三亚至乐东旅游观光铁路项目；加快完成三亚综合客运枢纽、东线高铁亚龙湾站、吉阳货运中心和中心城区货运中心建设；加快完成区域内国省干线公路提档升级和城镇路段改扩建，二级及以下公路比例达到</w:t>
      </w:r>
      <w:r>
        <w:rPr>
          <w:rFonts w:ascii="仿宋" w:hAnsi="仿宋" w:eastAsia="仿宋" w:cs="宋体"/>
          <w:kern w:val="0"/>
          <w:sz w:val="32"/>
          <w:szCs w:val="32"/>
        </w:rPr>
        <w:t>100%</w:t>
      </w:r>
      <w:r>
        <w:rPr>
          <w:rFonts w:hint="eastAsia" w:ascii="仿宋" w:hAnsi="仿宋" w:eastAsia="仿宋" w:cs="宋体"/>
          <w:kern w:val="0"/>
          <w:sz w:val="32"/>
          <w:szCs w:val="32"/>
        </w:rPr>
        <w:t>，全面提升对外交通能力。</w:t>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widowControl/>
              <w:spacing w:line="360" w:lineRule="auto"/>
              <w:jc w:val="center"/>
              <w:rPr>
                <w:rFonts w:ascii="仿宋" w:hAnsi="仿宋" w:eastAsia="仿宋" w:cs="仿宋"/>
                <w:b/>
                <w:bCs/>
                <w:sz w:val="24"/>
              </w:rPr>
            </w:pPr>
            <w:r>
              <w:rPr>
                <w:rFonts w:hint="eastAsia" w:ascii="仿宋" w:hAnsi="仿宋" w:eastAsia="仿宋" w:cs="仿宋"/>
                <w:b/>
                <w:bCs/>
                <w:sz w:val="24"/>
              </w:rPr>
              <w:t>专栏</w:t>
            </w:r>
            <w:r>
              <w:rPr>
                <w:rFonts w:ascii="仿宋" w:hAnsi="仿宋" w:eastAsia="仿宋" w:cs="仿宋"/>
                <w:b/>
                <w:bCs/>
                <w:sz w:val="24"/>
              </w:rPr>
              <w:t xml:space="preserve">7 </w:t>
            </w:r>
            <w:r>
              <w:rPr>
                <w:rFonts w:hint="eastAsia" w:ascii="仿宋" w:hAnsi="仿宋" w:eastAsia="仿宋" w:cs="仿宋"/>
                <w:b/>
                <w:bCs/>
                <w:sz w:val="24"/>
              </w:rPr>
              <w:t>市政道路改造工程</w:t>
            </w:r>
          </w:p>
          <w:p>
            <w:pPr>
              <w:spacing w:line="300" w:lineRule="auto"/>
              <w:jc w:val="left"/>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）绕城高速亚龙湾互通改造工程</w:t>
            </w:r>
          </w:p>
          <w:p>
            <w:pPr>
              <w:spacing w:line="300" w:lineRule="auto"/>
              <w:jc w:val="left"/>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w:t>
            </w:r>
            <w:r>
              <w:rPr>
                <w:rFonts w:hint="eastAsia" w:ascii="Damascus" w:hAnsi="Damascus" w:eastAsia="仿宋"/>
                <w:sz w:val="24"/>
                <w:szCs w:val="24"/>
              </w:rPr>
              <w:t>海榆东线亚龙湾路口至吉阳转盘段改造工程</w:t>
            </w:r>
          </w:p>
          <w:p>
            <w:pPr>
              <w:spacing w:line="300" w:lineRule="auto"/>
              <w:jc w:val="left"/>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）龙岭路至红沙隧道入口至春光路连接线（含立交）</w:t>
            </w:r>
          </w:p>
          <w:p>
            <w:pPr>
              <w:spacing w:line="300" w:lineRule="auto"/>
              <w:jc w:val="left"/>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）三亚学院路延伸段（海螺方向）</w:t>
            </w:r>
          </w:p>
          <w:p>
            <w:pPr>
              <w:spacing w:line="300" w:lineRule="auto"/>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）三亚市红沙海滨大道（污水厂至棕榈滩段）</w:t>
            </w:r>
          </w:p>
          <w:p>
            <w:pPr>
              <w:spacing w:line="300" w:lineRule="auto"/>
              <w:jc w:val="left"/>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6</w:t>
            </w:r>
            <w:r>
              <w:rPr>
                <w:rFonts w:hint="eastAsia" w:ascii="仿宋" w:hAnsi="仿宋" w:eastAsia="仿宋"/>
                <w:sz w:val="24"/>
                <w:szCs w:val="24"/>
              </w:rPr>
              <w:t>）半岭温泉规划路工程</w:t>
            </w:r>
          </w:p>
          <w:p>
            <w:pPr>
              <w:pStyle w:val="45"/>
              <w:widowControl/>
              <w:spacing w:line="300" w:lineRule="auto"/>
              <w:ind w:firstLine="0" w:firstLineChars="0"/>
              <w:rPr>
                <w:rFonts w:ascii="Damascus" w:hAnsi="Damascus" w:eastAsia="仿宋"/>
                <w:sz w:val="24"/>
                <w:szCs w:val="24"/>
              </w:rPr>
            </w:pPr>
            <w:r>
              <w:rPr>
                <w:rFonts w:hint="eastAsia" w:ascii="仿宋" w:hAnsi="仿宋" w:eastAsia="仿宋"/>
                <w:sz w:val="24"/>
                <w:szCs w:val="24"/>
              </w:rPr>
              <w:t>（</w:t>
            </w:r>
            <w:r>
              <w:rPr>
                <w:rFonts w:ascii="仿宋" w:hAnsi="仿宋" w:eastAsia="仿宋"/>
                <w:sz w:val="24"/>
                <w:szCs w:val="24"/>
              </w:rPr>
              <w:t>7</w:t>
            </w:r>
            <w:r>
              <w:rPr>
                <w:rFonts w:hint="eastAsia" w:ascii="仿宋" w:hAnsi="仿宋" w:eastAsia="仿宋"/>
                <w:sz w:val="24"/>
                <w:szCs w:val="24"/>
              </w:rPr>
              <w:t>）海</w:t>
            </w:r>
            <w:r>
              <w:rPr>
                <w:rFonts w:hint="eastAsia" w:ascii="Damascus" w:hAnsi="Damascus" w:eastAsia="仿宋"/>
                <w:sz w:val="24"/>
                <w:szCs w:val="24"/>
              </w:rPr>
              <w:t>罗片区、临春片区、月川村片区市政基础设施改造工程</w:t>
            </w:r>
          </w:p>
          <w:p>
            <w:pPr>
              <w:pStyle w:val="45"/>
              <w:widowControl/>
              <w:spacing w:line="300" w:lineRule="auto"/>
              <w:ind w:firstLine="0" w:firstLineChars="0"/>
              <w:rPr>
                <w:rFonts w:ascii="Damascus" w:hAnsi="Damascus" w:eastAsia="仿宋"/>
                <w:sz w:val="24"/>
                <w:szCs w:val="24"/>
              </w:rPr>
            </w:pPr>
            <w:r>
              <w:rPr>
                <w:rFonts w:hint="eastAsia" w:ascii="Damascus" w:hAnsi="Damascus" w:eastAsia="仿宋"/>
                <w:sz w:val="24"/>
                <w:szCs w:val="24"/>
              </w:rPr>
              <w:t>（</w:t>
            </w:r>
            <w:r>
              <w:rPr>
                <w:rFonts w:ascii="Times New Roman" w:hAnsi="Times New Roman" w:eastAsia="仿宋" w:cs="Times New Roman"/>
                <w:sz w:val="24"/>
                <w:szCs w:val="24"/>
              </w:rPr>
              <w:t>8</w:t>
            </w:r>
            <w:r>
              <w:rPr>
                <w:rFonts w:hint="eastAsia" w:ascii="Damascus" w:hAnsi="Damascus" w:eastAsia="仿宋"/>
                <w:sz w:val="24"/>
                <w:szCs w:val="24"/>
              </w:rPr>
              <w:t>）海榆东线亚龙湾路口至吉阳转盘段改造工程</w:t>
            </w:r>
          </w:p>
          <w:p>
            <w:pPr>
              <w:pStyle w:val="45"/>
              <w:widowControl/>
              <w:spacing w:line="300" w:lineRule="auto"/>
              <w:ind w:firstLine="0" w:firstLineChars="0"/>
              <w:rPr>
                <w:rFonts w:ascii="Damascus" w:hAnsi="Damascus" w:eastAsia="仿宋" w:cs="Damascus"/>
                <w:sz w:val="24"/>
                <w:szCs w:val="24"/>
              </w:rPr>
            </w:pPr>
            <w:r>
              <w:rPr>
                <w:rFonts w:hint="eastAsia" w:ascii="仿宋" w:hAnsi="仿宋" w:eastAsia="仿宋" w:cs="仿宋"/>
                <w:sz w:val="24"/>
                <w:szCs w:val="24"/>
              </w:rPr>
              <w:t>（</w:t>
            </w:r>
            <w:r>
              <w:rPr>
                <w:rFonts w:ascii="仿宋" w:hAnsi="仿宋" w:eastAsia="仿宋" w:cs="仿宋"/>
                <w:sz w:val="24"/>
                <w:szCs w:val="24"/>
              </w:rPr>
              <w:t>9</w:t>
            </w:r>
            <w:r>
              <w:rPr>
                <w:rFonts w:hint="eastAsia" w:ascii="仿宋" w:hAnsi="仿宋" w:eastAsia="仿宋" w:cs="仿宋"/>
                <w:sz w:val="24"/>
                <w:szCs w:val="24"/>
              </w:rPr>
              <w:t>）迎宾路</w:t>
            </w:r>
            <w:r>
              <w:rPr>
                <w:rFonts w:hint="eastAsia" w:ascii="Damascus" w:hAnsi="Damascus" w:eastAsia="仿宋" w:cs="Damascus"/>
                <w:sz w:val="24"/>
                <w:szCs w:val="24"/>
              </w:rPr>
              <w:t>与凤凰路交汇区路网</w:t>
            </w:r>
          </w:p>
          <w:p>
            <w:pPr>
              <w:pStyle w:val="45"/>
              <w:widowControl/>
              <w:spacing w:line="300" w:lineRule="auto"/>
              <w:ind w:firstLine="0" w:firstLineChars="0"/>
              <w:rPr>
                <w:rFonts w:ascii="Damascus" w:hAnsi="Damascus" w:eastAsia="仿宋" w:cs="Damascus"/>
                <w:sz w:val="24"/>
                <w:szCs w:val="24"/>
              </w:rPr>
            </w:pPr>
            <w:r>
              <w:rPr>
                <w:rFonts w:hint="eastAsia" w:ascii="Damascus" w:hAnsi="Damascus" w:eastAsia="仿宋" w:cs="Damascus"/>
                <w:sz w:val="24"/>
                <w:szCs w:val="24"/>
              </w:rPr>
              <w:t>（</w:t>
            </w:r>
            <w:r>
              <w:rPr>
                <w:rFonts w:ascii="Times New Roman" w:hAnsi="Times New Roman" w:eastAsia="仿宋" w:cs="Times New Roman"/>
                <w:sz w:val="24"/>
                <w:szCs w:val="24"/>
              </w:rPr>
              <w:t>10</w:t>
            </w:r>
            <w:r>
              <w:rPr>
                <w:rFonts w:hint="eastAsia" w:ascii="Damascus" w:hAnsi="Damascus" w:eastAsia="仿宋" w:cs="Damascus"/>
                <w:sz w:val="24"/>
                <w:szCs w:val="24"/>
              </w:rPr>
              <w:t>）迎宾路至荔枝沟路东岸片区路网建设</w:t>
            </w:r>
          </w:p>
          <w:p>
            <w:pPr>
              <w:pStyle w:val="45"/>
              <w:widowControl/>
              <w:spacing w:line="300" w:lineRule="auto"/>
              <w:ind w:firstLine="0" w:firstLineChars="0"/>
              <w:rPr>
                <w:rFonts w:ascii="Damascus" w:hAnsi="Damascus" w:eastAsia="仿宋" w:cs="Damascus"/>
                <w:sz w:val="24"/>
                <w:szCs w:val="24"/>
              </w:rPr>
            </w:pPr>
            <w:r>
              <w:rPr>
                <w:rFonts w:hint="eastAsia" w:ascii="Damascus" w:hAnsi="Damascus" w:eastAsia="仿宋" w:cs="Damascus"/>
                <w:sz w:val="24"/>
                <w:szCs w:val="24"/>
              </w:rPr>
              <w:t>（</w:t>
            </w:r>
            <w:r>
              <w:rPr>
                <w:rFonts w:ascii="Times New Roman" w:hAnsi="Times New Roman" w:eastAsia="仿宋" w:cs="Times New Roman"/>
                <w:sz w:val="24"/>
                <w:szCs w:val="24"/>
              </w:rPr>
              <w:t>11</w:t>
            </w:r>
            <w:r>
              <w:rPr>
                <w:rFonts w:hint="eastAsia" w:ascii="Damascus" w:hAnsi="Damascus" w:eastAsia="仿宋" w:cs="Damascus"/>
                <w:sz w:val="24"/>
                <w:szCs w:val="24"/>
              </w:rPr>
              <w:t>）迎宾路至榆亚路连通道路工程</w:t>
            </w:r>
          </w:p>
          <w:p>
            <w:pPr>
              <w:pStyle w:val="45"/>
              <w:widowControl/>
              <w:spacing w:line="300" w:lineRule="auto"/>
              <w:ind w:firstLine="0" w:firstLineChars="0"/>
              <w:rPr>
                <w:rFonts w:ascii="Damascus" w:hAnsi="Damascus" w:eastAsia="仿宋" w:cs="Damascus"/>
                <w:sz w:val="24"/>
                <w:szCs w:val="24"/>
              </w:rPr>
            </w:pPr>
            <w:r>
              <w:rPr>
                <w:rFonts w:hint="eastAsia" w:ascii="Damascus" w:hAnsi="Damascus" w:eastAsia="仿宋" w:cs="Damascus"/>
                <w:sz w:val="24"/>
                <w:szCs w:val="24"/>
              </w:rPr>
              <w:t>（</w:t>
            </w:r>
            <w:r>
              <w:rPr>
                <w:rFonts w:ascii="Times New Roman" w:hAnsi="Times New Roman" w:eastAsia="仿宋" w:cs="Times New Roman"/>
                <w:sz w:val="24"/>
                <w:szCs w:val="24"/>
              </w:rPr>
              <w:t>12</w:t>
            </w:r>
            <w:r>
              <w:rPr>
                <w:rFonts w:hint="eastAsia" w:ascii="Times New Roman" w:hAnsi="Times New Roman" w:eastAsia="仿宋" w:cs="Times New Roman"/>
                <w:sz w:val="24"/>
                <w:szCs w:val="24"/>
              </w:rPr>
              <w:t>）凤凰路</w:t>
            </w:r>
            <w:r>
              <w:rPr>
                <w:rFonts w:hint="eastAsia" w:ascii="Damascus" w:hAnsi="Damascus" w:eastAsia="仿宋" w:cs="Damascus"/>
                <w:sz w:val="24"/>
                <w:szCs w:val="24"/>
              </w:rPr>
              <w:t>与迎宾路交叉地下隧道工程</w:t>
            </w:r>
          </w:p>
        </w:tc>
      </w:tr>
    </w:tbl>
    <w:p>
      <w:pPr>
        <w:spacing w:line="360" w:lineRule="auto"/>
        <w:ind w:firstLine="643" w:firstLineChars="200"/>
        <w:rPr>
          <w:rFonts w:ascii="仿宋" w:hAnsi="仿宋" w:eastAsia="仿宋" w:cs="Arial"/>
          <w:b/>
          <w:kern w:val="0"/>
          <w:sz w:val="32"/>
          <w:szCs w:val="28"/>
        </w:rPr>
      </w:pPr>
    </w:p>
    <w:p>
      <w:pPr>
        <w:spacing w:line="360" w:lineRule="auto"/>
        <w:ind w:firstLine="643" w:firstLineChars="200"/>
        <w:rPr>
          <w:rFonts w:ascii="仿宋" w:hAnsi="仿宋" w:eastAsia="仿宋" w:cs="宋体"/>
          <w:kern w:val="0"/>
          <w:sz w:val="32"/>
        </w:rPr>
      </w:pPr>
      <w:r>
        <w:rPr>
          <w:rFonts w:hint="eastAsia" w:ascii="仿宋" w:hAnsi="仿宋" w:eastAsia="仿宋" w:cs="Arial"/>
          <w:b/>
          <w:kern w:val="0"/>
          <w:sz w:val="32"/>
          <w:szCs w:val="28"/>
        </w:rPr>
        <w:t>构建多元化旅游交通体系。</w:t>
      </w:r>
      <w:r>
        <w:rPr>
          <w:rFonts w:hint="eastAsia" w:ascii="仿宋" w:hAnsi="仿宋" w:eastAsia="仿宋" w:cs="宋体"/>
          <w:kern w:val="0"/>
          <w:sz w:val="32"/>
        </w:rPr>
        <w:t>构建集旅游公交、旅游铁路、有轨电车、观光巴士、海上巴士、游船游艇、空中游览等多种交通方式高效衔接的旅游交通服务网络；提升旅游公共交通服务质量，加强对公交车和出租车的管理，提高交通服务人员的综合素质；扩大旅游交通集散中心的景点覆盖率；扩大旅游交通集散中心的景点覆盖率，公共交通及慢行交通比例达到</w:t>
      </w:r>
      <w:r>
        <w:rPr>
          <w:rFonts w:ascii="仿宋" w:hAnsi="仿宋" w:eastAsia="仿宋" w:cs="宋体"/>
          <w:kern w:val="0"/>
          <w:sz w:val="32"/>
        </w:rPr>
        <w:t>45%</w:t>
      </w:r>
      <w:r>
        <w:rPr>
          <w:rFonts w:hint="eastAsia" w:ascii="仿宋" w:hAnsi="仿宋" w:eastAsia="仿宋" w:cs="宋体"/>
          <w:kern w:val="0"/>
          <w:sz w:val="32"/>
        </w:rPr>
        <w:t>以上。</w:t>
      </w:r>
    </w:p>
    <w:p>
      <w:pPr>
        <w:spacing w:line="360" w:lineRule="auto"/>
        <w:ind w:firstLine="643" w:firstLineChars="200"/>
        <w:rPr>
          <w:rFonts w:ascii="仿宋" w:hAnsi="仿宋" w:eastAsia="仿宋"/>
          <w:sz w:val="32"/>
          <w:szCs w:val="28"/>
        </w:rPr>
      </w:pPr>
      <w:r>
        <w:rPr>
          <w:rFonts w:hint="eastAsia" w:ascii="仿宋" w:hAnsi="仿宋" w:eastAsia="仿宋"/>
          <w:b/>
          <w:sz w:val="32"/>
          <w:szCs w:val="28"/>
        </w:rPr>
        <w:t>加快停车场站设施建设。</w:t>
      </w:r>
      <w:r>
        <w:rPr>
          <w:rFonts w:hint="eastAsia" w:ascii="仿宋" w:hAnsi="仿宋" w:eastAsia="仿宋" w:cs="宋体"/>
          <w:kern w:val="0"/>
          <w:sz w:val="32"/>
        </w:rPr>
        <w:t>按照“小而分散”、“就近服务”的停车场布局，在中心城区繁华和拥堵路段，充分利用市政广场和公园绿地的地下空间、以及零散用地，推广建设蜂窝式停车场、机械式立体停车楼，缓解地面停车压力；加快推进亚龙湾停车场建设，有效缓解亚龙湾景区的交通拥堵和停车压力。加快建设电动汽车停车位及充电设备配套设施，营造“绿色出行”条件。</w:t>
      </w:r>
    </w:p>
    <w:p>
      <w:pPr>
        <w:widowControl/>
        <w:shd w:val="clear" w:color="auto" w:fill="FFFFFF"/>
        <w:spacing w:line="360" w:lineRule="auto"/>
        <w:ind w:firstLine="643" w:firstLineChars="200"/>
        <w:rPr>
          <w:rFonts w:ascii="仿宋" w:hAnsi="仿宋" w:eastAsia="仿宋" w:cs="宋体"/>
          <w:kern w:val="0"/>
          <w:sz w:val="32"/>
        </w:rPr>
      </w:pPr>
      <w:r>
        <w:rPr>
          <w:rFonts w:hint="eastAsia" w:ascii="仿宋" w:hAnsi="仿宋" w:eastAsia="仿宋" w:cs="Arial"/>
          <w:b/>
          <w:kern w:val="0"/>
          <w:sz w:val="32"/>
          <w:szCs w:val="28"/>
        </w:rPr>
        <w:t>改善农村地区交通设施。</w:t>
      </w:r>
      <w:r>
        <w:rPr>
          <w:rFonts w:hint="eastAsia" w:ascii="仿宋" w:hAnsi="仿宋" w:eastAsia="仿宋" w:cs="宋体"/>
          <w:kern w:val="0"/>
          <w:sz w:val="32"/>
        </w:rPr>
        <w:t>结合风情小镇和互联网小镇建设，加快完善农村交通网络和水上交通航线建设。加快推进农村公路改造升级和农村桥梁改建维修工程，重点加强区域东西横向交通，改善落笔村与亚龙湾路、红花村与海榆中线的道路交通，加快推进田独村、安罗村、博后村等农村道路建设，加快形成一体化的城乡客运体系，建制村公交到达率达到</w:t>
      </w:r>
      <w:r>
        <w:rPr>
          <w:rFonts w:ascii="仿宋" w:hAnsi="仿宋" w:eastAsia="仿宋" w:cs="宋体"/>
          <w:kern w:val="0"/>
          <w:sz w:val="32"/>
        </w:rPr>
        <w:t>100%</w:t>
      </w:r>
      <w:r>
        <w:rPr>
          <w:rFonts w:hint="eastAsia" w:ascii="仿宋" w:hAnsi="仿宋" w:eastAsia="仿宋" w:cs="宋体"/>
          <w:kern w:val="0"/>
          <w:sz w:val="32"/>
        </w:rPr>
        <w:t>；加快完善水上交通航线的许可，为水上旅游项目建设提供保障。</w:t>
      </w:r>
    </w:p>
    <w:p>
      <w:pPr>
        <w:spacing w:line="360" w:lineRule="auto"/>
        <w:ind w:firstLine="643" w:firstLineChars="200"/>
        <w:rPr>
          <w:rFonts w:ascii="仿宋" w:hAnsi="仿宋" w:eastAsia="仿宋" w:cs="宋体"/>
          <w:kern w:val="0"/>
          <w:sz w:val="32"/>
        </w:rPr>
      </w:pPr>
      <w:r>
        <w:rPr>
          <w:rFonts w:hint="eastAsia" w:ascii="仿宋" w:hAnsi="仿宋" w:eastAsia="仿宋" w:cs="Arial"/>
          <w:b/>
          <w:kern w:val="0"/>
          <w:sz w:val="32"/>
          <w:szCs w:val="28"/>
        </w:rPr>
        <w:t>构建城市慢行交通系统。</w:t>
      </w:r>
      <w:r>
        <w:rPr>
          <w:rFonts w:hint="eastAsia" w:ascii="仿宋" w:hAnsi="仿宋" w:eastAsia="仿宋" w:cs="宋体"/>
          <w:kern w:val="0"/>
          <w:sz w:val="32"/>
        </w:rPr>
        <w:t>以构建旅游交通系统中的慢行交通为重点，以城市交通中的步行和自行车为辅助，建立慢行交通系统，发展提升慢行交通设施和服务。重点推进迎宾路至亚龙湾广场路段、南边海路至鹿回头路段、凤凰路、海榆东线等路段的城市慢行道建设；结合滨海地区的岸线条件以及生态环境保护要求，建设滨海木栈道及亲水景观台，适当建造与滨海和谐的绿化小品景观带，增强滨海空间的观赏性。</w:t>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360" w:lineRule="auto"/>
              <w:jc w:val="center"/>
              <w:rPr>
                <w:rFonts w:ascii="仿宋" w:hAnsi="仿宋" w:eastAsia="仿宋" w:cs="仿宋"/>
                <w:b/>
                <w:bCs/>
                <w:sz w:val="24"/>
              </w:rPr>
            </w:pPr>
            <w:r>
              <w:rPr>
                <w:rFonts w:hint="eastAsia" w:ascii="仿宋" w:hAnsi="仿宋" w:eastAsia="仿宋" w:cs="仿宋"/>
                <w:b/>
                <w:bCs/>
                <w:sz w:val="24"/>
              </w:rPr>
              <w:t>专栏</w:t>
            </w:r>
            <w:r>
              <w:rPr>
                <w:rFonts w:ascii="仿宋" w:hAnsi="仿宋" w:eastAsia="仿宋" w:cs="仿宋"/>
                <w:b/>
                <w:bCs/>
                <w:sz w:val="24"/>
              </w:rPr>
              <w:t xml:space="preserve">8 </w:t>
            </w:r>
            <w:r>
              <w:rPr>
                <w:rFonts w:hint="eastAsia" w:ascii="仿宋" w:hAnsi="仿宋" w:eastAsia="仿宋" w:cs="仿宋"/>
                <w:b/>
                <w:bCs/>
                <w:sz w:val="24"/>
              </w:rPr>
              <w:t>重点景区对外交通提升工程</w:t>
            </w:r>
          </w:p>
          <w:p>
            <w:pPr>
              <w:pStyle w:val="45"/>
              <w:widowControl/>
              <w:spacing w:line="360" w:lineRule="auto"/>
              <w:ind w:firstLine="480"/>
              <w:rPr>
                <w:rFonts w:ascii="仿宋" w:hAnsi="仿宋" w:eastAsia="仿宋" w:cs="仿宋"/>
                <w:sz w:val="24"/>
                <w:szCs w:val="24"/>
              </w:rPr>
            </w:pPr>
            <w:r>
              <w:rPr>
                <w:rFonts w:hint="eastAsia" w:ascii="仿宋" w:hAnsi="仿宋" w:eastAsia="仿宋"/>
                <w:sz w:val="24"/>
                <w:szCs w:val="24"/>
              </w:rPr>
              <w:t>着力提升景区对外交通便捷度，规划在海榆东线、亚龙湾路的基础上，加快推进亚龙湾第二通道建设，即东起亚龙湾博后路，穿过大安岭至安游路，跨越榆林湾至榆亚路。加快推进亚龙湾互通立交和亚龙湾景区停车场项目建设，全面提升亚龙湾国家旅游度假区的交通通行能力；落实落笔洞景区、半岭温泉度假区对外交通建设，重点加强景区与三亚中心城区和原吉阳镇区的联系。</w:t>
            </w:r>
          </w:p>
        </w:tc>
      </w:tr>
    </w:tbl>
    <w:p>
      <w:pPr>
        <w:pStyle w:val="4"/>
        <w:shd w:val="clear" w:color="auto" w:fill="FFFFFF"/>
        <w:spacing w:before="240" w:after="120" w:line="360" w:lineRule="auto"/>
        <w:ind w:firstLine="453" w:firstLineChars="141"/>
        <w:rPr>
          <w:rStyle w:val="40"/>
          <w:rFonts w:ascii="仿宋" w:hAnsi="仿宋" w:eastAsia="仿宋"/>
        </w:rPr>
      </w:pPr>
      <w:bookmarkStart w:id="226" w:name="_Toc31185"/>
      <w:bookmarkStart w:id="227" w:name="_Toc438920983"/>
      <w:bookmarkStart w:id="228" w:name="_Toc6189"/>
      <w:bookmarkStart w:id="229" w:name="_Toc443339004"/>
      <w:r>
        <w:rPr>
          <w:rStyle w:val="40"/>
          <w:rFonts w:hint="eastAsia" w:ascii="仿宋" w:hAnsi="仿宋" w:eastAsia="仿宋"/>
        </w:rPr>
        <w:t>（二）构建均衡协调的水利网络</w:t>
      </w:r>
      <w:bookmarkEnd w:id="226"/>
      <w:bookmarkEnd w:id="227"/>
      <w:bookmarkEnd w:id="228"/>
      <w:bookmarkEnd w:id="229"/>
    </w:p>
    <w:p>
      <w:pPr>
        <w:ind w:firstLine="643" w:firstLineChars="200"/>
        <w:rPr>
          <w:rFonts w:ascii="仿宋" w:hAnsi="仿宋" w:eastAsia="仿宋" w:cs="仿宋"/>
          <w:kern w:val="0"/>
          <w:sz w:val="32"/>
          <w:szCs w:val="28"/>
        </w:rPr>
      </w:pPr>
      <w:r>
        <w:rPr>
          <w:rFonts w:hint="eastAsia" w:ascii="仿宋" w:hAnsi="仿宋" w:eastAsia="仿宋"/>
          <w:b/>
          <w:sz w:val="32"/>
          <w:szCs w:val="28"/>
        </w:rPr>
        <w:t>加快完善水网设施建设。</w:t>
      </w:r>
      <w:r>
        <w:rPr>
          <w:rFonts w:hint="eastAsia" w:ascii="仿宋" w:hAnsi="仿宋" w:eastAsia="仿宋" w:cs="宋体"/>
          <w:kern w:val="0"/>
          <w:sz w:val="32"/>
        </w:rPr>
        <w:t>从新建水厂、改造原水管道、改扩建水厂、改扩建供水管网、原水管道改造等工程措施，满足吉阳远期用水需求。依托颂和水库，规划新建小型供水厂</w:t>
      </w:r>
      <w:r>
        <w:rPr>
          <w:rFonts w:ascii="仿宋" w:hAnsi="仿宋" w:eastAsia="仿宋" w:cs="宋体"/>
          <w:kern w:val="0"/>
          <w:sz w:val="32"/>
        </w:rPr>
        <w:t>1</w:t>
      </w:r>
      <w:r>
        <w:rPr>
          <w:rFonts w:hint="eastAsia" w:ascii="仿宋" w:hAnsi="仿宋" w:eastAsia="仿宋" w:cs="宋体"/>
          <w:kern w:val="0"/>
          <w:sz w:val="32"/>
        </w:rPr>
        <w:t>座，规划新建污水处理厂</w:t>
      </w:r>
      <w:r>
        <w:rPr>
          <w:rFonts w:ascii="仿宋" w:hAnsi="仿宋" w:eastAsia="仿宋" w:cs="宋体"/>
          <w:kern w:val="0"/>
          <w:sz w:val="32"/>
        </w:rPr>
        <w:t>1</w:t>
      </w:r>
      <w:r>
        <w:rPr>
          <w:rFonts w:hint="eastAsia" w:ascii="仿宋" w:hAnsi="仿宋" w:eastAsia="仿宋" w:cs="宋体"/>
          <w:kern w:val="0"/>
          <w:sz w:val="32"/>
        </w:rPr>
        <w:t>座，加快推进城市中水配套管网和雨水收集利用系统，集蓄雨水并进行资源化利用，规划城区绿化、河湖景观补水、道路浇洒等市政用水使用再生水；筹考虑景区、岛屿、农场的污水处理要求，加大力度铺设污水处理的配套管网。</w:t>
      </w:r>
    </w:p>
    <w:p>
      <w:pPr>
        <w:ind w:firstLine="643" w:firstLineChars="200"/>
        <w:rPr>
          <w:rFonts w:ascii="仿宋" w:hAnsi="仿宋" w:eastAsia="仿宋" w:cs="宋体"/>
          <w:kern w:val="0"/>
          <w:sz w:val="32"/>
        </w:rPr>
      </w:pPr>
      <w:r>
        <w:rPr>
          <w:rFonts w:hint="eastAsia" w:ascii="仿宋" w:hAnsi="仿宋" w:eastAsia="仿宋"/>
          <w:b/>
          <w:sz w:val="32"/>
          <w:szCs w:val="28"/>
        </w:rPr>
        <w:t>全面加强农村水利基础设施建设。</w:t>
      </w:r>
      <w:r>
        <w:rPr>
          <w:rFonts w:hint="eastAsia" w:ascii="仿宋" w:hAnsi="仿宋" w:eastAsia="仿宋" w:cs="宋体"/>
          <w:kern w:val="0"/>
          <w:sz w:val="32"/>
        </w:rPr>
        <w:t>以渠道防渗、管道灌溉、喷灌和微灌为重点，继续深入实施灌区续建配套与节水改造工程；加强小型农田水利建设，完善渠道衬砌和渠系建筑物，健全农村小微型水利设施；建设田洋整治及水利配套工程，加快推进农村饮水安全项目进度；加快推进农村管网建设，积极争取城市管网向周边村庄延伸辐射，发展规模化集中供水工程；充分利用池塘、湿地和低洼地的自然净化作，提高农村地区纳污与治污能力；加快推进移动式污水处理站在农村地区的试点实施，着力改善农村地区生产生活条件。</w:t>
      </w:r>
      <w:r>
        <w:rPr>
          <w:rFonts w:ascii="宋体" w:cs="宋体"/>
          <w:kern w:val="0"/>
          <w:sz w:val="32"/>
          <w:szCs w:val="28"/>
        </w:rPr>
        <w:t> </w:t>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widowControl/>
              <w:spacing w:line="360" w:lineRule="auto"/>
              <w:jc w:val="center"/>
              <w:rPr>
                <w:rFonts w:ascii="仿宋" w:hAnsi="仿宋" w:eastAsia="仿宋" w:cs="仿宋"/>
                <w:b/>
                <w:bCs/>
                <w:sz w:val="24"/>
              </w:rPr>
            </w:pPr>
            <w:r>
              <w:rPr>
                <w:rFonts w:hint="eastAsia" w:ascii="仿宋" w:hAnsi="仿宋" w:eastAsia="仿宋" w:cs="仿宋"/>
                <w:b/>
                <w:bCs/>
                <w:sz w:val="24"/>
              </w:rPr>
              <w:t>专栏</w:t>
            </w:r>
            <w:r>
              <w:rPr>
                <w:rFonts w:ascii="仿宋" w:hAnsi="仿宋" w:eastAsia="仿宋" w:cs="仿宋"/>
                <w:b/>
                <w:bCs/>
                <w:sz w:val="24"/>
              </w:rPr>
              <w:t xml:space="preserve">9 </w:t>
            </w:r>
            <w:r>
              <w:rPr>
                <w:rFonts w:hint="eastAsia" w:ascii="仿宋" w:hAnsi="仿宋" w:eastAsia="仿宋" w:cs="仿宋"/>
                <w:b/>
                <w:bCs/>
                <w:sz w:val="24"/>
              </w:rPr>
              <w:t>水网建设工程</w:t>
            </w:r>
          </w:p>
          <w:p>
            <w:pPr>
              <w:pStyle w:val="45"/>
              <w:widowControl/>
              <w:spacing w:line="360" w:lineRule="auto"/>
              <w:ind w:firstLine="480"/>
              <w:rPr>
                <w:rFonts w:ascii="仿宋" w:hAnsi="仿宋" w:eastAsia="仿宋" w:cs="仿宋"/>
                <w:sz w:val="24"/>
                <w:szCs w:val="24"/>
              </w:rPr>
            </w:pPr>
            <w:r>
              <w:rPr>
                <w:rFonts w:hint="eastAsia" w:ascii="仿宋" w:hAnsi="仿宋" w:eastAsia="仿宋"/>
                <w:sz w:val="24"/>
                <w:szCs w:val="24"/>
              </w:rPr>
              <w:t>规划新建小型供水厂</w:t>
            </w:r>
            <w:r>
              <w:rPr>
                <w:rFonts w:ascii="仿宋" w:hAnsi="仿宋" w:eastAsia="仿宋"/>
                <w:sz w:val="24"/>
                <w:szCs w:val="24"/>
              </w:rPr>
              <w:t>1</w:t>
            </w:r>
            <w:r>
              <w:rPr>
                <w:rFonts w:hint="eastAsia" w:ascii="仿宋" w:hAnsi="仿宋" w:eastAsia="仿宋"/>
                <w:sz w:val="24"/>
                <w:szCs w:val="24"/>
              </w:rPr>
              <w:t>座，供水规模为</w:t>
            </w:r>
            <w:r>
              <w:rPr>
                <w:rFonts w:ascii="仿宋" w:hAnsi="仿宋" w:eastAsia="仿宋"/>
                <w:sz w:val="24"/>
                <w:szCs w:val="24"/>
              </w:rPr>
              <w:t>5000</w:t>
            </w:r>
            <w:r>
              <w:rPr>
                <w:rFonts w:hint="eastAsia" w:ascii="仿宋" w:hAnsi="仿宋" w:eastAsia="仿宋"/>
                <w:sz w:val="24"/>
                <w:szCs w:val="24"/>
              </w:rPr>
              <w:t>吨</w:t>
            </w:r>
            <w:r>
              <w:rPr>
                <w:rFonts w:ascii="仿宋" w:hAnsi="仿宋" w:eastAsia="仿宋"/>
                <w:sz w:val="24"/>
                <w:szCs w:val="24"/>
              </w:rPr>
              <w:t>/</w:t>
            </w:r>
            <w:r>
              <w:rPr>
                <w:rFonts w:hint="eastAsia" w:ascii="仿宋" w:hAnsi="仿宋" w:eastAsia="仿宋"/>
                <w:sz w:val="24"/>
                <w:szCs w:val="24"/>
              </w:rPr>
              <w:t>日，新建污水处理厂</w:t>
            </w:r>
            <w:r>
              <w:rPr>
                <w:rFonts w:ascii="仿宋" w:hAnsi="仿宋" w:eastAsia="仿宋"/>
                <w:sz w:val="24"/>
                <w:szCs w:val="24"/>
              </w:rPr>
              <w:t>1</w:t>
            </w:r>
            <w:r>
              <w:rPr>
                <w:rFonts w:hint="eastAsia" w:ascii="仿宋" w:hAnsi="仿宋" w:eastAsia="仿宋"/>
                <w:sz w:val="24"/>
                <w:szCs w:val="24"/>
              </w:rPr>
              <w:t>座，扩建</w:t>
            </w:r>
            <w:r>
              <w:rPr>
                <w:rFonts w:hint="eastAsia" w:ascii="仿宋" w:hAnsi="仿宋" w:eastAsia="仿宋" w:cs="仿宋"/>
                <w:kern w:val="0"/>
                <w:sz w:val="24"/>
                <w:szCs w:val="24"/>
              </w:rPr>
              <w:t>荔枝沟污水处理厂和红沙污水处理厂，</w:t>
            </w:r>
            <w:r>
              <w:rPr>
                <w:rFonts w:hint="eastAsia" w:ascii="仿宋" w:hAnsi="仿宋" w:eastAsia="仿宋"/>
                <w:sz w:val="24"/>
                <w:szCs w:val="24"/>
              </w:rPr>
              <w:t>加强对鹿回头、荔枝沟、高新技术产业园、亚龙湾、福海苑安置区等污水处理（水质净化）厂及其他自建小型污水处理设施的配套管网建设，</w:t>
            </w:r>
            <w:r>
              <w:rPr>
                <w:rFonts w:hint="eastAsia" w:ascii="仿宋" w:hAnsi="仿宋" w:eastAsia="仿宋" w:cs="仿宋"/>
                <w:kern w:val="0"/>
                <w:sz w:val="24"/>
                <w:szCs w:val="24"/>
              </w:rPr>
              <w:t>全面提升全区城镇污水处理能力；加快推进城市中水配套管网的建设，重点完成红沙、鹿回头片区中水配套管网工程项目建设，全面提升全中水回用率。</w:t>
            </w:r>
          </w:p>
        </w:tc>
      </w:tr>
    </w:tbl>
    <w:p>
      <w:pPr>
        <w:rPr>
          <w:rFonts w:ascii="仿宋" w:hAnsi="仿宋" w:eastAsia="仿宋"/>
          <w:sz w:val="22"/>
        </w:rPr>
      </w:pPr>
    </w:p>
    <w:p>
      <w:pPr>
        <w:pStyle w:val="4"/>
        <w:shd w:val="clear" w:color="auto" w:fill="FFFFFF"/>
        <w:spacing w:before="240" w:after="120" w:line="360" w:lineRule="auto"/>
        <w:ind w:firstLine="453" w:firstLineChars="141"/>
        <w:rPr>
          <w:rStyle w:val="40"/>
          <w:rFonts w:ascii="仿宋" w:hAnsi="仿宋" w:eastAsia="仿宋"/>
        </w:rPr>
      </w:pPr>
      <w:bookmarkStart w:id="230" w:name="_Toc17883"/>
      <w:bookmarkStart w:id="231" w:name="_Toc443339005"/>
      <w:bookmarkStart w:id="232" w:name="_Toc10270"/>
      <w:bookmarkStart w:id="233" w:name="_Toc438920984"/>
      <w:r>
        <w:rPr>
          <w:rStyle w:val="40"/>
          <w:rFonts w:hint="eastAsia" w:ascii="仿宋" w:hAnsi="仿宋" w:eastAsia="仿宋"/>
        </w:rPr>
        <w:t>（三）加强安全电网和气网建设</w:t>
      </w:r>
      <w:bookmarkEnd w:id="230"/>
      <w:bookmarkEnd w:id="231"/>
      <w:bookmarkEnd w:id="232"/>
      <w:bookmarkEnd w:id="233"/>
    </w:p>
    <w:p>
      <w:pPr>
        <w:ind w:firstLine="649" w:firstLineChars="202"/>
        <w:rPr>
          <w:rFonts w:ascii="仿宋" w:hAnsi="仿宋" w:eastAsia="仿宋" w:cs="宋体"/>
          <w:kern w:val="0"/>
          <w:sz w:val="32"/>
        </w:rPr>
      </w:pPr>
      <w:r>
        <w:rPr>
          <w:rFonts w:hint="eastAsia" w:ascii="仿宋" w:hAnsi="仿宋" w:eastAsia="仿宋"/>
          <w:b/>
          <w:sz w:val="32"/>
          <w:szCs w:val="28"/>
        </w:rPr>
        <w:t>着力优化电网建设。</w:t>
      </w:r>
      <w:r>
        <w:rPr>
          <w:rFonts w:hint="eastAsia" w:ascii="仿宋" w:hAnsi="仿宋" w:eastAsia="仿宋" w:cs="宋体"/>
          <w:kern w:val="0"/>
          <w:sz w:val="32"/>
        </w:rPr>
        <w:t>积极争取三亚市支持吉阳与南方电网联网，优化能源生产结构和供电网布局；加快探索风力发电、光伏太阳能发电、垃圾焚烧发电、生物质能发电等非常规能源的开发利用，形成以清洁煤电、核电为主力电源，以可再生能源为重要组成部分的清洁能源结构。</w:t>
      </w:r>
    </w:p>
    <w:p>
      <w:pPr>
        <w:ind w:firstLine="649" w:firstLineChars="202"/>
        <w:rPr>
          <w:rFonts w:ascii="仿宋" w:hAnsi="仿宋" w:eastAsia="仿宋" w:cs="宋体"/>
          <w:kern w:val="0"/>
          <w:sz w:val="32"/>
        </w:rPr>
      </w:pPr>
      <w:r>
        <w:rPr>
          <w:rFonts w:hint="eastAsia" w:ascii="仿宋" w:hAnsi="仿宋" w:eastAsia="仿宋"/>
          <w:b/>
          <w:sz w:val="32"/>
          <w:szCs w:val="28"/>
        </w:rPr>
        <w:t>统筹推进城乡气网建设。</w:t>
      </w:r>
      <w:r>
        <w:rPr>
          <w:rFonts w:hint="eastAsia" w:ascii="仿宋" w:hAnsi="仿宋" w:eastAsia="仿宋" w:cs="宋体"/>
          <w:kern w:val="0"/>
          <w:sz w:val="32"/>
        </w:rPr>
        <w:t>逐步提高天然气在全区能源消费结构中的比重，加快天然气输气管道的建设和改造，完善区内燃气供应网络，实现燃气生产和运输的现代化管理。</w:t>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360" w:lineRule="auto"/>
              <w:ind w:firstLine="519"/>
              <w:jc w:val="center"/>
              <w:rPr>
                <w:rFonts w:ascii="仿宋" w:hAnsi="仿宋" w:eastAsia="仿宋" w:cs="仿宋"/>
                <w:b/>
                <w:bCs/>
                <w:sz w:val="24"/>
              </w:rPr>
            </w:pPr>
            <w:r>
              <w:rPr>
                <w:rFonts w:hint="eastAsia" w:ascii="仿宋" w:hAnsi="仿宋" w:eastAsia="仿宋" w:cs="仿宋"/>
                <w:b/>
                <w:bCs/>
                <w:sz w:val="24"/>
              </w:rPr>
              <w:t>专栏</w:t>
            </w:r>
            <w:r>
              <w:rPr>
                <w:rFonts w:ascii="仿宋" w:hAnsi="仿宋" w:eastAsia="仿宋" w:cs="仿宋"/>
                <w:b/>
                <w:bCs/>
                <w:sz w:val="24"/>
              </w:rPr>
              <w:t xml:space="preserve">10 </w:t>
            </w:r>
            <w:r>
              <w:rPr>
                <w:rFonts w:hint="eastAsia" w:ascii="仿宋" w:hAnsi="仿宋" w:eastAsia="仿宋" w:cs="仿宋"/>
                <w:b/>
                <w:bCs/>
                <w:sz w:val="24"/>
              </w:rPr>
              <w:t>城乡电网气网建设工程</w:t>
            </w:r>
          </w:p>
          <w:p>
            <w:pPr>
              <w:pStyle w:val="49"/>
              <w:spacing w:line="360" w:lineRule="auto"/>
              <w:ind w:left="0" w:leftChars="0" w:firstLine="480" w:firstLineChars="200"/>
              <w:rPr>
                <w:rFonts w:ascii="仿宋" w:hAnsi="仿宋" w:eastAsia="仿宋" w:cs="仿宋"/>
                <w:kern w:val="0"/>
                <w:szCs w:val="24"/>
              </w:rPr>
            </w:pPr>
            <w:r>
              <w:rPr>
                <w:rFonts w:hint="eastAsia" w:ascii="仿宋" w:hAnsi="仿宋" w:eastAsia="仿宋" w:cs="仿宋"/>
                <w:kern w:val="0"/>
                <w:szCs w:val="24"/>
              </w:rPr>
              <w:t>电网</w:t>
            </w:r>
            <w:r>
              <w:rPr>
                <w:rFonts w:hint="eastAsia" w:ascii="仿宋" w:hAnsi="仿宋" w:eastAsia="仿宋" w:cs="Damascus"/>
                <w:kern w:val="0"/>
                <w:szCs w:val="24"/>
              </w:rPr>
              <w:t>建设：</w:t>
            </w:r>
            <w:r>
              <w:rPr>
                <w:rFonts w:hint="eastAsia" w:ascii="仿宋" w:hAnsi="仿宋" w:eastAsia="仿宋" w:cs="仿宋"/>
                <w:kern w:val="0"/>
                <w:szCs w:val="24"/>
              </w:rPr>
              <w:t>规划</w:t>
            </w:r>
            <w:r>
              <w:rPr>
                <w:rFonts w:ascii="仿宋" w:hAnsi="仿宋" w:eastAsia="仿宋" w:cs="仿宋"/>
                <w:kern w:val="0"/>
                <w:szCs w:val="24"/>
              </w:rPr>
              <w:t>220KV</w:t>
            </w:r>
            <w:r>
              <w:rPr>
                <w:rFonts w:hint="eastAsia" w:ascii="仿宋" w:hAnsi="仿宋" w:eastAsia="仿宋" w:cs="仿宋"/>
                <w:kern w:val="0"/>
                <w:szCs w:val="24"/>
              </w:rPr>
              <w:t>大茅变电站扩容至</w:t>
            </w:r>
            <w:r>
              <w:rPr>
                <w:rFonts w:ascii="仿宋" w:hAnsi="仿宋" w:eastAsia="仿宋" w:cs="仿宋"/>
                <w:kern w:val="0"/>
                <w:szCs w:val="24"/>
              </w:rPr>
              <w:t>3</w:t>
            </w:r>
            <w:r>
              <w:rPr>
                <w:rFonts w:hint="eastAsia" w:ascii="仿宋" w:hAnsi="仿宋" w:eastAsia="仿宋" w:cs="仿宋"/>
                <w:kern w:val="0"/>
                <w:szCs w:val="24"/>
              </w:rPr>
              <w:t>×</w:t>
            </w:r>
            <w:r>
              <w:rPr>
                <w:rFonts w:ascii="仿宋" w:hAnsi="仿宋" w:eastAsia="仿宋" w:cs="仿宋"/>
                <w:kern w:val="0"/>
                <w:szCs w:val="24"/>
              </w:rPr>
              <w:t>180MVA</w:t>
            </w:r>
            <w:r>
              <w:rPr>
                <w:rFonts w:hint="eastAsia" w:ascii="仿宋" w:hAnsi="仿宋" w:eastAsia="仿宋" w:cs="仿宋"/>
                <w:kern w:val="0"/>
                <w:szCs w:val="24"/>
              </w:rPr>
              <w:t>，适时新建</w:t>
            </w:r>
            <w:r>
              <w:rPr>
                <w:rFonts w:ascii="仿宋" w:hAnsi="仿宋" w:eastAsia="仿宋" w:cs="仿宋"/>
                <w:kern w:val="0"/>
                <w:szCs w:val="24"/>
              </w:rPr>
              <w:t>110KV</w:t>
            </w:r>
            <w:r>
              <w:rPr>
                <w:rFonts w:hint="eastAsia" w:ascii="仿宋" w:hAnsi="仿宋" w:eastAsia="仿宋" w:cs="仿宋"/>
                <w:kern w:val="0"/>
                <w:szCs w:val="24"/>
              </w:rPr>
              <w:t>红沙站、亚龙湾站、鹿回头站等输变电工程，满足城乡居民生活和经济开发建设的用电需求，提高供电质量及供电可靠性。</w:t>
            </w:r>
          </w:p>
          <w:p>
            <w:pPr>
              <w:pStyle w:val="49"/>
              <w:spacing w:line="360" w:lineRule="auto"/>
              <w:ind w:left="0" w:leftChars="0" w:firstLine="480" w:firstLineChars="200"/>
              <w:rPr>
                <w:rFonts w:ascii="仿宋" w:hAnsi="仿宋" w:eastAsia="仿宋" w:cs="仿宋"/>
                <w:szCs w:val="24"/>
              </w:rPr>
            </w:pPr>
            <w:r>
              <w:rPr>
                <w:rFonts w:hint="eastAsia" w:ascii="仿宋" w:hAnsi="仿宋" w:eastAsia="仿宋" w:cs="仿宋"/>
                <w:kern w:val="0"/>
                <w:szCs w:val="24"/>
              </w:rPr>
              <w:t>气网</w:t>
            </w:r>
            <w:r>
              <w:rPr>
                <w:rFonts w:hint="eastAsia" w:ascii="仿宋" w:hAnsi="仿宋" w:eastAsia="仿宋" w:cs="Damascus"/>
                <w:kern w:val="0"/>
                <w:szCs w:val="24"/>
              </w:rPr>
              <w:t>建设：</w:t>
            </w:r>
            <w:r>
              <w:rPr>
                <w:rFonts w:hint="eastAsia" w:ascii="仿宋" w:hAnsi="仿宋" w:eastAsia="仿宋" w:cs="仿宋"/>
                <w:kern w:val="0"/>
                <w:szCs w:val="24"/>
              </w:rPr>
              <w:t>中心城区新增一座天然气门站，在城乡结合部规范设置液化石油气换瓶站，负责周边村庄</w:t>
            </w:r>
            <w:r>
              <w:rPr>
                <w:rFonts w:hint="eastAsia" w:ascii="Damascus" w:hAnsi="Damascus" w:eastAsia="仿宋" w:cs="Damascus"/>
                <w:kern w:val="0"/>
                <w:szCs w:val="24"/>
              </w:rPr>
              <w:t>的</w:t>
            </w:r>
            <w:r>
              <w:rPr>
                <w:rFonts w:hint="eastAsia" w:ascii="仿宋" w:hAnsi="仿宋" w:eastAsia="仿宋" w:cs="仿宋"/>
                <w:kern w:val="0"/>
                <w:szCs w:val="24"/>
              </w:rPr>
              <w:t>燃气供应，北部山区行政村根据需要设置小型换瓶站，保障农村地区用气安全。</w:t>
            </w:r>
          </w:p>
        </w:tc>
      </w:tr>
    </w:tbl>
    <w:p>
      <w:pPr>
        <w:pStyle w:val="4"/>
        <w:shd w:val="clear" w:color="auto" w:fill="FFFFFF"/>
        <w:spacing w:before="240" w:after="120" w:line="360" w:lineRule="auto"/>
        <w:ind w:firstLine="453" w:firstLineChars="141"/>
        <w:rPr>
          <w:rStyle w:val="40"/>
          <w:rFonts w:ascii="仿宋" w:hAnsi="仿宋" w:eastAsia="仿宋"/>
        </w:rPr>
      </w:pPr>
      <w:bookmarkStart w:id="234" w:name="_Toc443339006"/>
      <w:bookmarkStart w:id="235" w:name="_Toc27438"/>
      <w:bookmarkStart w:id="236" w:name="_Toc438920985"/>
      <w:bookmarkStart w:id="237" w:name="_Toc15694"/>
      <w:r>
        <w:rPr>
          <w:rStyle w:val="40"/>
          <w:rFonts w:hint="eastAsia" w:ascii="仿宋" w:hAnsi="仿宋" w:eastAsia="仿宋"/>
        </w:rPr>
        <w:t>（四）加快构筑现代通信网络</w:t>
      </w:r>
      <w:bookmarkEnd w:id="234"/>
      <w:bookmarkEnd w:id="235"/>
      <w:bookmarkEnd w:id="236"/>
      <w:bookmarkEnd w:id="237"/>
    </w:p>
    <w:p>
      <w:pPr>
        <w:pStyle w:val="49"/>
        <w:spacing w:line="360" w:lineRule="auto"/>
        <w:ind w:left="0" w:leftChars="0" w:firstLine="420"/>
        <w:rPr>
          <w:rFonts w:ascii="仿宋" w:hAnsi="仿宋" w:eastAsia="仿宋" w:cs="宋体"/>
          <w:kern w:val="0"/>
          <w:sz w:val="32"/>
        </w:rPr>
      </w:pPr>
      <w:r>
        <w:rPr>
          <w:rFonts w:hint="eastAsia" w:ascii="仿宋" w:hAnsi="仿宋" w:eastAsia="仿宋"/>
          <w:b/>
          <w:sz w:val="32"/>
          <w:szCs w:val="28"/>
        </w:rPr>
        <w:t>加快通信基础设施建设。</w:t>
      </w:r>
      <w:r>
        <w:rPr>
          <w:rFonts w:hint="eastAsia" w:ascii="仿宋" w:hAnsi="仿宋" w:eastAsia="仿宋" w:cs="宋体"/>
          <w:kern w:val="0"/>
          <w:sz w:val="32"/>
        </w:rPr>
        <w:t>加快在全区推广宽带网、</w:t>
      </w:r>
      <w:r>
        <w:rPr>
          <w:rFonts w:ascii="仿宋" w:hAnsi="仿宋" w:eastAsia="仿宋" w:cs="宋体"/>
          <w:kern w:val="0"/>
          <w:sz w:val="32"/>
        </w:rPr>
        <w:t>3G\4G</w:t>
      </w:r>
      <w:r>
        <w:rPr>
          <w:rFonts w:hint="eastAsia" w:ascii="仿宋" w:hAnsi="仿宋" w:eastAsia="仿宋" w:cs="宋体"/>
          <w:kern w:val="0"/>
          <w:sz w:val="32"/>
        </w:rPr>
        <w:t>无线通讯网络系统，实现通讯城乡无缝全覆盖。促进电信网、计算机网和有线电视网“三网融合”，实现网络资源的共享，避免低水平的重复建设，形成适应性广的、高速宽带的多媒体基础平台。城区实现优先广播电视数字化，有线电视入户率达到</w:t>
      </w:r>
      <w:r>
        <w:rPr>
          <w:rFonts w:ascii="仿宋" w:hAnsi="仿宋" w:eastAsia="仿宋" w:cs="宋体"/>
          <w:kern w:val="0"/>
          <w:sz w:val="32"/>
        </w:rPr>
        <w:t>100%</w:t>
      </w:r>
      <w:r>
        <w:rPr>
          <w:rFonts w:hint="eastAsia" w:ascii="仿宋" w:hAnsi="仿宋" w:eastAsia="仿宋" w:cs="宋体"/>
          <w:kern w:val="0"/>
          <w:sz w:val="32"/>
        </w:rPr>
        <w:t>，沿海村镇广播电视覆盖率达到</w:t>
      </w:r>
      <w:r>
        <w:rPr>
          <w:rFonts w:ascii="仿宋" w:hAnsi="仿宋" w:eastAsia="仿宋" w:cs="宋体"/>
          <w:kern w:val="0"/>
          <w:sz w:val="32"/>
        </w:rPr>
        <w:t>100%</w:t>
      </w:r>
      <w:r>
        <w:rPr>
          <w:rFonts w:hint="eastAsia" w:ascii="仿宋" w:hAnsi="仿宋" w:eastAsia="仿宋" w:cs="宋体"/>
          <w:kern w:val="0"/>
          <w:sz w:val="32"/>
        </w:rPr>
        <w:t>；在北部山村新建移动通信基站，彻底消除移动信号覆盖盲区。</w:t>
      </w:r>
    </w:p>
    <w:p>
      <w:pPr>
        <w:ind w:firstLine="643" w:firstLineChars="200"/>
        <w:rPr>
          <w:rFonts w:ascii="仿宋" w:hAnsi="仿宋" w:eastAsia="仿宋" w:cs="宋体"/>
          <w:kern w:val="0"/>
          <w:sz w:val="32"/>
        </w:rPr>
      </w:pPr>
      <w:r>
        <w:rPr>
          <w:rFonts w:hint="eastAsia" w:ascii="仿宋" w:hAnsi="仿宋" w:eastAsia="仿宋" w:cs="仿宋"/>
          <w:b/>
          <w:kern w:val="0"/>
          <w:sz w:val="32"/>
          <w:szCs w:val="28"/>
        </w:rPr>
        <w:t>建设高效率电子政务信息平台。</w:t>
      </w:r>
      <w:r>
        <w:rPr>
          <w:rFonts w:hint="eastAsia" w:ascii="仿宋" w:hAnsi="仿宋" w:eastAsia="仿宋" w:cs="宋体"/>
          <w:kern w:val="0"/>
          <w:sz w:val="32"/>
        </w:rPr>
        <w:t>以整合现有网络信息资源为重点，优化网络环境，提高信息化服务质量，建成集信息开发、应用、建设、管理与服务为一体的政务信息化体系。</w:t>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360" w:lineRule="auto"/>
              <w:jc w:val="center"/>
              <w:rPr>
                <w:rFonts w:ascii="仿宋" w:hAnsi="仿宋" w:eastAsia="仿宋" w:cs="仿宋"/>
                <w:b/>
                <w:bCs/>
                <w:sz w:val="24"/>
              </w:rPr>
            </w:pPr>
            <w:r>
              <w:rPr>
                <w:rFonts w:hint="eastAsia" w:ascii="仿宋" w:hAnsi="仿宋" w:eastAsia="仿宋" w:cs="仿宋"/>
                <w:b/>
                <w:bCs/>
                <w:sz w:val="24"/>
              </w:rPr>
              <w:t>专栏</w:t>
            </w:r>
            <w:r>
              <w:rPr>
                <w:rFonts w:ascii="仿宋" w:hAnsi="仿宋" w:eastAsia="仿宋" w:cs="仿宋"/>
                <w:b/>
                <w:bCs/>
                <w:sz w:val="24"/>
              </w:rPr>
              <w:t xml:space="preserve">11 </w:t>
            </w:r>
            <w:r>
              <w:rPr>
                <w:rFonts w:hint="eastAsia" w:ascii="仿宋" w:hAnsi="仿宋" w:eastAsia="仿宋" w:cs="仿宋"/>
                <w:b/>
                <w:bCs/>
                <w:sz w:val="24"/>
              </w:rPr>
              <w:t>政务信息化建设工程</w:t>
            </w:r>
          </w:p>
          <w:p>
            <w:pPr>
              <w:pStyle w:val="49"/>
              <w:spacing w:line="360" w:lineRule="auto"/>
              <w:ind w:left="0" w:leftChars="0" w:firstLine="480" w:firstLineChars="200"/>
              <w:rPr>
                <w:rFonts w:ascii="仿宋" w:hAnsi="仿宋" w:eastAsia="仿宋" w:cs="仿宋"/>
                <w:szCs w:val="24"/>
              </w:rPr>
            </w:pPr>
            <w:r>
              <w:rPr>
                <w:rFonts w:hint="eastAsia" w:ascii="仿宋" w:hAnsi="仿宋" w:eastAsia="仿宋" w:cs="Arial"/>
              </w:rPr>
              <w:t>政务信息化工程：建设一个中心，即吉阳区信息化服务中心；实施四大工程，即吉阳区人民政府公众信息网络建设工程、电子政务网络建设工程、数据库建设工程和网络经济工程。通过一中心四工程的建设，提升政务工作效率和透明度。</w:t>
            </w:r>
          </w:p>
        </w:tc>
      </w:tr>
    </w:tbl>
    <w:p>
      <w:pPr>
        <w:rPr>
          <w:rFonts w:ascii="仿宋" w:hAnsi="仿宋" w:eastAsia="仿宋" w:cs="Arial"/>
          <w:kern w:val="0"/>
          <w:sz w:val="32"/>
          <w:szCs w:val="32"/>
        </w:rPr>
      </w:pPr>
    </w:p>
    <w:p>
      <w:pPr>
        <w:pStyle w:val="49"/>
        <w:spacing w:line="360" w:lineRule="auto"/>
        <w:ind w:left="0" w:leftChars="0" w:firstLine="420"/>
        <w:rPr>
          <w:rFonts w:ascii="仿宋" w:hAnsi="仿宋" w:eastAsia="仿宋"/>
          <w:sz w:val="32"/>
          <w:szCs w:val="32"/>
        </w:rPr>
      </w:pPr>
      <w:r>
        <w:rPr>
          <w:rFonts w:hint="eastAsia" w:ascii="仿宋" w:hAnsi="仿宋" w:eastAsia="仿宋"/>
          <w:b/>
          <w:sz w:val="32"/>
          <w:szCs w:val="32"/>
        </w:rPr>
        <w:t>加快建设交通运输信息网</w:t>
      </w:r>
      <w:bookmarkStart w:id="281" w:name="_GoBack"/>
      <w:bookmarkEnd w:id="281"/>
      <w:r>
        <w:rPr>
          <w:rFonts w:hint="eastAsia" w:ascii="仿宋" w:hAnsi="仿宋" w:eastAsia="仿宋"/>
          <w:b/>
          <w:sz w:val="32"/>
          <w:szCs w:val="32"/>
        </w:rPr>
        <w:t>络。</w:t>
      </w:r>
      <w:r>
        <w:rPr>
          <w:rFonts w:hint="eastAsia" w:ascii="仿宋" w:hAnsi="仿宋" w:eastAsia="仿宋" w:cs="宋体"/>
          <w:kern w:val="0"/>
          <w:sz w:val="32"/>
          <w:szCs w:val="32"/>
        </w:rPr>
        <w:t>衔接三亚市智能交通系统建设，构建公众出行服务信息智能系统，实现联网售票，为岛内外出行提供一条龙服务；推进货运和物流信息化管理，完善各种运输方式的信息采集方案，加强铁水联运、水陆联运等多式联运的信息整合；着力推进现代信息技术在交通运输各领域全过程的深度融合。</w:t>
      </w:r>
    </w:p>
    <w:p>
      <w:pPr>
        <w:pStyle w:val="49"/>
        <w:spacing w:line="360" w:lineRule="auto"/>
        <w:ind w:left="0" w:leftChars="0" w:firstLine="420"/>
        <w:rPr>
          <w:rFonts w:ascii="仿宋" w:hAnsi="仿宋" w:eastAsia="仿宋" w:cs="宋体"/>
          <w:kern w:val="0"/>
          <w:sz w:val="32"/>
          <w:szCs w:val="32"/>
        </w:rPr>
      </w:pPr>
      <w:r>
        <w:rPr>
          <w:rFonts w:hint="eastAsia" w:ascii="仿宋" w:hAnsi="仿宋" w:eastAsia="仿宋"/>
          <w:b/>
          <w:sz w:val="32"/>
          <w:szCs w:val="32"/>
        </w:rPr>
        <w:t>加快推进农村信息基础设施建设。</w:t>
      </w:r>
      <w:r>
        <w:rPr>
          <w:rFonts w:hint="eastAsia" w:ascii="仿宋" w:hAnsi="仿宋" w:eastAsia="仿宋" w:cs="宋体"/>
          <w:kern w:val="0"/>
          <w:sz w:val="32"/>
          <w:szCs w:val="32"/>
        </w:rPr>
        <w:t>根据《三亚市信息进村入户试点工作实施方案》，按照“六有”标准推广建设村级信息服务站。实现试点村全面覆盖</w:t>
      </w:r>
      <w:r>
        <w:rPr>
          <w:rFonts w:ascii="仿宋" w:hAnsi="仿宋" w:eastAsia="仿宋" w:cs="宋体"/>
          <w:kern w:val="0"/>
          <w:sz w:val="32"/>
          <w:szCs w:val="32"/>
        </w:rPr>
        <w:t>3G</w:t>
      </w:r>
      <w:r>
        <w:rPr>
          <w:rFonts w:hint="eastAsia" w:ascii="仿宋" w:hAnsi="仿宋" w:eastAsia="仿宋" w:cs="宋体"/>
          <w:kern w:val="0"/>
          <w:sz w:val="32"/>
          <w:szCs w:val="32"/>
        </w:rPr>
        <w:t>农资农药监管信息系统、农产品质量安全田头监管</w:t>
      </w:r>
      <w:r>
        <w:rPr>
          <w:rFonts w:ascii="仿宋" w:hAnsi="仿宋" w:eastAsia="仿宋" w:cs="宋体"/>
          <w:kern w:val="0"/>
          <w:sz w:val="32"/>
          <w:szCs w:val="32"/>
        </w:rPr>
        <w:t>3G</w:t>
      </w:r>
      <w:r>
        <w:rPr>
          <w:rFonts w:hint="eastAsia" w:ascii="仿宋" w:hAnsi="仿宋" w:eastAsia="仿宋" w:cs="宋体"/>
          <w:kern w:val="0"/>
          <w:sz w:val="32"/>
          <w:szCs w:val="32"/>
        </w:rPr>
        <w:t>系统，形成农产品质量安全监管的有效机制；全面完成</w:t>
      </w:r>
      <w:r>
        <w:rPr>
          <w:rFonts w:ascii="仿宋" w:hAnsi="仿宋" w:eastAsia="仿宋" w:cs="宋体"/>
          <w:kern w:val="0"/>
          <w:sz w:val="32"/>
          <w:szCs w:val="32"/>
        </w:rPr>
        <w:t>12582</w:t>
      </w:r>
      <w:r>
        <w:rPr>
          <w:rFonts w:hint="eastAsia" w:ascii="仿宋" w:hAnsi="仿宋" w:eastAsia="仿宋" w:cs="宋体"/>
          <w:kern w:val="0"/>
          <w:sz w:val="32"/>
          <w:szCs w:val="32"/>
        </w:rPr>
        <w:t>标准化改造，重点完成</w:t>
      </w:r>
      <w:r>
        <w:rPr>
          <w:rFonts w:ascii="仿宋" w:hAnsi="仿宋" w:eastAsia="仿宋" w:cs="宋体"/>
          <w:kern w:val="0"/>
          <w:sz w:val="32"/>
          <w:szCs w:val="32"/>
        </w:rPr>
        <w:t>12582</w:t>
      </w:r>
      <w:r>
        <w:rPr>
          <w:rFonts w:hint="eastAsia" w:ascii="仿宋" w:hAnsi="仿宋" w:eastAsia="仿宋" w:cs="宋体"/>
          <w:kern w:val="0"/>
          <w:sz w:val="32"/>
          <w:szCs w:val="32"/>
        </w:rPr>
        <w:t>与海南</w:t>
      </w:r>
      <w:r>
        <w:rPr>
          <w:rFonts w:ascii="仿宋" w:hAnsi="仿宋" w:eastAsia="仿宋" w:cs="宋体"/>
          <w:kern w:val="0"/>
          <w:sz w:val="32"/>
          <w:szCs w:val="32"/>
        </w:rPr>
        <w:t>3G</w:t>
      </w:r>
      <w:r>
        <w:rPr>
          <w:rFonts w:hint="eastAsia" w:ascii="仿宋" w:hAnsi="仿宋" w:eastAsia="仿宋" w:cs="宋体"/>
          <w:kern w:val="0"/>
          <w:sz w:val="32"/>
          <w:szCs w:val="32"/>
        </w:rPr>
        <w:t>农产品质量安全网、海南农信通信息推广平台融合；形成农业专家定期进村机制，初步构建覆盖全村的，线上线下有益补充的农业信息平台。</w:t>
      </w:r>
    </w:p>
    <w:bookmarkEnd w:id="221"/>
    <w:p>
      <w:pPr>
        <w:pStyle w:val="3"/>
        <w:spacing w:before="480" w:after="240" w:line="360" w:lineRule="auto"/>
        <w:rPr>
          <w:rFonts w:ascii="仿宋" w:hAnsi="仿宋" w:eastAsia="仿宋" w:cs="宋体"/>
          <w:kern w:val="0"/>
          <w:sz w:val="36"/>
        </w:rPr>
      </w:pPr>
      <w:bookmarkStart w:id="238" w:name="_Toc443339007"/>
      <w:bookmarkStart w:id="239" w:name="_Toc13994"/>
      <w:bookmarkStart w:id="240" w:name="_Toc27287"/>
      <w:r>
        <w:rPr>
          <w:rFonts w:hint="eastAsia" w:ascii="仿宋" w:hAnsi="仿宋" w:eastAsia="仿宋" w:cs="宋体"/>
          <w:kern w:val="0"/>
          <w:sz w:val="36"/>
        </w:rPr>
        <w:t>二、促进城乡共建共享</w:t>
      </w:r>
      <w:bookmarkEnd w:id="238"/>
      <w:bookmarkEnd w:id="239"/>
      <w:bookmarkEnd w:id="240"/>
    </w:p>
    <w:p>
      <w:pPr>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紧紧抓住三亚市作为海南省城乡一体化建设示范试点的机遇，加快推进城中村和城边村改造，加大美丽乡村和特色风情小镇建设力度，着力推进城乡基本公共服务均等化，积极探索具有三亚特色的新型城镇化道路，全面促进城乡共建共享。</w:t>
      </w:r>
    </w:p>
    <w:p>
      <w:pPr>
        <w:pStyle w:val="4"/>
        <w:shd w:val="clear" w:color="auto" w:fill="FFFFFF"/>
        <w:spacing w:before="240" w:after="120" w:line="360" w:lineRule="auto"/>
        <w:ind w:firstLine="453" w:firstLineChars="141"/>
        <w:rPr>
          <w:rStyle w:val="40"/>
          <w:rFonts w:ascii="仿宋" w:hAnsi="仿宋" w:eastAsia="仿宋"/>
        </w:rPr>
      </w:pPr>
      <w:bookmarkStart w:id="241" w:name="_Toc15140"/>
      <w:bookmarkStart w:id="242" w:name="_Toc18431"/>
      <w:bookmarkStart w:id="243" w:name="_Toc443339008"/>
      <w:bookmarkStart w:id="244" w:name="_Toc438920988"/>
      <w:r>
        <w:rPr>
          <w:rStyle w:val="40"/>
          <w:rFonts w:hint="eastAsia" w:ascii="仿宋" w:hAnsi="仿宋" w:eastAsia="仿宋"/>
        </w:rPr>
        <w:t>（一）全力推进棚户区和城边村改造</w:t>
      </w:r>
      <w:bookmarkEnd w:id="241"/>
      <w:bookmarkEnd w:id="242"/>
      <w:bookmarkEnd w:id="243"/>
      <w:bookmarkEnd w:id="244"/>
    </w:p>
    <w:p>
      <w:pPr>
        <w:spacing w:line="360" w:lineRule="auto"/>
        <w:ind w:firstLine="643" w:firstLineChars="200"/>
        <w:rPr>
          <w:rFonts w:ascii="仿宋" w:hAnsi="仿宋" w:eastAsia="仿宋" w:cs="宋体"/>
          <w:kern w:val="0"/>
          <w:sz w:val="32"/>
          <w:szCs w:val="32"/>
        </w:rPr>
      </w:pPr>
      <w:r>
        <w:rPr>
          <w:rFonts w:hint="eastAsia" w:ascii="仿宋" w:hAnsi="仿宋" w:eastAsia="仿宋"/>
          <w:b/>
          <w:sz w:val="32"/>
          <w:szCs w:val="32"/>
        </w:rPr>
        <w:t>加快推进“棚户区、城边村”改造。</w:t>
      </w:r>
      <w:r>
        <w:rPr>
          <w:rFonts w:hint="eastAsia" w:ascii="仿宋" w:hAnsi="仿宋" w:eastAsia="仿宋" w:cs="宋体"/>
          <w:kern w:val="0"/>
          <w:sz w:val="32"/>
          <w:szCs w:val="32"/>
        </w:rPr>
        <w:t>继续推进鹿回头、榕根、东岸、月川、临春、海罗、榆亚路</w:t>
      </w:r>
      <w:r>
        <w:rPr>
          <w:rFonts w:ascii="仿宋" w:hAnsi="仿宋" w:eastAsia="仿宋" w:cs="宋体"/>
          <w:kern w:val="0"/>
          <w:sz w:val="32"/>
          <w:szCs w:val="32"/>
        </w:rPr>
        <w:t>1</w:t>
      </w:r>
      <w:r>
        <w:rPr>
          <w:rFonts w:hint="eastAsia" w:ascii="仿宋" w:hAnsi="仿宋" w:eastAsia="仿宋" w:cs="宋体"/>
          <w:kern w:val="0"/>
          <w:sz w:val="32"/>
          <w:szCs w:val="32"/>
        </w:rPr>
        <w:t>号等棚户区改造工作，加快推进南丁、落笔等城边村建设，配合驻点单位做好下洋田第二片区、鹿鸣小区等旧城改造工作。认真贯彻落实住建部《关于全面开展农村危房现状调查的通知》精神，对辖区内安罗、博后、榆红、红花等村庄的危旧房进行摸查核实，督促其按要求进行改造建设。</w:t>
      </w:r>
    </w:p>
    <w:tbl>
      <w:tblPr>
        <w:tblStyle w:val="26"/>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522" w:type="dxa"/>
            <w:tcBorders>
              <w:top w:val="single" w:color="auto" w:sz="4" w:space="0"/>
              <w:bottom w:val="single" w:color="auto" w:sz="4" w:space="0"/>
            </w:tcBorders>
          </w:tcPr>
          <w:p>
            <w:pPr>
              <w:spacing w:line="360" w:lineRule="auto"/>
              <w:jc w:val="center"/>
              <w:rPr>
                <w:rFonts w:ascii="仿宋" w:hAnsi="仿宋" w:eastAsia="仿宋"/>
                <w:b/>
                <w:sz w:val="24"/>
                <w:szCs w:val="24"/>
              </w:rPr>
            </w:pPr>
            <w:r>
              <w:rPr>
                <w:rFonts w:hint="eastAsia" w:ascii="仿宋" w:hAnsi="仿宋" w:eastAsia="仿宋"/>
                <w:b/>
                <w:sz w:val="24"/>
                <w:szCs w:val="24"/>
              </w:rPr>
              <w:t>专栏</w:t>
            </w:r>
            <w:r>
              <w:rPr>
                <w:rFonts w:ascii="仿宋" w:hAnsi="仿宋" w:eastAsia="仿宋" w:cs="仿宋"/>
                <w:b/>
                <w:bCs/>
                <w:sz w:val="24"/>
              </w:rPr>
              <w:t xml:space="preserve">12 </w:t>
            </w:r>
            <w:r>
              <w:rPr>
                <w:rFonts w:hint="eastAsia" w:ascii="仿宋" w:hAnsi="仿宋" w:eastAsia="仿宋"/>
                <w:b/>
                <w:sz w:val="24"/>
                <w:szCs w:val="24"/>
              </w:rPr>
              <w:t>棚户区和城边村改造项目</w:t>
            </w:r>
          </w:p>
          <w:p>
            <w:pPr>
              <w:numPr>
                <w:ilvl w:val="0"/>
                <w:numId w:val="4"/>
              </w:numPr>
              <w:spacing w:line="360" w:lineRule="auto"/>
              <w:ind w:left="567" w:hanging="709"/>
              <w:rPr>
                <w:rFonts w:ascii="仿宋" w:hAnsi="仿宋" w:eastAsia="仿宋"/>
                <w:sz w:val="24"/>
                <w:szCs w:val="24"/>
              </w:rPr>
            </w:pPr>
            <w:r>
              <w:rPr>
                <w:rFonts w:hint="eastAsia" w:ascii="仿宋" w:hAnsi="仿宋" w:eastAsia="仿宋"/>
                <w:sz w:val="24"/>
                <w:szCs w:val="24"/>
              </w:rPr>
              <w:t>东岸棚户区改造和湿地公园建设</w:t>
            </w:r>
          </w:p>
          <w:p>
            <w:pPr>
              <w:numPr>
                <w:ilvl w:val="0"/>
                <w:numId w:val="4"/>
              </w:numPr>
              <w:spacing w:line="360" w:lineRule="auto"/>
              <w:ind w:left="567" w:hanging="709"/>
              <w:rPr>
                <w:rFonts w:ascii="仿宋" w:hAnsi="仿宋" w:eastAsia="仿宋"/>
                <w:sz w:val="24"/>
                <w:szCs w:val="24"/>
              </w:rPr>
            </w:pPr>
            <w:r>
              <w:rPr>
                <w:rFonts w:hint="eastAsia" w:ascii="仿宋" w:hAnsi="仿宋" w:eastAsia="仿宋"/>
                <w:sz w:val="24"/>
                <w:szCs w:val="24"/>
              </w:rPr>
              <w:t>榕根棚户区改造项目</w:t>
            </w:r>
          </w:p>
          <w:p>
            <w:pPr>
              <w:numPr>
                <w:ilvl w:val="0"/>
                <w:numId w:val="4"/>
              </w:numPr>
              <w:spacing w:line="360" w:lineRule="auto"/>
              <w:ind w:left="567" w:hanging="709"/>
              <w:rPr>
                <w:rFonts w:ascii="仿宋" w:hAnsi="仿宋" w:eastAsia="仿宋"/>
                <w:sz w:val="24"/>
                <w:szCs w:val="24"/>
              </w:rPr>
            </w:pPr>
            <w:r>
              <w:rPr>
                <w:rFonts w:hint="eastAsia" w:ascii="仿宋" w:hAnsi="仿宋" w:eastAsia="仿宋"/>
                <w:sz w:val="24"/>
                <w:szCs w:val="24"/>
              </w:rPr>
              <w:t>原天涯水泥厂生活区旧城改造项目</w:t>
            </w:r>
          </w:p>
          <w:p>
            <w:pPr>
              <w:numPr>
                <w:ilvl w:val="0"/>
                <w:numId w:val="4"/>
              </w:numPr>
              <w:spacing w:line="360" w:lineRule="auto"/>
              <w:ind w:left="567" w:hanging="709"/>
              <w:rPr>
                <w:rFonts w:ascii="仿宋" w:hAnsi="仿宋" w:eastAsia="仿宋"/>
                <w:sz w:val="24"/>
                <w:szCs w:val="24"/>
              </w:rPr>
            </w:pPr>
            <w:r>
              <w:rPr>
                <w:rFonts w:hint="eastAsia" w:ascii="仿宋" w:hAnsi="仿宋" w:eastAsia="仿宋"/>
                <w:sz w:val="24"/>
                <w:szCs w:val="24"/>
              </w:rPr>
              <w:t>临春片区改造项目</w:t>
            </w:r>
          </w:p>
          <w:p>
            <w:pPr>
              <w:numPr>
                <w:ilvl w:val="0"/>
                <w:numId w:val="4"/>
              </w:numPr>
              <w:spacing w:line="360" w:lineRule="auto"/>
              <w:ind w:left="567" w:hanging="709"/>
            </w:pPr>
            <w:r>
              <w:rPr>
                <w:rFonts w:hint="eastAsia" w:ascii="仿宋" w:hAnsi="仿宋" w:eastAsia="仿宋"/>
                <w:sz w:val="24"/>
                <w:szCs w:val="24"/>
              </w:rPr>
              <w:t>月川社区改造项目</w:t>
            </w:r>
          </w:p>
        </w:tc>
      </w:tr>
    </w:tbl>
    <w:p>
      <w:pPr>
        <w:spacing w:line="360" w:lineRule="auto"/>
        <w:ind w:firstLine="643" w:firstLineChars="200"/>
        <w:rPr>
          <w:rFonts w:ascii="仿宋" w:hAnsi="仿宋" w:eastAsia="仿宋"/>
          <w:b/>
          <w:sz w:val="32"/>
          <w:szCs w:val="28"/>
        </w:rPr>
      </w:pPr>
      <w:bookmarkStart w:id="245" w:name="_Toc430341732"/>
    </w:p>
    <w:p>
      <w:pPr>
        <w:spacing w:line="360" w:lineRule="auto"/>
        <w:ind w:firstLine="643" w:firstLineChars="200"/>
        <w:rPr>
          <w:rFonts w:ascii="仿宋" w:hAnsi="仿宋" w:eastAsia="仿宋" w:cs="宋体"/>
          <w:kern w:val="0"/>
          <w:sz w:val="32"/>
        </w:rPr>
      </w:pPr>
      <w:r>
        <w:rPr>
          <w:rFonts w:hint="eastAsia" w:ascii="仿宋" w:hAnsi="仿宋" w:eastAsia="仿宋"/>
          <w:b/>
          <w:sz w:val="32"/>
          <w:szCs w:val="28"/>
        </w:rPr>
        <w:t>加强村庄规划和农村社区建设。</w:t>
      </w:r>
      <w:r>
        <w:rPr>
          <w:rFonts w:hint="eastAsia" w:ascii="仿宋" w:hAnsi="仿宋" w:eastAsia="仿宋" w:cs="宋体"/>
          <w:kern w:val="0"/>
          <w:sz w:val="32"/>
        </w:rPr>
        <w:t>科学规划村庄和农村社区布局，结合重大项目建设中的拆迁安置，因地制宜引导农村居民集中居住。坚持“大稳定、小调整”的原则，稳妥推进撤并村建社区工程，建设一批规模合理、配套齐全、环境优美的新农村社区。加快推进水、路、电、讯、气、房和优美环境“七到农家”工程，不断完善农村基础设施，改善农村人居环境。</w:t>
      </w:r>
    </w:p>
    <w:tbl>
      <w:tblPr>
        <w:tblStyle w:val="26"/>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522" w:type="dxa"/>
            <w:tcBorders>
              <w:top w:val="single" w:color="auto" w:sz="4" w:space="0"/>
              <w:bottom w:val="single" w:color="auto" w:sz="4" w:space="0"/>
            </w:tcBorders>
          </w:tcPr>
          <w:p>
            <w:pPr>
              <w:spacing w:line="360" w:lineRule="auto"/>
              <w:jc w:val="center"/>
              <w:rPr>
                <w:rFonts w:ascii="仿宋" w:hAnsi="仿宋" w:eastAsia="仿宋" w:cs="仿宋"/>
                <w:b/>
                <w:bCs/>
                <w:sz w:val="24"/>
              </w:rPr>
            </w:pPr>
            <w:r>
              <w:rPr>
                <w:rFonts w:hint="eastAsia" w:ascii="仿宋" w:hAnsi="仿宋" w:eastAsia="仿宋" w:cs="仿宋"/>
                <w:b/>
                <w:bCs/>
                <w:sz w:val="24"/>
              </w:rPr>
              <w:t>专栏</w:t>
            </w:r>
            <w:r>
              <w:rPr>
                <w:rFonts w:ascii="仿宋" w:hAnsi="仿宋" w:eastAsia="仿宋" w:cs="仿宋"/>
                <w:b/>
                <w:bCs/>
                <w:sz w:val="24"/>
              </w:rPr>
              <w:t xml:space="preserve">13 </w:t>
            </w:r>
            <w:r>
              <w:rPr>
                <w:rFonts w:hint="eastAsia" w:ascii="仿宋" w:hAnsi="仿宋" w:eastAsia="仿宋" w:cs="仿宋"/>
                <w:b/>
                <w:bCs/>
                <w:sz w:val="24"/>
              </w:rPr>
              <w:t>社会主义新农村综合改造项目</w:t>
            </w:r>
          </w:p>
          <w:p>
            <w:pPr>
              <w:widowControl/>
              <w:spacing w:line="360" w:lineRule="auto"/>
              <w:ind w:firstLine="566" w:firstLineChars="235"/>
            </w:pPr>
            <w:r>
              <w:rPr>
                <w:rFonts w:hint="eastAsia" w:ascii="仿宋" w:hAnsi="仿宋" w:eastAsia="仿宋"/>
                <w:b/>
                <w:sz w:val="24"/>
                <w:szCs w:val="24"/>
              </w:rPr>
              <w:t>亚龙湾和落笔片区新农村综合改造建设。</w:t>
            </w:r>
            <w:r>
              <w:rPr>
                <w:rFonts w:hint="eastAsia" w:ascii="仿宋" w:hAnsi="仿宋" w:eastAsia="仿宋"/>
                <w:sz w:val="24"/>
                <w:szCs w:val="24"/>
              </w:rPr>
              <w:t>依托村庄区位优势、自然资源和有利条件，进行分类指导，吸引社会资本参与新农村建设，打造现代农业型、乡村旅游型、旅游带动型、滨海风情型等不同类型产业，积极发展乡村旅游、休闲观光农业、农村服务业等产业，为农村引入产业，解决村民就业，增强农村基层组织造血功能。通过社会主义新农村建设，试点片区基础设施得到改造升级，村庄环境卫生得到改善优化，可持续发展产业得到培育，村民就近就业问题得到解决，农民发展观念明显转变，生态保护意识得到进一步增强，村庄建设得到有效管控，最终达到宣传示范良好效应。</w:t>
            </w:r>
          </w:p>
        </w:tc>
      </w:tr>
    </w:tbl>
    <w:p>
      <w:pPr>
        <w:spacing w:line="360" w:lineRule="auto"/>
        <w:ind w:firstLine="640" w:firstLineChars="200"/>
        <w:rPr>
          <w:rFonts w:ascii="仿宋" w:hAnsi="仿宋" w:eastAsia="仿宋"/>
          <w:sz w:val="32"/>
          <w:szCs w:val="28"/>
        </w:rPr>
      </w:pPr>
    </w:p>
    <w:p>
      <w:pPr>
        <w:pStyle w:val="4"/>
        <w:shd w:val="clear" w:color="auto" w:fill="FFFFFF"/>
        <w:spacing w:before="240" w:after="120" w:line="360" w:lineRule="auto"/>
        <w:ind w:firstLine="453" w:firstLineChars="141"/>
        <w:rPr>
          <w:rStyle w:val="40"/>
          <w:rFonts w:ascii="仿宋" w:hAnsi="仿宋" w:eastAsia="仿宋"/>
        </w:rPr>
      </w:pPr>
      <w:bookmarkStart w:id="246" w:name="_Toc25391"/>
      <w:bookmarkStart w:id="247" w:name="_Toc18003"/>
      <w:bookmarkStart w:id="248" w:name="_Toc438920989"/>
      <w:bookmarkStart w:id="249" w:name="_Toc443339009"/>
      <w:r>
        <w:rPr>
          <w:rStyle w:val="40"/>
          <w:rFonts w:hint="eastAsia" w:ascii="仿宋" w:hAnsi="仿宋" w:eastAsia="仿宋"/>
        </w:rPr>
        <w:t>（二）加大美丽乡村和特色风情小镇建设力度</w:t>
      </w:r>
      <w:bookmarkEnd w:id="245"/>
      <w:bookmarkEnd w:id="246"/>
      <w:bookmarkEnd w:id="247"/>
      <w:bookmarkEnd w:id="248"/>
      <w:bookmarkEnd w:id="249"/>
    </w:p>
    <w:p>
      <w:pPr>
        <w:spacing w:line="360" w:lineRule="auto"/>
        <w:ind w:firstLine="643" w:firstLineChars="200"/>
        <w:rPr>
          <w:rFonts w:ascii="仿宋" w:hAnsi="仿宋" w:eastAsia="仿宋"/>
          <w:sz w:val="32"/>
          <w:szCs w:val="28"/>
        </w:rPr>
      </w:pPr>
      <w:r>
        <w:rPr>
          <w:rFonts w:hint="eastAsia" w:ascii="仿宋" w:hAnsi="仿宋" w:eastAsia="仿宋"/>
          <w:b/>
          <w:sz w:val="32"/>
          <w:szCs w:val="28"/>
        </w:rPr>
        <w:t>加强“美丽乡村”建设。</w:t>
      </w:r>
      <w:r>
        <w:rPr>
          <w:rFonts w:hint="eastAsia" w:ascii="仿宋" w:hAnsi="仿宋" w:eastAsia="仿宋" w:cs="宋体"/>
          <w:kern w:val="0"/>
          <w:sz w:val="32"/>
        </w:rPr>
        <w:t>加快实施吉阳区全国“美丽乡村”创建试点，突出乡村特色、地方特色和民族特色，建设一批独具特色的海港渔村、黎村苗寨、热带风情乡村。充分发挥生态环境优势，以红花、罗蓬、中廖、大茅作为吉阳打造“美丽乡村”的主阵地，重点发展休闲农业观光、民俗农家乐、养生度假和村民服务中心。</w:t>
      </w:r>
    </w:p>
    <w:p>
      <w:pPr>
        <w:spacing w:line="360" w:lineRule="auto"/>
        <w:ind w:firstLine="643" w:firstLineChars="200"/>
        <w:rPr>
          <w:rFonts w:ascii="仿宋" w:hAnsi="仿宋" w:eastAsia="仿宋"/>
          <w:sz w:val="32"/>
          <w:szCs w:val="28"/>
        </w:rPr>
      </w:pPr>
      <w:r>
        <w:rPr>
          <w:rFonts w:hint="eastAsia" w:ascii="仿宋" w:hAnsi="仿宋" w:eastAsia="仿宋"/>
          <w:b/>
          <w:sz w:val="32"/>
          <w:szCs w:val="28"/>
        </w:rPr>
        <w:t>推动特色风情小镇建设。</w:t>
      </w:r>
      <w:r>
        <w:rPr>
          <w:rFonts w:hint="eastAsia" w:ascii="仿宋" w:hAnsi="仿宋" w:eastAsia="仿宋" w:cs="宋体"/>
          <w:kern w:val="0"/>
          <w:sz w:val="32"/>
        </w:rPr>
        <w:t>按照“规划引导、企业参与、市场运作、群众受益”的原则，结合新农村和小城镇建设，规划建设中廖“黎族故事”、干沟兰花风情、博后玫瑰风情和落笔温泉养生等一批各具特色的风情小镇，吸引外来消费，促进农民就业，使美丽田园风光成为建设精品三亚的一道靓丽风景，成为当地农民增收致富的重要依托。</w:t>
      </w:r>
    </w:p>
    <w:tbl>
      <w:tblPr>
        <w:tblStyle w:val="26"/>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522" w:type="dxa"/>
            <w:tcBorders>
              <w:top w:val="single" w:color="auto" w:sz="4" w:space="0"/>
              <w:bottom w:val="single" w:color="auto" w:sz="4" w:space="0"/>
            </w:tcBorders>
          </w:tcPr>
          <w:p>
            <w:pPr>
              <w:spacing w:line="360" w:lineRule="auto"/>
              <w:jc w:val="center"/>
              <w:rPr>
                <w:rFonts w:ascii="仿宋" w:hAnsi="仿宋" w:eastAsia="仿宋" w:cs="仿宋"/>
                <w:b/>
                <w:bCs/>
                <w:sz w:val="24"/>
              </w:rPr>
            </w:pPr>
            <w:r>
              <w:rPr>
                <w:rFonts w:hint="eastAsia" w:ascii="仿宋" w:hAnsi="仿宋" w:eastAsia="仿宋" w:cs="仿宋"/>
                <w:b/>
                <w:bCs/>
                <w:sz w:val="24"/>
              </w:rPr>
              <w:t>专栏</w:t>
            </w:r>
            <w:r>
              <w:rPr>
                <w:rFonts w:ascii="仿宋" w:hAnsi="仿宋" w:eastAsia="仿宋" w:cs="仿宋"/>
                <w:b/>
                <w:bCs/>
                <w:sz w:val="24"/>
              </w:rPr>
              <w:t xml:space="preserve">14 </w:t>
            </w:r>
            <w:r>
              <w:rPr>
                <w:rFonts w:hint="eastAsia" w:ascii="仿宋" w:hAnsi="仿宋" w:eastAsia="仿宋" w:cs="仿宋"/>
                <w:b/>
                <w:bCs/>
                <w:sz w:val="24"/>
              </w:rPr>
              <w:t>美丽乡村和风情小镇项目</w:t>
            </w:r>
          </w:p>
          <w:p>
            <w:pPr>
              <w:widowControl/>
              <w:spacing w:line="360" w:lineRule="auto"/>
              <w:ind w:firstLine="424" w:firstLineChars="176"/>
              <w:rPr>
                <w:rFonts w:ascii="仿宋" w:hAnsi="仿宋" w:eastAsia="仿宋"/>
                <w:sz w:val="24"/>
                <w:szCs w:val="24"/>
              </w:rPr>
            </w:pPr>
            <w:r>
              <w:rPr>
                <w:rFonts w:hint="eastAsia" w:ascii="仿宋" w:hAnsi="仿宋" w:eastAsia="仿宋"/>
                <w:b/>
                <w:sz w:val="24"/>
                <w:szCs w:val="24"/>
              </w:rPr>
              <w:t>（</w:t>
            </w:r>
            <w:r>
              <w:rPr>
                <w:rFonts w:ascii="仿宋" w:hAnsi="仿宋" w:eastAsia="仿宋"/>
                <w:b/>
                <w:sz w:val="24"/>
                <w:szCs w:val="24"/>
              </w:rPr>
              <w:t>1</w:t>
            </w:r>
            <w:r>
              <w:rPr>
                <w:rFonts w:hint="eastAsia" w:ascii="仿宋" w:hAnsi="仿宋" w:eastAsia="仿宋"/>
                <w:b/>
                <w:sz w:val="24"/>
                <w:szCs w:val="24"/>
              </w:rPr>
              <w:t>）中廖美丽乡村建设。</w:t>
            </w:r>
            <w:r>
              <w:rPr>
                <w:rFonts w:hint="eastAsia" w:ascii="仿宋" w:hAnsi="仿宋" w:eastAsia="仿宋"/>
                <w:sz w:val="24"/>
                <w:szCs w:val="24"/>
              </w:rPr>
              <w:t>按照“双城双修”的标准和要求，通过危房改造、街巷拓展、亮化工程、坑塘治理、绿化美化等建设，将中廖村打造成自然积存、自然净化、生态宜居、农旅融合、文明和谐的美丽乡村典范，形成有利于农村生态环境保护和可持续发展的农村产业结构。</w:t>
            </w:r>
          </w:p>
          <w:p>
            <w:pPr>
              <w:widowControl/>
              <w:spacing w:line="360" w:lineRule="auto"/>
              <w:ind w:firstLine="424" w:firstLineChars="176"/>
              <w:rPr>
                <w:rFonts w:ascii="仿宋" w:hAnsi="仿宋" w:eastAsia="仿宋"/>
                <w:sz w:val="24"/>
                <w:szCs w:val="24"/>
              </w:rPr>
            </w:pPr>
            <w:r>
              <w:rPr>
                <w:rFonts w:hint="eastAsia" w:ascii="仿宋" w:hAnsi="仿宋" w:eastAsia="仿宋"/>
                <w:b/>
                <w:sz w:val="24"/>
                <w:szCs w:val="24"/>
              </w:rPr>
              <w:t>（</w:t>
            </w:r>
            <w:r>
              <w:rPr>
                <w:rFonts w:ascii="仿宋" w:hAnsi="仿宋" w:eastAsia="仿宋"/>
                <w:b/>
                <w:sz w:val="24"/>
                <w:szCs w:val="24"/>
              </w:rPr>
              <w:t>2</w:t>
            </w:r>
            <w:r>
              <w:rPr>
                <w:rFonts w:hint="eastAsia" w:ascii="仿宋" w:hAnsi="仿宋" w:eastAsia="仿宋"/>
                <w:b/>
                <w:sz w:val="24"/>
                <w:szCs w:val="24"/>
              </w:rPr>
              <w:t>）南丁（封塘）村风情小镇。</w:t>
            </w:r>
            <w:r>
              <w:rPr>
                <w:rFonts w:hint="eastAsia" w:ascii="仿宋" w:hAnsi="仿宋" w:eastAsia="仿宋"/>
                <w:sz w:val="24"/>
                <w:szCs w:val="24"/>
              </w:rPr>
              <w:t>建设风情浓郁的回迁居住区、民宿旅馆、美食一条街、休闲娱乐、活动中心、青年度假、养老养生公寓酒店等区域，在改善民生的前提下，建设具有乡村民俗风情特色与深厚学术文化氛围的人文度假社区，打造以安居、乐业、餐饮、购物、休闲度假为主要功能，融浪漫、时尚、高端、艺术、文化商务会展于一体国际化休闲度假风情小镇。</w:t>
            </w:r>
          </w:p>
          <w:p>
            <w:pPr>
              <w:widowControl/>
              <w:spacing w:line="360" w:lineRule="auto"/>
              <w:ind w:firstLine="566" w:firstLineChars="235"/>
              <w:rPr>
                <w:rFonts w:ascii="仿宋_GB2312" w:hAnsi="仿宋" w:eastAsia="仿宋_GB2312"/>
                <w:sz w:val="28"/>
                <w:szCs w:val="28"/>
              </w:rPr>
            </w:pPr>
            <w:r>
              <w:rPr>
                <w:rFonts w:hint="eastAsia" w:ascii="仿宋" w:hAnsi="仿宋" w:eastAsia="仿宋"/>
                <w:b/>
                <w:sz w:val="24"/>
                <w:szCs w:val="24"/>
              </w:rPr>
              <w:t>（</w:t>
            </w:r>
            <w:r>
              <w:rPr>
                <w:rFonts w:ascii="仿宋" w:hAnsi="仿宋" w:eastAsia="仿宋"/>
                <w:b/>
                <w:sz w:val="24"/>
                <w:szCs w:val="24"/>
              </w:rPr>
              <w:t>3</w:t>
            </w:r>
            <w:r>
              <w:rPr>
                <w:rFonts w:hint="eastAsia" w:ascii="仿宋" w:hAnsi="仿宋" w:eastAsia="仿宋"/>
                <w:b/>
                <w:sz w:val="24"/>
                <w:szCs w:val="24"/>
              </w:rPr>
              <w:t>）玫瑰风情小镇。</w:t>
            </w:r>
            <w:r>
              <w:rPr>
                <w:rFonts w:hint="eastAsia" w:ascii="仿宋" w:hAnsi="仿宋" w:eastAsia="仿宋"/>
                <w:sz w:val="24"/>
                <w:szCs w:val="24"/>
              </w:rPr>
              <w:t>以玫瑰文化产业及休闲旅游度假产业发展为主导，依托整体景区建设与周边山体和农村开发，打造以玫瑰文化为主题，玫瑰产业为支撑，玫瑰风情休闲度假为特色，以村民与游客的安居、乐业、休闲度假为主要功能，融浪漫、时尚、高端、艺术、文化商务会展于一体的城乡综合体和以农带旅、以旅促农、农旅合一，独具玫瑰文化特色与乡土情怀的国际化休闲度假玫瑰风情小镇。</w:t>
            </w:r>
          </w:p>
        </w:tc>
      </w:tr>
    </w:tbl>
    <w:p>
      <w:pPr>
        <w:spacing w:line="360" w:lineRule="auto"/>
        <w:ind w:firstLine="643" w:firstLineChars="200"/>
        <w:rPr>
          <w:rFonts w:ascii="仿宋" w:hAnsi="仿宋" w:eastAsia="仿宋"/>
          <w:b/>
          <w:sz w:val="32"/>
          <w:szCs w:val="32"/>
        </w:rPr>
      </w:pPr>
    </w:p>
    <w:p>
      <w:pPr>
        <w:spacing w:line="360" w:lineRule="auto"/>
        <w:ind w:firstLine="643" w:firstLineChars="200"/>
        <w:rPr>
          <w:rFonts w:ascii="仿宋" w:hAnsi="仿宋" w:eastAsia="仿宋" w:cs="宋体"/>
          <w:kern w:val="0"/>
          <w:sz w:val="32"/>
          <w:szCs w:val="32"/>
        </w:rPr>
      </w:pPr>
      <w:r>
        <w:rPr>
          <w:rFonts w:hint="eastAsia" w:ascii="仿宋" w:hAnsi="仿宋" w:eastAsia="仿宋"/>
          <w:b/>
          <w:sz w:val="32"/>
          <w:szCs w:val="32"/>
        </w:rPr>
        <w:t>促进农旅深度融合。</w:t>
      </w:r>
      <w:r>
        <w:rPr>
          <w:rFonts w:hint="eastAsia" w:ascii="仿宋" w:hAnsi="仿宋" w:eastAsia="仿宋" w:cs="宋体"/>
          <w:kern w:val="0"/>
          <w:sz w:val="32"/>
          <w:szCs w:val="32"/>
        </w:rPr>
        <w:t>因地制宜发展观光农业、农家乐乡村旅游等农村非农产业，促进农业与旅游业的完美融合。充分利用和发挥文明生态村的生态自然景观、农业设施、农民房屋等资源，大力发展以“吃农家饭、住农家院、摘农家果”为主要内容的农家乐。挖掘文化内涵，注重参与体验，加快创意发展，发展集农业生产、农耕体验、文化娱乐、教育展示、生态环保、产品加工销售于一体的多元化休闲农业园区，打造成吉阳休闲农业品牌。</w:t>
      </w:r>
    </w:p>
    <w:p>
      <w:pPr>
        <w:pStyle w:val="4"/>
        <w:shd w:val="clear" w:color="auto" w:fill="FFFFFF"/>
        <w:spacing w:before="240" w:after="120" w:line="360" w:lineRule="auto"/>
        <w:ind w:firstLine="453" w:firstLineChars="141"/>
        <w:rPr>
          <w:rStyle w:val="40"/>
          <w:rFonts w:ascii="仿宋" w:hAnsi="仿宋" w:eastAsia="仿宋"/>
        </w:rPr>
      </w:pPr>
      <w:bookmarkStart w:id="250" w:name="_Toc438920990"/>
      <w:bookmarkStart w:id="251" w:name="_Toc3522"/>
      <w:bookmarkStart w:id="252" w:name="_Toc12979"/>
      <w:bookmarkStart w:id="253" w:name="_Toc443339010"/>
      <w:r>
        <w:rPr>
          <w:rStyle w:val="40"/>
          <w:rFonts w:hint="eastAsia" w:ascii="仿宋" w:hAnsi="仿宋" w:eastAsia="仿宋"/>
        </w:rPr>
        <w:t>（三）</w:t>
      </w:r>
      <w:bookmarkEnd w:id="250"/>
      <w:r>
        <w:rPr>
          <w:rStyle w:val="40"/>
          <w:rFonts w:hint="eastAsia" w:ascii="仿宋" w:hAnsi="仿宋" w:eastAsia="仿宋"/>
        </w:rPr>
        <w:t>着力提高城乡居民生活水平</w:t>
      </w:r>
      <w:bookmarkEnd w:id="251"/>
      <w:bookmarkEnd w:id="252"/>
      <w:bookmarkEnd w:id="253"/>
    </w:p>
    <w:p>
      <w:pPr>
        <w:ind w:firstLine="643" w:firstLineChars="200"/>
        <w:rPr>
          <w:rFonts w:ascii="仿宋" w:hAnsi="仿宋" w:eastAsia="仿宋"/>
          <w:sz w:val="32"/>
          <w:szCs w:val="32"/>
        </w:rPr>
      </w:pPr>
      <w:r>
        <w:rPr>
          <w:rFonts w:hint="eastAsia" w:ascii="仿宋" w:hAnsi="仿宋" w:eastAsia="仿宋"/>
          <w:b/>
          <w:sz w:val="32"/>
          <w:szCs w:val="32"/>
        </w:rPr>
        <w:t>多渠道增加农村居民收入。</w:t>
      </w:r>
      <w:r>
        <w:rPr>
          <w:rFonts w:hint="eastAsia" w:ascii="仿宋" w:hAnsi="仿宋" w:eastAsia="仿宋" w:cs="宋体"/>
          <w:kern w:val="0"/>
          <w:sz w:val="32"/>
          <w:szCs w:val="32"/>
        </w:rPr>
        <w:t>鼓励支持失地农民合理利用征地补偿款，发展家庭旅馆业、房屋出租业，积极引导田独、红土坎、干沟、博后等村发展房屋出租，使该片区成为吉阳农副产品批发市场、亚龙湾、海棠湾现代服务业集聚区员工居住地的服务保障基地，努力增加居民的财产性收入；促进农旅对接，加快开发农家乐、采摘观光等形式的休闲农业和观光农业，培育农业与旅游业融合发展的新业态，努力增加居民的经营性收入；鼓励农村劳动力离土不离乡，到本市用工单位务工，增加非农收入，支持城乡富余劳动力适度转移，“走出去”创收，努力增加居民工资性收入；认真抓好农机补贴、种子种苗补贴、生态补贴、生猪补贴、物价补贴以及政策允许的其他补贴，努力增加居民的转移性收入。</w:t>
      </w:r>
    </w:p>
    <w:p>
      <w:pPr>
        <w:ind w:firstLine="643" w:firstLineChars="200"/>
        <w:rPr>
          <w:rFonts w:ascii="仿宋" w:hAnsi="仿宋" w:eastAsia="仿宋" w:cs="宋体"/>
          <w:kern w:val="0"/>
          <w:sz w:val="32"/>
          <w:szCs w:val="32"/>
        </w:rPr>
      </w:pPr>
      <w:r>
        <w:rPr>
          <w:rFonts w:hint="eastAsia" w:ascii="仿宋" w:hAnsi="仿宋" w:eastAsia="仿宋"/>
          <w:b/>
          <w:sz w:val="32"/>
          <w:szCs w:val="32"/>
        </w:rPr>
        <w:t>努力提高居民就业创业能力。</w:t>
      </w:r>
      <w:r>
        <w:rPr>
          <w:rFonts w:hint="eastAsia" w:ascii="仿宋" w:hAnsi="仿宋" w:eastAsia="仿宋" w:cs="宋体"/>
          <w:kern w:val="0"/>
          <w:sz w:val="32"/>
          <w:szCs w:val="32"/>
        </w:rPr>
        <w:t>根据市场需求，大力开展有针对性的职业技术培训，努力为群众提供更加方便、快捷、具体的劳动就业服务；千方百计增加就业岗位，提升劳动者技能，使城乡居民获得更多就业机会和更高薪资报酬；鼓励和引导村、社区利用本地资源，开设旅游工艺品生产、加工、销售，参与旅游经营和服务，真正实现“藏富于民”；积极鼓励以创业带动就业</w:t>
      </w:r>
      <w:r>
        <w:rPr>
          <w:rFonts w:ascii="仿宋" w:hAnsi="仿宋" w:eastAsia="仿宋" w:cs="宋体"/>
          <w:kern w:val="0"/>
          <w:sz w:val="32"/>
          <w:szCs w:val="32"/>
        </w:rPr>
        <w:t>,</w:t>
      </w:r>
      <w:r>
        <w:rPr>
          <w:rFonts w:hint="eastAsia" w:ascii="仿宋" w:hAnsi="仿宋" w:eastAsia="仿宋" w:cs="宋体"/>
          <w:kern w:val="0"/>
          <w:sz w:val="32"/>
          <w:szCs w:val="32"/>
        </w:rPr>
        <w:t>对城乡居民自主创业予以鼓励和扶持。</w:t>
      </w:r>
    </w:p>
    <w:p>
      <w:pPr>
        <w:ind w:firstLine="643" w:firstLineChars="200"/>
        <w:rPr>
          <w:rFonts w:ascii="仿宋" w:hAnsi="仿宋" w:eastAsia="仿宋" w:cs="宋体"/>
          <w:kern w:val="0"/>
          <w:sz w:val="32"/>
          <w:szCs w:val="32"/>
        </w:rPr>
      </w:pPr>
      <w:r>
        <w:rPr>
          <w:rFonts w:hint="eastAsia" w:ascii="仿宋" w:hAnsi="仿宋" w:eastAsia="仿宋"/>
          <w:b/>
          <w:sz w:val="32"/>
          <w:szCs w:val="32"/>
        </w:rPr>
        <w:t>大力加强菜篮子工程建设。</w:t>
      </w:r>
      <w:r>
        <w:rPr>
          <w:rFonts w:hint="eastAsia" w:ascii="仿宋" w:hAnsi="仿宋" w:eastAsia="仿宋" w:cs="宋体"/>
          <w:kern w:val="0"/>
          <w:sz w:val="32"/>
          <w:szCs w:val="32"/>
        </w:rPr>
        <w:t>努力抓好菜篮子工程，保证生产供应，推进产销对接，用不同时令的丰富供给来平抑蔬菜和禽蛋价格；针对旅游城市物价较高、居民生活负担较重的特点，创新居民生活补贴方式，保障普通居民的日常生活。</w:t>
      </w:r>
    </w:p>
    <w:p>
      <w:pPr>
        <w:ind w:firstLine="643" w:firstLineChars="200"/>
        <w:rPr>
          <w:rFonts w:ascii="仿宋" w:hAnsi="仿宋" w:eastAsia="仿宋" w:cs="宋体"/>
          <w:kern w:val="0"/>
          <w:sz w:val="32"/>
          <w:szCs w:val="32"/>
        </w:rPr>
      </w:pPr>
      <w:r>
        <w:rPr>
          <w:rFonts w:hint="eastAsia" w:ascii="仿宋" w:hAnsi="仿宋" w:eastAsia="仿宋"/>
          <w:b/>
          <w:sz w:val="32"/>
          <w:szCs w:val="32"/>
        </w:rPr>
        <w:t>着力抓好扶贫攻坚。</w:t>
      </w:r>
      <w:r>
        <w:rPr>
          <w:rFonts w:hint="eastAsia" w:ascii="仿宋" w:hAnsi="仿宋" w:eastAsia="仿宋" w:cs="宋体"/>
          <w:kern w:val="0"/>
          <w:sz w:val="32"/>
          <w:szCs w:val="32"/>
        </w:rPr>
        <w:t>把扶贫开发作为重要政治任务，通过建档立卡，列出扶贫清单，深入分析致贫原因，以“一对一”模式，为贫困户精准提供特色产业种养、转移就业等脱贫项目，实施精准扶贫、精准脱贫；积极推进农旅结合、村企合作，千方百计协助帮扶村发展特色产业，促进农村经济发展，增加农民收入和持续致富能力；做好农垦扶贫工作，促进农场职工减贫增收，力争提前实现全区全面脱贫目标。</w:t>
      </w:r>
    </w:p>
    <w:p>
      <w:pPr>
        <w:pStyle w:val="4"/>
        <w:shd w:val="clear" w:color="auto" w:fill="FFFFFF"/>
        <w:spacing w:before="240" w:after="120" w:line="360" w:lineRule="auto"/>
        <w:ind w:firstLine="453" w:firstLineChars="141"/>
        <w:rPr>
          <w:rStyle w:val="40"/>
          <w:rFonts w:ascii="仿宋" w:hAnsi="仿宋" w:eastAsia="仿宋"/>
        </w:rPr>
      </w:pPr>
      <w:bookmarkStart w:id="254" w:name="_Toc430341784"/>
      <w:bookmarkStart w:id="255" w:name="_Toc438920991"/>
      <w:bookmarkStart w:id="256" w:name="_Toc30331"/>
      <w:bookmarkStart w:id="257" w:name="_Toc7310"/>
      <w:bookmarkStart w:id="258" w:name="_Toc443339011"/>
      <w:r>
        <w:rPr>
          <w:rStyle w:val="40"/>
          <w:rFonts w:hint="eastAsia" w:ascii="仿宋" w:hAnsi="仿宋" w:eastAsia="仿宋"/>
        </w:rPr>
        <w:t>（四）着力</w:t>
      </w:r>
      <w:bookmarkEnd w:id="254"/>
      <w:r>
        <w:rPr>
          <w:rStyle w:val="40"/>
          <w:rFonts w:hint="eastAsia" w:ascii="仿宋" w:hAnsi="仿宋" w:eastAsia="仿宋"/>
        </w:rPr>
        <w:t>推进基本公共服务均等化</w:t>
      </w:r>
      <w:bookmarkEnd w:id="255"/>
      <w:bookmarkEnd w:id="256"/>
      <w:bookmarkEnd w:id="257"/>
      <w:bookmarkEnd w:id="258"/>
    </w:p>
    <w:p>
      <w:pPr>
        <w:ind w:firstLine="643" w:firstLineChars="200"/>
        <w:rPr>
          <w:rFonts w:ascii="仿宋" w:hAnsi="仿宋" w:eastAsia="仿宋"/>
          <w:sz w:val="32"/>
          <w:szCs w:val="32"/>
        </w:rPr>
      </w:pPr>
      <w:r>
        <w:rPr>
          <w:rFonts w:hint="eastAsia" w:ascii="仿宋" w:hAnsi="仿宋" w:eastAsia="仿宋"/>
          <w:b/>
          <w:sz w:val="32"/>
          <w:szCs w:val="32"/>
        </w:rPr>
        <w:t>大力推进教育资源均衡发展。</w:t>
      </w:r>
      <w:r>
        <w:rPr>
          <w:rFonts w:hint="eastAsia" w:ascii="仿宋" w:hAnsi="仿宋" w:eastAsia="仿宋" w:cs="宋体"/>
          <w:kern w:val="0"/>
          <w:sz w:val="32"/>
          <w:szCs w:val="32"/>
        </w:rPr>
        <w:t>持续加大公共财政投入力度，优先保障中小学校、幼儿园项目建设用地，重点提升区域教育水平。整合优化教育资源配置，普及高中义务教育，以农村学校和城镇薄弱学校为重点，努力实现办学条件标准化和规范化。加快发展学前教育，积极推进公立幼儿园项目建设，鼓励规范民办幼儿园建设，建设一批普惠性幼儿园，提高农村学前教育入学率。鼓励公办学校多种形式办学，通过购买教育服务的方式，努力扩大优质教育资源的覆盖面。加强师资队伍建设，全面提高城乡教育水平。</w:t>
      </w:r>
    </w:p>
    <w:tbl>
      <w:tblPr>
        <w:tblStyle w:val="26"/>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522" w:type="dxa"/>
            <w:tcBorders>
              <w:top w:val="single" w:color="auto" w:sz="4" w:space="0"/>
              <w:bottom w:val="single" w:color="auto" w:sz="4" w:space="0"/>
            </w:tcBorders>
          </w:tcPr>
          <w:p>
            <w:pPr>
              <w:spacing w:line="360" w:lineRule="auto"/>
              <w:jc w:val="center"/>
              <w:rPr>
                <w:rFonts w:ascii="仿宋" w:hAnsi="仿宋" w:eastAsia="仿宋" w:cs="仿宋"/>
                <w:b/>
                <w:bCs/>
                <w:sz w:val="24"/>
              </w:rPr>
            </w:pPr>
            <w:r>
              <w:rPr>
                <w:rFonts w:hint="eastAsia" w:ascii="仿宋" w:hAnsi="仿宋" w:eastAsia="仿宋" w:cs="仿宋"/>
                <w:b/>
                <w:bCs/>
                <w:sz w:val="24"/>
              </w:rPr>
              <w:t>专栏</w:t>
            </w:r>
            <w:r>
              <w:rPr>
                <w:rFonts w:ascii="仿宋" w:hAnsi="仿宋" w:eastAsia="仿宋" w:cs="仿宋"/>
                <w:b/>
                <w:bCs/>
                <w:sz w:val="24"/>
              </w:rPr>
              <w:t xml:space="preserve">15 </w:t>
            </w:r>
            <w:r>
              <w:rPr>
                <w:rFonts w:hint="eastAsia" w:ascii="仿宋" w:hAnsi="仿宋" w:eastAsia="仿宋" w:cs="仿宋"/>
                <w:b/>
                <w:bCs/>
                <w:sz w:val="24"/>
              </w:rPr>
              <w:t>教育项目</w:t>
            </w:r>
          </w:p>
          <w:p>
            <w:pPr>
              <w:numPr>
                <w:ilvl w:val="0"/>
                <w:numId w:val="5"/>
              </w:numPr>
              <w:spacing w:line="360" w:lineRule="auto"/>
              <w:rPr>
                <w:rFonts w:ascii="仿宋" w:hAnsi="仿宋" w:eastAsia="仿宋"/>
                <w:sz w:val="24"/>
                <w:szCs w:val="24"/>
              </w:rPr>
            </w:pPr>
            <w:r>
              <w:rPr>
                <w:rFonts w:hint="eastAsia" w:ascii="仿宋" w:hAnsi="仿宋" w:eastAsia="仿宋"/>
                <w:sz w:val="24"/>
                <w:szCs w:val="24"/>
              </w:rPr>
              <w:t>加快发展学前教育，以提升质量为主，建成</w:t>
            </w:r>
            <w:r>
              <w:rPr>
                <w:rFonts w:ascii="仿宋" w:hAnsi="仿宋" w:eastAsia="仿宋"/>
                <w:sz w:val="24"/>
                <w:szCs w:val="24"/>
              </w:rPr>
              <w:t>8</w:t>
            </w:r>
            <w:r>
              <w:rPr>
                <w:rFonts w:hint="eastAsia" w:ascii="仿宋" w:hAnsi="仿宋" w:eastAsia="仿宋"/>
                <w:sz w:val="24"/>
                <w:szCs w:val="24"/>
              </w:rPr>
              <w:t>家市级示范幼儿园。</w:t>
            </w:r>
          </w:p>
          <w:p>
            <w:pPr>
              <w:spacing w:line="360" w:lineRule="auto"/>
              <w:ind w:left="566"/>
              <w:rPr>
                <w:rFonts w:ascii="仿宋_GB2312" w:hAnsi="仿宋" w:eastAsia="仿宋_GB2312"/>
                <w:sz w:val="28"/>
                <w:szCs w:val="28"/>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）改善学校基础设施，提升中小学教育质量，建成</w:t>
            </w:r>
            <w:r>
              <w:rPr>
                <w:rFonts w:ascii="仿宋" w:hAnsi="仿宋" w:eastAsia="仿宋"/>
                <w:sz w:val="24"/>
                <w:szCs w:val="24"/>
              </w:rPr>
              <w:t>8</w:t>
            </w:r>
            <w:r>
              <w:rPr>
                <w:rFonts w:hint="eastAsia" w:ascii="仿宋" w:hAnsi="仿宋" w:eastAsia="仿宋"/>
                <w:sz w:val="24"/>
                <w:szCs w:val="24"/>
              </w:rPr>
              <w:t>所省级规范化学校。</w:t>
            </w:r>
          </w:p>
        </w:tc>
      </w:tr>
    </w:tbl>
    <w:p>
      <w:pPr>
        <w:ind w:firstLine="640" w:firstLineChars="200"/>
        <w:rPr>
          <w:rFonts w:ascii="仿宋" w:hAnsi="仿宋" w:eastAsia="仿宋"/>
          <w:sz w:val="32"/>
          <w:szCs w:val="32"/>
        </w:rPr>
      </w:pPr>
    </w:p>
    <w:p>
      <w:pPr>
        <w:spacing w:line="360" w:lineRule="auto"/>
        <w:ind w:firstLine="643" w:firstLineChars="200"/>
        <w:rPr>
          <w:rFonts w:ascii="仿宋" w:hAnsi="仿宋" w:eastAsia="仿宋" w:cs="宋体"/>
          <w:kern w:val="0"/>
          <w:sz w:val="32"/>
          <w:szCs w:val="32"/>
        </w:rPr>
      </w:pPr>
      <w:r>
        <w:rPr>
          <w:rFonts w:hint="eastAsia" w:ascii="仿宋" w:hAnsi="仿宋" w:eastAsia="仿宋"/>
          <w:b/>
          <w:sz w:val="32"/>
          <w:szCs w:val="32"/>
        </w:rPr>
        <w:t>加快完善城乡医疗卫生服务体系。</w:t>
      </w:r>
      <w:r>
        <w:rPr>
          <w:rFonts w:hint="eastAsia" w:ascii="仿宋" w:hAnsi="仿宋" w:eastAsia="仿宋" w:cs="宋体"/>
          <w:kern w:val="0"/>
          <w:sz w:val="32"/>
          <w:szCs w:val="32"/>
        </w:rPr>
        <w:t>加大公共财政投入力度，按照每千人配置一个乡村医生、就近就医的原则，合理规划建设村（社区）卫生服务中心，做好市医院与村（社区）卫生服务中心的对口帮扶工作。在旧城改造、城边村改造、棚户区改造以及大型住宅小区建设过程中，配套建设卫生保健室，配备相应的保健医生和医护卫生人员。进一步促进分级诊疗服务工作的深入开展，加强村（社区）卫生服务中心与三亚市医院的紧密合作，逐步形成首诊在社区、大病进医院、康复回基层的双向回转模式。</w:t>
      </w:r>
    </w:p>
    <w:p>
      <w:pPr>
        <w:spacing w:line="360" w:lineRule="auto"/>
        <w:ind w:firstLine="643" w:firstLineChars="200"/>
        <w:rPr>
          <w:rFonts w:ascii="仿宋" w:hAnsi="仿宋" w:eastAsia="仿宋" w:cs="宋体"/>
          <w:kern w:val="0"/>
          <w:sz w:val="32"/>
          <w:szCs w:val="32"/>
        </w:rPr>
      </w:pPr>
      <w:r>
        <w:rPr>
          <w:rFonts w:hint="eastAsia" w:ascii="仿宋" w:hAnsi="仿宋" w:eastAsia="仿宋"/>
          <w:b/>
          <w:sz w:val="32"/>
          <w:szCs w:val="32"/>
        </w:rPr>
        <w:t>强化城乡基本公共文体服务。</w:t>
      </w:r>
      <w:r>
        <w:rPr>
          <w:rFonts w:hint="eastAsia" w:ascii="仿宋" w:hAnsi="仿宋" w:eastAsia="仿宋" w:cs="宋体"/>
          <w:kern w:val="0"/>
          <w:sz w:val="32"/>
          <w:szCs w:val="32"/>
        </w:rPr>
        <w:t>积极规划建设、合理布局全区健身活动中心，打造城市体育服务综合体，推动体育与住宅、旅游、休闲、商业综合开发，提高体育公共服务设施覆盖率。以社区为单位，加强公共文化服务设施建设，不断完善区</w:t>
      </w:r>
      <w:r>
        <w:rPr>
          <w:rFonts w:ascii="仿宋" w:hAnsi="仿宋" w:eastAsia="仿宋" w:cs="宋体"/>
          <w:kern w:val="0"/>
          <w:sz w:val="32"/>
          <w:szCs w:val="32"/>
        </w:rPr>
        <w:t>-</w:t>
      </w:r>
      <w:r>
        <w:rPr>
          <w:rFonts w:hint="eastAsia" w:ascii="仿宋" w:hAnsi="仿宋" w:eastAsia="仿宋" w:cs="宋体"/>
          <w:kern w:val="0"/>
          <w:sz w:val="32"/>
          <w:szCs w:val="32"/>
        </w:rPr>
        <w:t>村（社区）公共文化设施网络。深入实施文化惠民工程，进一步开展一系列有特色的文化下乡活动，丰富农村文化体育生活。大力挖掘和弘扬吉阳本土文化，打造本土文化品牌和地方群众文化品牌。加强民族民间文化保护、传承与发展。</w:t>
      </w:r>
    </w:p>
    <w:p>
      <w:pPr>
        <w:ind w:firstLine="643" w:firstLineChars="200"/>
        <w:rPr>
          <w:rFonts w:ascii="仿宋" w:hAnsi="仿宋" w:eastAsia="仿宋" w:cs="宋体"/>
          <w:kern w:val="0"/>
          <w:sz w:val="32"/>
          <w:szCs w:val="32"/>
        </w:rPr>
      </w:pPr>
      <w:r>
        <w:rPr>
          <w:rFonts w:hint="eastAsia" w:ascii="仿宋" w:hAnsi="仿宋" w:eastAsia="仿宋"/>
          <w:b/>
          <w:sz w:val="32"/>
          <w:szCs w:val="32"/>
        </w:rPr>
        <w:t>加快完善城乡社会保障体系。</w:t>
      </w:r>
      <w:r>
        <w:rPr>
          <w:rFonts w:hint="eastAsia" w:ascii="仿宋" w:hAnsi="仿宋" w:eastAsia="仿宋" w:cs="宋体"/>
          <w:kern w:val="0"/>
          <w:sz w:val="32"/>
          <w:szCs w:val="32"/>
        </w:rPr>
        <w:t>做好机关事业单位养老保险制度改革工作，加快医疗保障体系的建立和完善，推动城镇基本医疗保险、新型农村合作医疗、重大疾病保险救助全覆盖；完善城乡居民新型养老保险、失业保险、低保正常调整机制；健全城乡社会救助体系，以敬老院、社会福利院、残疾人康复中心等公益机构为依托解决好特定群体的个性化难题；加快保障房建设和农村危房改造，加强失地农民的基本生活保障，最大限度地保障城乡居民的基本权益；根据市场需求，大力开展有针对性的职业技术培训，努力为群众提供更加方便、快捷、具体的劳动就业服务；鼓励以创业带动就业</w:t>
      </w:r>
      <w:r>
        <w:rPr>
          <w:rFonts w:ascii="仿宋" w:hAnsi="仿宋" w:eastAsia="仿宋" w:cs="宋体"/>
          <w:kern w:val="0"/>
          <w:sz w:val="32"/>
          <w:szCs w:val="32"/>
        </w:rPr>
        <w:t>,</w:t>
      </w:r>
      <w:r>
        <w:rPr>
          <w:rFonts w:hint="eastAsia" w:ascii="仿宋" w:hAnsi="仿宋" w:eastAsia="仿宋" w:cs="宋体"/>
          <w:kern w:val="0"/>
          <w:sz w:val="32"/>
          <w:szCs w:val="32"/>
        </w:rPr>
        <w:t>对城乡居民自主创业予以鼓励和扶持。</w:t>
      </w:r>
    </w:p>
    <w:p>
      <w:pPr>
        <w:ind w:firstLine="643" w:firstLineChars="200"/>
        <w:rPr>
          <w:rFonts w:ascii="仿宋" w:hAnsi="仿宋" w:eastAsia="仿宋"/>
          <w:sz w:val="32"/>
          <w:szCs w:val="32"/>
        </w:rPr>
      </w:pPr>
      <w:r>
        <w:rPr>
          <w:rFonts w:hint="eastAsia" w:ascii="仿宋" w:hAnsi="仿宋" w:eastAsia="仿宋"/>
          <w:b/>
          <w:sz w:val="32"/>
          <w:szCs w:val="32"/>
        </w:rPr>
        <w:t>加强养老服务体系建设。</w:t>
      </w:r>
      <w:r>
        <w:rPr>
          <w:rFonts w:hint="eastAsia" w:ascii="仿宋" w:hAnsi="仿宋" w:eastAsia="仿宋" w:cs="宋体"/>
          <w:kern w:val="0"/>
          <w:sz w:val="32"/>
          <w:szCs w:val="32"/>
        </w:rPr>
        <w:t>根据吉阳区老年人口规模大的特点，加快养老服务体系建设。鼓励家庭养老、社区养老、社会化养老等多种形式发展，积极推进城市和农村社区建立居家养老服务中心，鼓励引导社会资本进入养老服务领域，采取“政府购买</w:t>
      </w:r>
      <w:r>
        <w:rPr>
          <w:rFonts w:ascii="仿宋" w:hAnsi="仿宋" w:eastAsia="仿宋" w:cs="宋体"/>
          <w:kern w:val="0"/>
          <w:sz w:val="32"/>
          <w:szCs w:val="32"/>
        </w:rPr>
        <w:t>+</w:t>
      </w:r>
      <w:r>
        <w:rPr>
          <w:rFonts w:hint="eastAsia" w:ascii="仿宋" w:hAnsi="仿宋" w:eastAsia="仿宋" w:cs="宋体"/>
          <w:kern w:val="0"/>
          <w:sz w:val="32"/>
          <w:szCs w:val="32"/>
        </w:rPr>
        <w:t>社会力量供给</w:t>
      </w:r>
      <w:r>
        <w:rPr>
          <w:rFonts w:ascii="仿宋" w:hAnsi="仿宋" w:eastAsia="仿宋" w:cs="宋体"/>
          <w:kern w:val="0"/>
          <w:sz w:val="32"/>
          <w:szCs w:val="32"/>
        </w:rPr>
        <w:t>+</w:t>
      </w:r>
      <w:r>
        <w:rPr>
          <w:rFonts w:hint="eastAsia" w:ascii="仿宋" w:hAnsi="仿宋" w:eastAsia="仿宋" w:cs="宋体"/>
          <w:kern w:val="0"/>
          <w:sz w:val="32"/>
          <w:szCs w:val="32"/>
        </w:rPr>
        <w:t>政府监管”的形式，创新养老服务形式。</w:t>
      </w:r>
    </w:p>
    <w:p>
      <w:pPr>
        <w:ind w:firstLine="643" w:firstLineChars="200"/>
        <w:rPr>
          <w:rFonts w:ascii="仿宋" w:hAnsi="仿宋" w:eastAsia="仿宋" w:cs="宋体"/>
          <w:kern w:val="0"/>
          <w:sz w:val="32"/>
          <w:szCs w:val="32"/>
        </w:rPr>
      </w:pPr>
      <w:r>
        <w:rPr>
          <w:rFonts w:hint="eastAsia" w:ascii="仿宋" w:hAnsi="仿宋" w:eastAsia="仿宋"/>
          <w:b/>
          <w:sz w:val="32"/>
          <w:szCs w:val="32"/>
        </w:rPr>
        <w:t>进一步维护残疾人合法权益</w:t>
      </w:r>
      <w:r>
        <w:rPr>
          <w:rFonts w:hint="eastAsia" w:ascii="仿宋" w:hAnsi="仿宋" w:eastAsia="仿宋"/>
          <w:sz w:val="32"/>
          <w:szCs w:val="32"/>
        </w:rPr>
        <w:t>。</w:t>
      </w:r>
      <w:r>
        <w:rPr>
          <w:rFonts w:hint="eastAsia" w:ascii="仿宋" w:hAnsi="仿宋" w:eastAsia="仿宋" w:cs="宋体"/>
          <w:kern w:val="0"/>
          <w:sz w:val="32"/>
          <w:szCs w:val="32"/>
        </w:rPr>
        <w:t>积极推动政府各个部门、社会各个方面认真、自觉地贯彻以《残疾人保障法》为重点的相关法律法规，积极贯彻落实残疾人个人就业税费减免、各单位按比例安置残疾人就业、优先就业、同工同酬、劳动保障等政策法规，切实保障残疾人的劳动权益。</w:t>
      </w:r>
    </w:p>
    <w:p>
      <w:pPr>
        <w:autoSpaceDE w:val="0"/>
        <w:autoSpaceDN w:val="0"/>
        <w:adjustRightInd w:val="0"/>
        <w:ind w:firstLine="602" w:firstLineChars="200"/>
        <w:jc w:val="left"/>
        <w:rPr>
          <w:rFonts w:ascii="仿宋" w:hAnsi="仿宋" w:eastAsia="仿宋" w:cs="仿宋"/>
          <w:b/>
          <w:kern w:val="0"/>
          <w:sz w:val="32"/>
          <w:szCs w:val="32"/>
        </w:rPr>
      </w:pPr>
      <w:r>
        <w:rPr>
          <w:rFonts w:hint="eastAsia" w:ascii="仿宋" w:hAnsi="仿宋" w:eastAsia="仿宋" w:cs="仿宋"/>
          <w:b/>
          <w:kern w:val="0"/>
          <w:sz w:val="30"/>
          <w:szCs w:val="30"/>
        </w:rPr>
        <w:t>（五）</w:t>
      </w:r>
      <w:r>
        <w:rPr>
          <w:rFonts w:hint="eastAsia" w:ascii="仿宋" w:hAnsi="仿宋" w:eastAsia="仿宋" w:cs="仿宋"/>
          <w:b/>
          <w:kern w:val="0"/>
          <w:sz w:val="32"/>
          <w:szCs w:val="32"/>
        </w:rPr>
        <w:t>促进人口长期均衡发展</w:t>
      </w:r>
    </w:p>
    <w:p>
      <w:pPr>
        <w:autoSpaceDE w:val="0"/>
        <w:autoSpaceDN w:val="0"/>
        <w:adjustRightInd w:val="0"/>
        <w:ind w:firstLine="643" w:firstLineChars="200"/>
        <w:jc w:val="left"/>
        <w:rPr>
          <w:rFonts w:ascii="仿宋" w:hAnsi="仿宋" w:eastAsia="仿宋" w:cs="仿宋"/>
          <w:b/>
          <w:kern w:val="0"/>
          <w:sz w:val="32"/>
          <w:szCs w:val="32"/>
        </w:rPr>
      </w:pPr>
      <w:r>
        <w:rPr>
          <w:rFonts w:hint="eastAsia" w:ascii="仿宋" w:hAnsi="仿宋" w:eastAsia="仿宋" w:cs="仿宋"/>
          <w:b/>
          <w:kern w:val="0"/>
          <w:sz w:val="32"/>
          <w:szCs w:val="32"/>
        </w:rPr>
        <w:t>计划生育工作规划背景。</w:t>
      </w:r>
      <w:r>
        <w:rPr>
          <w:rFonts w:hint="eastAsia" w:ascii="仿宋" w:hAnsi="仿宋" w:eastAsia="仿宋" w:cs="仿宋"/>
          <w:kern w:val="0"/>
          <w:sz w:val="32"/>
          <w:szCs w:val="32"/>
        </w:rPr>
        <w:t>党的十八大以来，以习近平同志为核心的党中央着眼人口与经济社会发展全局，强调坚持计划生育基本国策、逐步调整完善生育政策、促进人口长期均衡发展，作出一系列重大决策部署，开创了计划生育事业的新篇章。生育政策调整完善迈出历史性步伐，单独两孩政策平稳落地，全面两孩政策启动实施；卫生计生机构改革积极推进，资源整合初显成效；计划生育服务管理改革深入开展，依法行政水平明显提高；</w:t>
      </w:r>
    </w:p>
    <w:p>
      <w:pPr>
        <w:autoSpaceDE w:val="0"/>
        <w:autoSpaceDN w:val="0"/>
        <w:adjustRightInd w:val="0"/>
        <w:ind w:firstLine="643" w:firstLineChars="200"/>
        <w:jc w:val="left"/>
        <w:rPr>
          <w:rFonts w:ascii="仿宋" w:hAnsi="仿宋" w:eastAsia="仿宋" w:cs="仿宋"/>
          <w:kern w:val="0"/>
          <w:sz w:val="32"/>
          <w:szCs w:val="32"/>
        </w:rPr>
      </w:pPr>
      <w:r>
        <w:rPr>
          <w:rFonts w:hint="eastAsia" w:ascii="仿宋" w:hAnsi="仿宋" w:eastAsia="仿宋" w:cs="仿宋"/>
          <w:b/>
          <w:kern w:val="0"/>
          <w:sz w:val="32"/>
          <w:szCs w:val="32"/>
        </w:rPr>
        <w:t>计生生育工作指导思想和发展目标。</w:t>
      </w:r>
      <w:r>
        <w:rPr>
          <w:rFonts w:hint="eastAsia" w:ascii="仿宋" w:hAnsi="仿宋" w:eastAsia="仿宋" w:cs="仿宋"/>
          <w:kern w:val="0"/>
          <w:sz w:val="32"/>
          <w:szCs w:val="32"/>
        </w:rPr>
        <w:t>“十三五”时期是实施好全面两孩政策、促进计划生育工作转型发展的关键时期。一方面，我区经济保持稳健增长，社会治理能力不断提高，民生领域投入继续加大，为计划生育事业发展提供了物质基础和有利的外部环境。生育政策调整完善，卫生计生资源优化整合，为计划生育事业创新发展提供了更为广阔的平台。另一方面，我区人口结构优化程度不高，实现人口均衡发展需要付出长期艰苦的努力。实施全面两孩政策的配套公共服务和相关经济社会政策还不完善，计划生育服务管理能力有待提高，计划生育特殊家庭扶助保障问题仍较突出，流动人口基本公共卫生计生服务均等化存在一定差距。做好新时期计划生育工作任务更重、要求更高、难度更大。</w:t>
      </w:r>
    </w:p>
    <w:p>
      <w:pPr>
        <w:autoSpaceDE w:val="0"/>
        <w:autoSpaceDN w:val="0"/>
        <w:adjustRightInd w:val="0"/>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十三五”时期，必须围绕全面建成小康社会这个目标，坚持计划生育基本国策，实施好全面两孩政策，创新计划生育服务管理的体制机制和方式方法，最大限度发挥人口对经济社会发展的能动作用，为全面建成小康社会创造良好的人口环境。坚持以人为本</w:t>
      </w:r>
      <w:r>
        <w:rPr>
          <w:rFonts w:ascii="仿宋" w:hAnsi="仿宋" w:eastAsia="仿宋" w:cs="仿宋"/>
          <w:kern w:val="0"/>
          <w:sz w:val="32"/>
          <w:szCs w:val="32"/>
        </w:rPr>
        <w:t>,</w:t>
      </w:r>
      <w:r>
        <w:rPr>
          <w:rFonts w:hint="eastAsia" w:ascii="仿宋" w:hAnsi="仿宋" w:eastAsia="仿宋" w:cs="仿宋"/>
          <w:kern w:val="0"/>
          <w:sz w:val="32"/>
          <w:szCs w:val="32"/>
        </w:rPr>
        <w:t>尊重家庭在计划生育中的主体地位，不断满足群众计划生育服务需求，积极构建鼓励按政策生育的制度环境，维护群众实行计划生育的合法权益。逐步健全妇幼健康服务体系，基本实现人人享有计划生育优质服务。计划生育目标管理责任制考核体系和运行机制进一步完善，计划生育多元共治新格局基本建立，计划生育治理能力全面提升。不断加强部门协同，合理配置妇幼保健、儿童照料、学前和中小学教育、社会保障等资源，满足新增公共服务需求。确保人口年均自然增长率在</w:t>
      </w:r>
      <w:r>
        <w:rPr>
          <w:rFonts w:ascii="仿宋" w:hAnsi="仿宋" w:eastAsia="仿宋" w:cs="仿宋"/>
          <w:kern w:val="0"/>
          <w:sz w:val="32"/>
          <w:szCs w:val="32"/>
        </w:rPr>
        <w:t>6</w:t>
      </w:r>
      <w:r>
        <w:rPr>
          <w:rFonts w:hint="eastAsia" w:ascii="仿宋" w:hAnsi="仿宋" w:eastAsia="仿宋" w:cs="仿宋"/>
          <w:kern w:val="0"/>
          <w:sz w:val="32"/>
          <w:szCs w:val="32"/>
        </w:rPr>
        <w:t>‰左右，出生人口性别比下降到</w:t>
      </w:r>
      <w:r>
        <w:rPr>
          <w:rFonts w:ascii="仿宋" w:hAnsi="仿宋" w:eastAsia="仿宋" w:cs="仿宋"/>
          <w:kern w:val="0"/>
          <w:sz w:val="32"/>
          <w:szCs w:val="32"/>
        </w:rPr>
        <w:t>112</w:t>
      </w:r>
      <w:r>
        <w:rPr>
          <w:rFonts w:hint="eastAsia" w:ascii="仿宋" w:hAnsi="仿宋" w:eastAsia="仿宋" w:cs="仿宋"/>
          <w:kern w:val="0"/>
          <w:sz w:val="32"/>
          <w:szCs w:val="32"/>
        </w:rPr>
        <w:t>以下。</w:t>
      </w:r>
    </w:p>
    <w:p>
      <w:pPr>
        <w:autoSpaceDE w:val="0"/>
        <w:autoSpaceDN w:val="0"/>
        <w:adjustRightInd w:val="0"/>
        <w:ind w:firstLine="636" w:firstLineChars="198"/>
        <w:jc w:val="left"/>
        <w:rPr>
          <w:rFonts w:ascii="仿宋" w:hAnsi="仿宋" w:eastAsia="仿宋" w:cs="仿宋"/>
          <w:kern w:val="0"/>
          <w:sz w:val="32"/>
          <w:szCs w:val="32"/>
        </w:rPr>
      </w:pPr>
      <w:r>
        <w:rPr>
          <w:rFonts w:hint="eastAsia" w:ascii="仿宋" w:hAnsi="仿宋" w:eastAsia="仿宋" w:cs="仿宋"/>
          <w:b/>
          <w:kern w:val="0"/>
          <w:sz w:val="32"/>
          <w:szCs w:val="32"/>
        </w:rPr>
        <w:t>计生生育工作具体任务。</w:t>
      </w:r>
      <w:r>
        <w:rPr>
          <w:rFonts w:hint="eastAsia" w:ascii="仿宋" w:hAnsi="仿宋" w:eastAsia="仿宋" w:cs="仿宋"/>
          <w:kern w:val="0"/>
          <w:sz w:val="32"/>
          <w:szCs w:val="32"/>
        </w:rPr>
        <w:t>实施好全面两孩政策；强化计划生育基层基础工作；提升妇幼健康计划生育服务水平；提高计划生育家庭发展能力；综合治理出生人口性别比偏高问题；完善流动人口服务管理工作机制；加强信息化建设，加强部门间信息共享机制；持续深入开展宣传倡导；健全财政资金投入机制。</w:t>
      </w:r>
    </w:p>
    <w:p>
      <w:pPr>
        <w:autoSpaceDE w:val="0"/>
        <w:autoSpaceDN w:val="0"/>
        <w:adjustRightInd w:val="0"/>
        <w:ind w:firstLine="633" w:firstLineChars="198"/>
        <w:jc w:val="left"/>
        <w:rPr>
          <w:rFonts w:ascii="宋体" w:cs="黑体"/>
          <w:b/>
          <w:kern w:val="0"/>
          <w:sz w:val="32"/>
          <w:szCs w:val="32"/>
        </w:rPr>
      </w:pPr>
      <w:r>
        <w:rPr>
          <w:rFonts w:hint="eastAsia" w:ascii="仿宋" w:hAnsi="仿宋" w:eastAsia="仿宋" w:cs="仿宋"/>
          <w:kern w:val="0"/>
          <w:sz w:val="32"/>
          <w:szCs w:val="32"/>
        </w:rPr>
        <w:t>完善计划生育投入机制，加大扶助保障力度，支持改革完善计划生育服务管理，大力支持计划生育、优生优育、生殖健康领域的基础工作和设施建设。鼓励社会力量进入，建立多渠道筹资机制。</w:t>
      </w:r>
    </w:p>
    <w:p>
      <w:pPr>
        <w:snapToGrid w:val="0"/>
        <w:spacing w:line="360" w:lineRule="auto"/>
        <w:ind w:firstLine="560"/>
        <w:jc w:val="left"/>
        <w:rPr>
          <w:rFonts w:ascii="仿宋" w:hAnsi="仿宋" w:eastAsia="仿宋" w:cs="仿宋"/>
          <w:sz w:val="32"/>
          <w:szCs w:val="32"/>
        </w:rPr>
      </w:pPr>
    </w:p>
    <w:p>
      <w:pPr>
        <w:pStyle w:val="2"/>
        <w:spacing w:before="480" w:after="240" w:line="360" w:lineRule="auto"/>
        <w:jc w:val="center"/>
        <w:rPr>
          <w:rFonts w:ascii="仿宋" w:hAnsi="仿宋" w:eastAsia="仿宋"/>
          <w:sz w:val="40"/>
          <w:szCs w:val="32"/>
        </w:rPr>
      </w:pPr>
      <w:bookmarkStart w:id="259" w:name="_Toc443339012"/>
      <w:bookmarkStart w:id="260" w:name="_Toc430344856"/>
      <w:bookmarkStart w:id="261" w:name="_Toc31695"/>
      <w:bookmarkStart w:id="262" w:name="_Toc14423"/>
      <w:r>
        <w:rPr>
          <w:rFonts w:hint="eastAsia" w:ascii="仿宋" w:hAnsi="仿宋" w:eastAsia="仿宋"/>
          <w:sz w:val="40"/>
          <w:szCs w:val="32"/>
        </w:rPr>
        <w:t>第七部分</w:t>
      </w:r>
      <w:r>
        <w:rPr>
          <w:rFonts w:ascii="仿宋" w:hAnsi="仿宋" w:eastAsia="仿宋"/>
          <w:sz w:val="40"/>
          <w:szCs w:val="32"/>
        </w:rPr>
        <w:t xml:space="preserve">  </w:t>
      </w:r>
      <w:r>
        <w:rPr>
          <w:rFonts w:hint="eastAsia" w:ascii="仿宋" w:hAnsi="仿宋" w:eastAsia="仿宋"/>
          <w:sz w:val="40"/>
          <w:szCs w:val="32"/>
        </w:rPr>
        <w:t>规划实施保障</w:t>
      </w:r>
      <w:bookmarkEnd w:id="259"/>
      <w:bookmarkEnd w:id="260"/>
      <w:bookmarkEnd w:id="261"/>
      <w:bookmarkEnd w:id="262"/>
    </w:p>
    <w:p>
      <w:pPr>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为确保“十三五”规划有效实施，必须建立执行有力、落实有效的规划实施保障机制，更好地发挥规划对吉阳区经济社会发展的指导作用。</w:t>
      </w:r>
    </w:p>
    <w:p>
      <w:pPr>
        <w:pStyle w:val="3"/>
        <w:spacing w:before="480" w:after="240" w:line="360" w:lineRule="auto"/>
        <w:rPr>
          <w:rFonts w:ascii="仿宋" w:hAnsi="仿宋" w:eastAsia="仿宋" w:cs="宋体"/>
          <w:kern w:val="0"/>
          <w:sz w:val="36"/>
        </w:rPr>
      </w:pPr>
      <w:bookmarkStart w:id="263" w:name="_Toc442334226"/>
      <w:bookmarkStart w:id="264" w:name="_Toc443339013"/>
      <w:bookmarkStart w:id="265" w:name="_Toc4952"/>
      <w:bookmarkStart w:id="266" w:name="_Toc21904"/>
      <w:bookmarkStart w:id="267" w:name="_Toc428913715"/>
      <w:r>
        <w:rPr>
          <w:rFonts w:hint="eastAsia" w:ascii="仿宋" w:hAnsi="仿宋" w:eastAsia="仿宋" w:cs="宋体"/>
          <w:kern w:val="0"/>
          <w:sz w:val="36"/>
        </w:rPr>
        <w:t>一、加强党的领导</w:t>
      </w:r>
      <w:bookmarkEnd w:id="263"/>
      <w:bookmarkEnd w:id="264"/>
      <w:bookmarkEnd w:id="265"/>
      <w:bookmarkEnd w:id="266"/>
    </w:p>
    <w:p>
      <w:pPr>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充分发挥党的核心领导作用，严格落实</w:t>
      </w:r>
      <w:r>
        <w:rPr>
          <w:rFonts w:hint="eastAsia" w:ascii="仿宋" w:hAnsi="仿宋" w:eastAsia="仿宋" w:cs="宋体"/>
          <w:kern w:val="0"/>
          <w:sz w:val="32"/>
          <w:szCs w:val="32"/>
          <w:lang w:eastAsia="zh-CN"/>
        </w:rPr>
        <w:t>全面</w:t>
      </w:r>
      <w:r>
        <w:rPr>
          <w:rFonts w:hint="eastAsia" w:ascii="仿宋" w:hAnsi="仿宋" w:eastAsia="仿宋" w:cs="宋体"/>
          <w:kern w:val="0"/>
          <w:sz w:val="32"/>
          <w:szCs w:val="32"/>
        </w:rPr>
        <w:t>从严治党主体责任，加强领导班子和干部队伍建设。坚持在工作一线考察和识别干部，持之以恒抓好作风建设和能力建设，同时加大人才引进力度，切实提高干部队伍的综合素质和各级党委领导经济社会发展的能力，打造一支政治强、敢担当、正气足，善打仗的干部队伍。继续加强基层组织建设，推进村级组织阵地标准化和管理规范化，发挥好基层党组织联系服务群众的“最后一公里”和战斗堡垒作用，教育和引导广大党员干部始终做到心中有党、心中有民、心中有责、心中有戒，在国民经济与社会发展中勇担重任、攻坚克难。</w:t>
      </w:r>
    </w:p>
    <w:p>
      <w:pPr>
        <w:pStyle w:val="3"/>
        <w:spacing w:before="480" w:after="240" w:line="360" w:lineRule="auto"/>
        <w:rPr>
          <w:rFonts w:ascii="仿宋" w:hAnsi="仿宋" w:eastAsia="仿宋" w:cs="宋体"/>
          <w:kern w:val="0"/>
          <w:sz w:val="36"/>
        </w:rPr>
      </w:pPr>
      <w:bookmarkStart w:id="268" w:name="_Toc2060"/>
      <w:bookmarkStart w:id="269" w:name="_Toc21105"/>
      <w:bookmarkStart w:id="270" w:name="_Toc443339014"/>
      <w:r>
        <w:rPr>
          <w:rFonts w:hint="eastAsia" w:ascii="仿宋" w:hAnsi="仿宋" w:eastAsia="仿宋" w:cs="宋体"/>
          <w:kern w:val="0"/>
          <w:sz w:val="36"/>
        </w:rPr>
        <w:t>二、加强“多规合一”</w:t>
      </w:r>
      <w:bookmarkEnd w:id="268"/>
      <w:bookmarkEnd w:id="269"/>
      <w:bookmarkEnd w:id="270"/>
    </w:p>
    <w:p>
      <w:pPr>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根据全市推进“多规合一”的总体工作部署，统筹协调吉阳区国民经济和社会发展规划、空间规划、土地利用规划、生态环境保护规划、产业发展规划等，划定生态保护区、永久基本农田等各类管控红线，协调好农垦用地、特殊用地与规划实施管理的关系，合理安排产业发展、功能布局和土地开发利用，形成引领全区建设发展的一张蓝图，保证吉阳区建设的长期性和有序性。</w:t>
      </w:r>
    </w:p>
    <w:bookmarkEnd w:id="267"/>
    <w:p>
      <w:pPr>
        <w:pStyle w:val="3"/>
        <w:spacing w:before="480" w:after="240" w:line="360" w:lineRule="auto"/>
        <w:rPr>
          <w:rFonts w:ascii="仿宋" w:hAnsi="仿宋" w:eastAsia="仿宋" w:cs="宋体"/>
          <w:kern w:val="0"/>
          <w:sz w:val="36"/>
        </w:rPr>
      </w:pPr>
      <w:bookmarkStart w:id="271" w:name="_Toc11092"/>
      <w:bookmarkStart w:id="272" w:name="_Toc443339015"/>
      <w:bookmarkStart w:id="273" w:name="_Toc8827"/>
      <w:r>
        <w:rPr>
          <w:rFonts w:hint="eastAsia" w:ascii="仿宋" w:hAnsi="仿宋" w:eastAsia="仿宋" w:cs="宋体"/>
          <w:kern w:val="0"/>
          <w:sz w:val="36"/>
        </w:rPr>
        <w:t>三、加强组织保障</w:t>
      </w:r>
      <w:bookmarkEnd w:id="271"/>
      <w:bookmarkEnd w:id="272"/>
      <w:bookmarkEnd w:id="273"/>
    </w:p>
    <w:p>
      <w:pPr>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成立由区主要领导牵头、各部门主要领导参加的规划实施领导小组，在区委、区政府的统一领导下，协调解决规划实施中的重大问题，完善横向联动机制，督导制度，确保全区“一盘棋”。规划中确定的目标任务，要按照分工负责的原则，列入相关单位、部门年度工作计划，制定年度重大事项实施方案并组织落实。每年需要重点推进的重大事项，要落实到具体牵头责任单位和责任人，确保规划目标任务有计划、有步骤地落实。</w:t>
      </w:r>
    </w:p>
    <w:p>
      <w:pPr>
        <w:pStyle w:val="3"/>
        <w:spacing w:before="480" w:after="240" w:line="360" w:lineRule="auto"/>
        <w:rPr>
          <w:rFonts w:ascii="仿宋" w:hAnsi="仿宋" w:eastAsia="仿宋" w:cs="宋体"/>
          <w:kern w:val="0"/>
          <w:sz w:val="36"/>
        </w:rPr>
      </w:pPr>
      <w:bookmarkStart w:id="274" w:name="_Toc428913717"/>
      <w:bookmarkStart w:id="275" w:name="_Toc3194"/>
      <w:bookmarkStart w:id="276" w:name="_Toc10309"/>
      <w:bookmarkStart w:id="277" w:name="_Toc443339016"/>
      <w:r>
        <w:rPr>
          <w:rFonts w:hint="eastAsia" w:ascii="仿宋" w:hAnsi="仿宋" w:eastAsia="仿宋" w:cs="宋体"/>
          <w:kern w:val="0"/>
          <w:sz w:val="36"/>
        </w:rPr>
        <w:t>四、加强项目</w:t>
      </w:r>
      <w:bookmarkEnd w:id="274"/>
      <w:r>
        <w:rPr>
          <w:rFonts w:hint="eastAsia" w:ascii="仿宋" w:hAnsi="仿宋" w:eastAsia="仿宋" w:cs="宋体"/>
          <w:kern w:val="0"/>
          <w:sz w:val="36"/>
        </w:rPr>
        <w:t>支撑</w:t>
      </w:r>
      <w:bookmarkEnd w:id="275"/>
      <w:bookmarkEnd w:id="276"/>
      <w:bookmarkEnd w:id="277"/>
    </w:p>
    <w:p>
      <w:pPr>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围绕本规划确定的重点任务、重点领域和重点区域，精心组织、集中力量实施一批重大项目，充分发挥项目对规划实施的支撑作用。一是完善重大项目储备机制，做到基础设施项目适度超前，产业发展项目确保重点，公共服务项目优化布局，同时力争将对吉阳区发展具有重要意义的项目纳入省市两级重点项目库。二是实施重大项目目标责任制，加强全过程管理和科学化、精细化管理，提高重点项目建设的协调服务水平。三是加强项目建设的审核监督，确保质量、安全和工期。</w:t>
      </w:r>
    </w:p>
    <w:p>
      <w:pPr>
        <w:pStyle w:val="3"/>
        <w:spacing w:before="480" w:after="240" w:line="360" w:lineRule="auto"/>
        <w:rPr>
          <w:rFonts w:ascii="仿宋" w:hAnsi="仿宋" w:eastAsia="仿宋" w:cs="宋体"/>
          <w:kern w:val="0"/>
          <w:sz w:val="36"/>
        </w:rPr>
      </w:pPr>
      <w:bookmarkStart w:id="278" w:name="_Toc31176"/>
      <w:bookmarkStart w:id="279" w:name="_Toc443339017"/>
      <w:bookmarkStart w:id="280" w:name="_Toc30743"/>
      <w:r>
        <w:rPr>
          <w:rFonts w:hint="eastAsia" w:ascii="仿宋" w:hAnsi="仿宋" w:eastAsia="仿宋" w:cs="宋体"/>
          <w:kern w:val="0"/>
          <w:sz w:val="36"/>
        </w:rPr>
        <w:t>五、加强监督评估</w:t>
      </w:r>
      <w:bookmarkEnd w:id="278"/>
      <w:bookmarkEnd w:id="279"/>
      <w:bookmarkEnd w:id="280"/>
    </w:p>
    <w:p>
      <w:pPr>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做好对规划实施效果及各项重点任务、政策措施和重大项目实施情况的跟踪监测，认真开展定期检查和组织中期评估，科学分析评价规划实施效果，做好重大战略问题的跟进研究，及时提出改进建议，促进规划落实和目标实现。</w:t>
      </w:r>
    </w:p>
    <w:bookmarkEnd w:id="93"/>
    <w:p>
      <w:pPr>
        <w:rPr>
          <w:rFonts w:ascii="仿宋" w:hAnsi="仿宋" w:eastAsia="仿宋" w:cs="宋体"/>
          <w:kern w:val="0"/>
          <w:sz w:val="32"/>
          <w:szCs w:val="32"/>
        </w:rPr>
      </w:pPr>
    </w:p>
    <w:sectPr>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ourier New">
    <w:panose1 w:val="02070309020205020404"/>
    <w:charset w:val="00"/>
    <w:family w:val="roman"/>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Times">
    <w:altName w:val="Times New Roman"/>
    <w:panose1 w:val="02020603050405020304"/>
    <w:charset w:val="00"/>
    <w:family w:val="decorative"/>
    <w:pitch w:val="default"/>
    <w:sig w:usb0="00000000" w:usb1="00000000" w:usb2="00000009" w:usb3="00000000" w:csb0="000001F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roman"/>
    <w:pitch w:val="default"/>
    <w:sig w:usb0="800002BF" w:usb1="38CF7CFA" w:usb2="00000016" w:usb3="00000000" w:csb0="00040001" w:csb1="00000000"/>
  </w:font>
  <w:font w:name="华文宋体">
    <w:altName w:val="宋体"/>
    <w:panose1 w:val="02010600040101010101"/>
    <w:charset w:val="86"/>
    <w:family w:val="auto"/>
    <w:pitch w:val="default"/>
    <w:sig w:usb0="00000000" w:usb1="00000000" w:usb2="00000010" w:usb3="00000000" w:csb0="0004009F" w:csb1="00000000"/>
  </w:font>
  <w:font w:name="Damascus">
    <w:altName w:val="MS Gothic"/>
    <w:panose1 w:val="00000000000000000000"/>
    <w:charset w:val="00"/>
    <w:family w:val="auto"/>
    <w:pitch w:val="default"/>
    <w:sig w:usb0="00000000" w:usb1="00000000" w:usb2="00000000" w:usb3="00000000" w:csb0="00000001" w:csb1="00000000"/>
  </w:font>
  <w:font w:name="Arial">
    <w:panose1 w:val="020B0604020202020204"/>
    <w:charset w:val="00"/>
    <w:family w:val="modern"/>
    <w:pitch w:val="default"/>
    <w:sig w:usb0="E0002AFF" w:usb1="C0007843" w:usb2="00000009" w:usb3="00000000" w:csb0="400001FF" w:csb1="FFFF0000"/>
  </w:font>
  <w:font w:name="MS Gothic">
    <w:panose1 w:val="020B0609070205080204"/>
    <w:charset w:val="80"/>
    <w:family w:val="auto"/>
    <w:pitch w:val="default"/>
    <w:sig w:usb0="E00002FF" w:usb1="6AC7FDFB" w:usb2="00000012" w:usb3="00000000" w:csb0="4002009F" w:csb1="DFD70000"/>
  </w:font>
  <w:font w:name="MS Gothic">
    <w:panose1 w:val="020B0609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rPr>
        <w:lang w:val="zh-CN"/>
      </w:rPr>
      <w:t>69</w:t>
    </w:r>
    <w:r>
      <w:rPr>
        <w:lang w:val="zh-CN"/>
      </w:rP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678505">
    <w:nsid w:val="00382129"/>
    <w:multiLevelType w:val="multilevel"/>
    <w:tmpl w:val="00382129"/>
    <w:lvl w:ilvl="0" w:tentative="1">
      <w:start w:val="1"/>
      <w:numFmt w:val="decimal"/>
      <w:lvlText w:val="（%1）"/>
      <w:lvlJc w:val="left"/>
      <w:pPr>
        <w:ind w:left="984" w:hanging="420"/>
      </w:pPr>
      <w:rPr>
        <w:rFonts w:hint="eastAsia" w:cs="Times New Roman"/>
      </w:rPr>
    </w:lvl>
    <w:lvl w:ilvl="1" w:tentative="1">
      <w:start w:val="1"/>
      <w:numFmt w:val="lowerLetter"/>
      <w:lvlText w:val="%2)"/>
      <w:lvlJc w:val="left"/>
      <w:pPr>
        <w:ind w:left="1404" w:hanging="420"/>
      </w:pPr>
      <w:rPr>
        <w:rFonts w:cs="Times New Roman"/>
      </w:rPr>
    </w:lvl>
    <w:lvl w:ilvl="2" w:tentative="1">
      <w:start w:val="1"/>
      <w:numFmt w:val="lowerRoman"/>
      <w:lvlText w:val="%3."/>
      <w:lvlJc w:val="right"/>
      <w:pPr>
        <w:ind w:left="1824" w:hanging="420"/>
      </w:pPr>
      <w:rPr>
        <w:rFonts w:cs="Times New Roman"/>
      </w:rPr>
    </w:lvl>
    <w:lvl w:ilvl="3" w:tentative="1">
      <w:start w:val="1"/>
      <w:numFmt w:val="decimal"/>
      <w:lvlText w:val="%4."/>
      <w:lvlJc w:val="left"/>
      <w:pPr>
        <w:ind w:left="2244" w:hanging="420"/>
      </w:pPr>
      <w:rPr>
        <w:rFonts w:cs="Times New Roman"/>
      </w:rPr>
    </w:lvl>
    <w:lvl w:ilvl="4" w:tentative="1">
      <w:start w:val="1"/>
      <w:numFmt w:val="lowerLetter"/>
      <w:lvlText w:val="%5)"/>
      <w:lvlJc w:val="left"/>
      <w:pPr>
        <w:ind w:left="2664" w:hanging="420"/>
      </w:pPr>
      <w:rPr>
        <w:rFonts w:cs="Times New Roman"/>
      </w:rPr>
    </w:lvl>
    <w:lvl w:ilvl="5" w:tentative="1">
      <w:start w:val="1"/>
      <w:numFmt w:val="lowerRoman"/>
      <w:lvlText w:val="%6."/>
      <w:lvlJc w:val="right"/>
      <w:pPr>
        <w:ind w:left="3084" w:hanging="420"/>
      </w:pPr>
      <w:rPr>
        <w:rFonts w:cs="Times New Roman"/>
      </w:rPr>
    </w:lvl>
    <w:lvl w:ilvl="6" w:tentative="1">
      <w:start w:val="1"/>
      <w:numFmt w:val="decimal"/>
      <w:lvlText w:val="%7."/>
      <w:lvlJc w:val="left"/>
      <w:pPr>
        <w:ind w:left="3504" w:hanging="420"/>
      </w:pPr>
      <w:rPr>
        <w:rFonts w:cs="Times New Roman"/>
      </w:rPr>
    </w:lvl>
    <w:lvl w:ilvl="7" w:tentative="1">
      <w:start w:val="1"/>
      <w:numFmt w:val="lowerLetter"/>
      <w:lvlText w:val="%8)"/>
      <w:lvlJc w:val="left"/>
      <w:pPr>
        <w:ind w:left="3924" w:hanging="420"/>
      </w:pPr>
      <w:rPr>
        <w:rFonts w:cs="Times New Roman"/>
      </w:rPr>
    </w:lvl>
    <w:lvl w:ilvl="8" w:tentative="1">
      <w:start w:val="1"/>
      <w:numFmt w:val="lowerRoman"/>
      <w:lvlText w:val="%9."/>
      <w:lvlJc w:val="right"/>
      <w:pPr>
        <w:ind w:left="4344" w:hanging="420"/>
      </w:pPr>
      <w:rPr>
        <w:rFonts w:cs="Times New Roman"/>
      </w:rPr>
    </w:lvl>
  </w:abstractNum>
  <w:abstractNum w:abstractNumId="355237169">
    <w:nsid w:val="152C7D31"/>
    <w:multiLevelType w:val="multilevel"/>
    <w:tmpl w:val="152C7D31"/>
    <w:lvl w:ilvl="0" w:tentative="1">
      <w:start w:val="1"/>
      <w:numFmt w:val="decimal"/>
      <w:lvlText w:val="（%1）"/>
      <w:lvlJc w:val="left"/>
      <w:pPr>
        <w:ind w:left="986" w:hanging="420"/>
      </w:pPr>
      <w:rPr>
        <w:rFonts w:hint="eastAsia"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2100978706">
    <w:nsid w:val="7D3A6412"/>
    <w:multiLevelType w:val="multilevel"/>
    <w:tmpl w:val="7D3A6412"/>
    <w:lvl w:ilvl="0" w:tentative="1">
      <w:start w:val="1"/>
      <w:numFmt w:val="decimal"/>
      <w:lvlText w:val="（%1）"/>
      <w:lvlJc w:val="left"/>
      <w:pPr>
        <w:ind w:left="420" w:hanging="420"/>
      </w:pPr>
      <w:rPr>
        <w:rFonts w:hint="eastAsia"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589659676">
    <w:nsid w:val="5EC0481C"/>
    <w:multiLevelType w:val="multilevel"/>
    <w:tmpl w:val="5EC0481C"/>
    <w:lvl w:ilvl="0" w:tentative="1">
      <w:start w:val="1"/>
      <w:numFmt w:val="decimal"/>
      <w:lvlText w:val="（%1）"/>
      <w:lvlJc w:val="left"/>
      <w:pPr>
        <w:ind w:left="420" w:hanging="420"/>
      </w:pPr>
      <w:rPr>
        <w:rFonts w:hint="eastAsia"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251501240">
    <w:nsid w:val="4A9864B8"/>
    <w:multiLevelType w:val="multilevel"/>
    <w:tmpl w:val="4A9864B8"/>
    <w:lvl w:ilvl="0" w:tentative="1">
      <w:start w:val="1"/>
      <w:numFmt w:val="decimal"/>
      <w:lvlText w:val="（%1）"/>
      <w:lvlJc w:val="left"/>
      <w:pPr>
        <w:ind w:left="1468" w:hanging="420"/>
      </w:pPr>
      <w:rPr>
        <w:rFonts w:hint="eastAsia" w:cs="Times New Roman"/>
      </w:rPr>
    </w:lvl>
    <w:lvl w:ilvl="1" w:tentative="1">
      <w:start w:val="1"/>
      <w:numFmt w:val="decimal"/>
      <w:lvlText w:val="（%2）"/>
      <w:lvlJc w:val="left"/>
      <w:pPr>
        <w:ind w:left="1322" w:hanging="420"/>
      </w:pPr>
      <w:rPr>
        <w:rFonts w:hint="eastAsia" w:cs="Times New Roman"/>
      </w:rPr>
    </w:lvl>
    <w:lvl w:ilvl="2" w:tentative="1">
      <w:start w:val="1"/>
      <w:numFmt w:val="lowerRoman"/>
      <w:lvlText w:val="%3."/>
      <w:lvlJc w:val="right"/>
      <w:pPr>
        <w:ind w:left="1742" w:hanging="420"/>
      </w:pPr>
      <w:rPr>
        <w:rFonts w:cs="Times New Roman"/>
      </w:rPr>
    </w:lvl>
    <w:lvl w:ilvl="3" w:tentative="1">
      <w:start w:val="1"/>
      <w:numFmt w:val="decimal"/>
      <w:lvlText w:val="%4."/>
      <w:lvlJc w:val="left"/>
      <w:pPr>
        <w:ind w:left="2162" w:hanging="420"/>
      </w:pPr>
      <w:rPr>
        <w:rFonts w:cs="Times New Roman"/>
      </w:rPr>
    </w:lvl>
    <w:lvl w:ilvl="4" w:tentative="1">
      <w:start w:val="1"/>
      <w:numFmt w:val="lowerLetter"/>
      <w:lvlText w:val="%5)"/>
      <w:lvlJc w:val="left"/>
      <w:pPr>
        <w:ind w:left="2582" w:hanging="420"/>
      </w:pPr>
      <w:rPr>
        <w:rFonts w:cs="Times New Roman"/>
      </w:rPr>
    </w:lvl>
    <w:lvl w:ilvl="5" w:tentative="1">
      <w:start w:val="1"/>
      <w:numFmt w:val="lowerRoman"/>
      <w:lvlText w:val="%6."/>
      <w:lvlJc w:val="right"/>
      <w:pPr>
        <w:ind w:left="3002" w:hanging="420"/>
      </w:pPr>
      <w:rPr>
        <w:rFonts w:cs="Times New Roman"/>
      </w:rPr>
    </w:lvl>
    <w:lvl w:ilvl="6" w:tentative="1">
      <w:start w:val="1"/>
      <w:numFmt w:val="decimal"/>
      <w:lvlText w:val="%7."/>
      <w:lvlJc w:val="left"/>
      <w:pPr>
        <w:ind w:left="3422" w:hanging="420"/>
      </w:pPr>
      <w:rPr>
        <w:rFonts w:cs="Times New Roman"/>
      </w:rPr>
    </w:lvl>
    <w:lvl w:ilvl="7" w:tentative="1">
      <w:start w:val="1"/>
      <w:numFmt w:val="lowerLetter"/>
      <w:lvlText w:val="%8)"/>
      <w:lvlJc w:val="left"/>
      <w:pPr>
        <w:ind w:left="3842" w:hanging="420"/>
      </w:pPr>
      <w:rPr>
        <w:rFonts w:cs="Times New Roman"/>
      </w:rPr>
    </w:lvl>
    <w:lvl w:ilvl="8" w:tentative="1">
      <w:start w:val="1"/>
      <w:numFmt w:val="lowerRoman"/>
      <w:lvlText w:val="%9."/>
      <w:lvlJc w:val="right"/>
      <w:pPr>
        <w:ind w:left="4262" w:hanging="420"/>
      </w:pPr>
      <w:rPr>
        <w:rFonts w:cs="Times New Roman"/>
      </w:rPr>
    </w:lvl>
  </w:abstractNum>
  <w:num w:numId="1">
    <w:abstractNumId w:val="1589659676"/>
  </w:num>
  <w:num w:numId="2">
    <w:abstractNumId w:val="2100978706"/>
  </w:num>
  <w:num w:numId="3">
    <w:abstractNumId w:val="1251501240"/>
  </w:num>
  <w:num w:numId="4">
    <w:abstractNumId w:val="3678505"/>
  </w:num>
  <w:num w:numId="5">
    <w:abstractNumId w:val="3552371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9D7C15"/>
    <w:rsid w:val="0000011F"/>
    <w:rsid w:val="0000395F"/>
    <w:rsid w:val="000054F3"/>
    <w:rsid w:val="00006252"/>
    <w:rsid w:val="00011189"/>
    <w:rsid w:val="0001438D"/>
    <w:rsid w:val="00014573"/>
    <w:rsid w:val="00014A97"/>
    <w:rsid w:val="00017141"/>
    <w:rsid w:val="00017506"/>
    <w:rsid w:val="00021F1F"/>
    <w:rsid w:val="000225A4"/>
    <w:rsid w:val="0002355B"/>
    <w:rsid w:val="00025827"/>
    <w:rsid w:val="000266E9"/>
    <w:rsid w:val="000278AF"/>
    <w:rsid w:val="00027BA8"/>
    <w:rsid w:val="00030A36"/>
    <w:rsid w:val="00031D6A"/>
    <w:rsid w:val="00035F17"/>
    <w:rsid w:val="00036955"/>
    <w:rsid w:val="00041340"/>
    <w:rsid w:val="00041E9E"/>
    <w:rsid w:val="00042373"/>
    <w:rsid w:val="000428F5"/>
    <w:rsid w:val="000430BB"/>
    <w:rsid w:val="00044862"/>
    <w:rsid w:val="00051D2D"/>
    <w:rsid w:val="00053E8F"/>
    <w:rsid w:val="00055C6E"/>
    <w:rsid w:val="00056241"/>
    <w:rsid w:val="0006005C"/>
    <w:rsid w:val="00060AE7"/>
    <w:rsid w:val="00060DAB"/>
    <w:rsid w:val="000618AA"/>
    <w:rsid w:val="00062763"/>
    <w:rsid w:val="0006504A"/>
    <w:rsid w:val="00065C26"/>
    <w:rsid w:val="0007144C"/>
    <w:rsid w:val="000724B6"/>
    <w:rsid w:val="00072670"/>
    <w:rsid w:val="00072683"/>
    <w:rsid w:val="00072D6D"/>
    <w:rsid w:val="000756B7"/>
    <w:rsid w:val="00077044"/>
    <w:rsid w:val="000809DE"/>
    <w:rsid w:val="000810B6"/>
    <w:rsid w:val="0008423C"/>
    <w:rsid w:val="00086659"/>
    <w:rsid w:val="0009074E"/>
    <w:rsid w:val="000915CE"/>
    <w:rsid w:val="00091F04"/>
    <w:rsid w:val="000926AF"/>
    <w:rsid w:val="00092C6B"/>
    <w:rsid w:val="00095C56"/>
    <w:rsid w:val="00096088"/>
    <w:rsid w:val="000974F7"/>
    <w:rsid w:val="000A1808"/>
    <w:rsid w:val="000A32DE"/>
    <w:rsid w:val="000A4615"/>
    <w:rsid w:val="000A68C0"/>
    <w:rsid w:val="000B0AEB"/>
    <w:rsid w:val="000B1028"/>
    <w:rsid w:val="000B1AE7"/>
    <w:rsid w:val="000B3BC9"/>
    <w:rsid w:val="000C17DF"/>
    <w:rsid w:val="000C1FA2"/>
    <w:rsid w:val="000C47DE"/>
    <w:rsid w:val="000C59EE"/>
    <w:rsid w:val="000C68B2"/>
    <w:rsid w:val="000C7592"/>
    <w:rsid w:val="000C7F10"/>
    <w:rsid w:val="000D0410"/>
    <w:rsid w:val="000D0540"/>
    <w:rsid w:val="000D1147"/>
    <w:rsid w:val="000D17C7"/>
    <w:rsid w:val="000D57FD"/>
    <w:rsid w:val="000E3A22"/>
    <w:rsid w:val="000E44EC"/>
    <w:rsid w:val="000E5F47"/>
    <w:rsid w:val="000E731C"/>
    <w:rsid w:val="000E74A1"/>
    <w:rsid w:val="000F2485"/>
    <w:rsid w:val="000F38B4"/>
    <w:rsid w:val="000F4728"/>
    <w:rsid w:val="001013B7"/>
    <w:rsid w:val="00102EB8"/>
    <w:rsid w:val="00103DB2"/>
    <w:rsid w:val="0010598C"/>
    <w:rsid w:val="00107ADB"/>
    <w:rsid w:val="001115E7"/>
    <w:rsid w:val="00112E0E"/>
    <w:rsid w:val="001147FE"/>
    <w:rsid w:val="00114D32"/>
    <w:rsid w:val="001176E2"/>
    <w:rsid w:val="00117B25"/>
    <w:rsid w:val="00122770"/>
    <w:rsid w:val="001247A8"/>
    <w:rsid w:val="00124CA6"/>
    <w:rsid w:val="001256D7"/>
    <w:rsid w:val="001263A4"/>
    <w:rsid w:val="00127598"/>
    <w:rsid w:val="00130D95"/>
    <w:rsid w:val="001323CF"/>
    <w:rsid w:val="00133069"/>
    <w:rsid w:val="00137040"/>
    <w:rsid w:val="00140582"/>
    <w:rsid w:val="00141515"/>
    <w:rsid w:val="00142311"/>
    <w:rsid w:val="00142627"/>
    <w:rsid w:val="001432EB"/>
    <w:rsid w:val="0014517D"/>
    <w:rsid w:val="00151364"/>
    <w:rsid w:val="00151882"/>
    <w:rsid w:val="001554A8"/>
    <w:rsid w:val="00160766"/>
    <w:rsid w:val="00161528"/>
    <w:rsid w:val="00161E98"/>
    <w:rsid w:val="00163392"/>
    <w:rsid w:val="001635B0"/>
    <w:rsid w:val="00163973"/>
    <w:rsid w:val="0016726B"/>
    <w:rsid w:val="00172951"/>
    <w:rsid w:val="00173444"/>
    <w:rsid w:val="001735F7"/>
    <w:rsid w:val="001753B6"/>
    <w:rsid w:val="001775F8"/>
    <w:rsid w:val="0018039A"/>
    <w:rsid w:val="001819C0"/>
    <w:rsid w:val="00182254"/>
    <w:rsid w:val="00182F88"/>
    <w:rsid w:val="00183445"/>
    <w:rsid w:val="001834F1"/>
    <w:rsid w:val="00183B7B"/>
    <w:rsid w:val="00185B61"/>
    <w:rsid w:val="00185FB8"/>
    <w:rsid w:val="001872C2"/>
    <w:rsid w:val="001878D6"/>
    <w:rsid w:val="00195C09"/>
    <w:rsid w:val="00197C28"/>
    <w:rsid w:val="001A6C20"/>
    <w:rsid w:val="001B0659"/>
    <w:rsid w:val="001B2A9C"/>
    <w:rsid w:val="001B2DC0"/>
    <w:rsid w:val="001B5BD6"/>
    <w:rsid w:val="001C17D7"/>
    <w:rsid w:val="001C26C7"/>
    <w:rsid w:val="001C4801"/>
    <w:rsid w:val="001C4989"/>
    <w:rsid w:val="001C6814"/>
    <w:rsid w:val="001D0307"/>
    <w:rsid w:val="001D0C48"/>
    <w:rsid w:val="001D1B5B"/>
    <w:rsid w:val="001D6ABB"/>
    <w:rsid w:val="001E0026"/>
    <w:rsid w:val="001E1AAC"/>
    <w:rsid w:val="001E20D8"/>
    <w:rsid w:val="001E3655"/>
    <w:rsid w:val="001E38CF"/>
    <w:rsid w:val="001E585F"/>
    <w:rsid w:val="001F4D0A"/>
    <w:rsid w:val="001F5CD3"/>
    <w:rsid w:val="00200BCD"/>
    <w:rsid w:val="00201AC4"/>
    <w:rsid w:val="00203571"/>
    <w:rsid w:val="00207091"/>
    <w:rsid w:val="00207AC6"/>
    <w:rsid w:val="0021087A"/>
    <w:rsid w:val="002115AD"/>
    <w:rsid w:val="0021224B"/>
    <w:rsid w:val="00212E06"/>
    <w:rsid w:val="0021352D"/>
    <w:rsid w:val="002153A6"/>
    <w:rsid w:val="00217F02"/>
    <w:rsid w:val="0022038A"/>
    <w:rsid w:val="00222AE1"/>
    <w:rsid w:val="00223424"/>
    <w:rsid w:val="00225654"/>
    <w:rsid w:val="00226011"/>
    <w:rsid w:val="002261BE"/>
    <w:rsid w:val="00226F24"/>
    <w:rsid w:val="00227280"/>
    <w:rsid w:val="00227D3A"/>
    <w:rsid w:val="0023085F"/>
    <w:rsid w:val="00231879"/>
    <w:rsid w:val="00232C32"/>
    <w:rsid w:val="00233E47"/>
    <w:rsid w:val="0023465A"/>
    <w:rsid w:val="00235F65"/>
    <w:rsid w:val="00236CAF"/>
    <w:rsid w:val="00237DCD"/>
    <w:rsid w:val="00240E27"/>
    <w:rsid w:val="00242CA7"/>
    <w:rsid w:val="00243B5E"/>
    <w:rsid w:val="00243E96"/>
    <w:rsid w:val="00247E11"/>
    <w:rsid w:val="00254758"/>
    <w:rsid w:val="00254B59"/>
    <w:rsid w:val="00256875"/>
    <w:rsid w:val="00261548"/>
    <w:rsid w:val="00263935"/>
    <w:rsid w:val="002700CB"/>
    <w:rsid w:val="0027342E"/>
    <w:rsid w:val="002752A8"/>
    <w:rsid w:val="0027662E"/>
    <w:rsid w:val="00280585"/>
    <w:rsid w:val="0028142F"/>
    <w:rsid w:val="0028158C"/>
    <w:rsid w:val="0028351C"/>
    <w:rsid w:val="00286738"/>
    <w:rsid w:val="002872A9"/>
    <w:rsid w:val="00287648"/>
    <w:rsid w:val="0029413D"/>
    <w:rsid w:val="00294F78"/>
    <w:rsid w:val="00295DA4"/>
    <w:rsid w:val="002A20F4"/>
    <w:rsid w:val="002A2C5D"/>
    <w:rsid w:val="002A2DD4"/>
    <w:rsid w:val="002A47C3"/>
    <w:rsid w:val="002A48B4"/>
    <w:rsid w:val="002A55E5"/>
    <w:rsid w:val="002B0DDA"/>
    <w:rsid w:val="002B262A"/>
    <w:rsid w:val="002B4FC2"/>
    <w:rsid w:val="002B5682"/>
    <w:rsid w:val="002B6215"/>
    <w:rsid w:val="002C0B33"/>
    <w:rsid w:val="002C3757"/>
    <w:rsid w:val="002C4B1D"/>
    <w:rsid w:val="002C61B2"/>
    <w:rsid w:val="002D09DE"/>
    <w:rsid w:val="002D2A36"/>
    <w:rsid w:val="002D3D2E"/>
    <w:rsid w:val="002D5769"/>
    <w:rsid w:val="002D5888"/>
    <w:rsid w:val="002D7250"/>
    <w:rsid w:val="002D7411"/>
    <w:rsid w:val="002E2089"/>
    <w:rsid w:val="002E28D0"/>
    <w:rsid w:val="002E4DB1"/>
    <w:rsid w:val="002E6045"/>
    <w:rsid w:val="002E7328"/>
    <w:rsid w:val="002E7A48"/>
    <w:rsid w:val="002F059E"/>
    <w:rsid w:val="002F3A47"/>
    <w:rsid w:val="002F5366"/>
    <w:rsid w:val="002F551E"/>
    <w:rsid w:val="002F6AEE"/>
    <w:rsid w:val="002F6B88"/>
    <w:rsid w:val="00300239"/>
    <w:rsid w:val="00303122"/>
    <w:rsid w:val="003048D4"/>
    <w:rsid w:val="00307270"/>
    <w:rsid w:val="00307823"/>
    <w:rsid w:val="00307AD3"/>
    <w:rsid w:val="0031044D"/>
    <w:rsid w:val="00311A7B"/>
    <w:rsid w:val="00315096"/>
    <w:rsid w:val="003154EE"/>
    <w:rsid w:val="00316F89"/>
    <w:rsid w:val="00317C1A"/>
    <w:rsid w:val="00317DBD"/>
    <w:rsid w:val="00321C37"/>
    <w:rsid w:val="003226D5"/>
    <w:rsid w:val="003230B9"/>
    <w:rsid w:val="00323642"/>
    <w:rsid w:val="00324F62"/>
    <w:rsid w:val="00326D52"/>
    <w:rsid w:val="003270EA"/>
    <w:rsid w:val="003273E5"/>
    <w:rsid w:val="00327E1F"/>
    <w:rsid w:val="00330328"/>
    <w:rsid w:val="00331A91"/>
    <w:rsid w:val="00332206"/>
    <w:rsid w:val="0033633C"/>
    <w:rsid w:val="00336CE1"/>
    <w:rsid w:val="0033742A"/>
    <w:rsid w:val="003436CA"/>
    <w:rsid w:val="003461AB"/>
    <w:rsid w:val="00346A00"/>
    <w:rsid w:val="00347596"/>
    <w:rsid w:val="003526B9"/>
    <w:rsid w:val="00352C80"/>
    <w:rsid w:val="003570C9"/>
    <w:rsid w:val="003573F7"/>
    <w:rsid w:val="00357EAF"/>
    <w:rsid w:val="003615E8"/>
    <w:rsid w:val="003649FC"/>
    <w:rsid w:val="003652EA"/>
    <w:rsid w:val="00365E92"/>
    <w:rsid w:val="0037000D"/>
    <w:rsid w:val="00371DBC"/>
    <w:rsid w:val="00372912"/>
    <w:rsid w:val="00372D55"/>
    <w:rsid w:val="003763A3"/>
    <w:rsid w:val="0037673A"/>
    <w:rsid w:val="00376C4F"/>
    <w:rsid w:val="0038659E"/>
    <w:rsid w:val="00387C44"/>
    <w:rsid w:val="003963EE"/>
    <w:rsid w:val="00396E1A"/>
    <w:rsid w:val="003A1CC8"/>
    <w:rsid w:val="003A382C"/>
    <w:rsid w:val="003A3A1B"/>
    <w:rsid w:val="003A3D9B"/>
    <w:rsid w:val="003A415D"/>
    <w:rsid w:val="003A441A"/>
    <w:rsid w:val="003A4BDC"/>
    <w:rsid w:val="003A504A"/>
    <w:rsid w:val="003A5FFA"/>
    <w:rsid w:val="003A7664"/>
    <w:rsid w:val="003B13B1"/>
    <w:rsid w:val="003B333E"/>
    <w:rsid w:val="003B4E69"/>
    <w:rsid w:val="003B565D"/>
    <w:rsid w:val="003B6BF3"/>
    <w:rsid w:val="003C18B4"/>
    <w:rsid w:val="003C1D78"/>
    <w:rsid w:val="003C44BE"/>
    <w:rsid w:val="003C44FF"/>
    <w:rsid w:val="003D09D3"/>
    <w:rsid w:val="003D17FF"/>
    <w:rsid w:val="003D357C"/>
    <w:rsid w:val="003D3F72"/>
    <w:rsid w:val="003E1E27"/>
    <w:rsid w:val="003E3150"/>
    <w:rsid w:val="003E59DC"/>
    <w:rsid w:val="003F2130"/>
    <w:rsid w:val="003F459C"/>
    <w:rsid w:val="003F5BBB"/>
    <w:rsid w:val="00402AE4"/>
    <w:rsid w:val="004035BB"/>
    <w:rsid w:val="00405FA9"/>
    <w:rsid w:val="004076B0"/>
    <w:rsid w:val="00407812"/>
    <w:rsid w:val="00412AD9"/>
    <w:rsid w:val="00414CAC"/>
    <w:rsid w:val="00420839"/>
    <w:rsid w:val="004223DA"/>
    <w:rsid w:val="00423C0A"/>
    <w:rsid w:val="00425FAD"/>
    <w:rsid w:val="00426DEE"/>
    <w:rsid w:val="00433881"/>
    <w:rsid w:val="00433BAE"/>
    <w:rsid w:val="0043580D"/>
    <w:rsid w:val="00435C49"/>
    <w:rsid w:val="00436418"/>
    <w:rsid w:val="00436843"/>
    <w:rsid w:val="00440122"/>
    <w:rsid w:val="00442A7F"/>
    <w:rsid w:val="00443347"/>
    <w:rsid w:val="00444B59"/>
    <w:rsid w:val="00444DDD"/>
    <w:rsid w:val="00445D83"/>
    <w:rsid w:val="00446420"/>
    <w:rsid w:val="004474D5"/>
    <w:rsid w:val="0045074E"/>
    <w:rsid w:val="00450DEA"/>
    <w:rsid w:val="0045151F"/>
    <w:rsid w:val="00452E3D"/>
    <w:rsid w:val="00454799"/>
    <w:rsid w:val="004547EA"/>
    <w:rsid w:val="004548F3"/>
    <w:rsid w:val="0046077E"/>
    <w:rsid w:val="00460806"/>
    <w:rsid w:val="00462C8E"/>
    <w:rsid w:val="0046422C"/>
    <w:rsid w:val="00470D16"/>
    <w:rsid w:val="00471D3F"/>
    <w:rsid w:val="004721C9"/>
    <w:rsid w:val="0047356D"/>
    <w:rsid w:val="00476798"/>
    <w:rsid w:val="00480AA1"/>
    <w:rsid w:val="00481F00"/>
    <w:rsid w:val="004830D4"/>
    <w:rsid w:val="00484E28"/>
    <w:rsid w:val="004854C0"/>
    <w:rsid w:val="0048696F"/>
    <w:rsid w:val="004874CC"/>
    <w:rsid w:val="00495744"/>
    <w:rsid w:val="00496843"/>
    <w:rsid w:val="00497A9C"/>
    <w:rsid w:val="004A2AB7"/>
    <w:rsid w:val="004A4096"/>
    <w:rsid w:val="004A457D"/>
    <w:rsid w:val="004A68FA"/>
    <w:rsid w:val="004B0DA0"/>
    <w:rsid w:val="004B429F"/>
    <w:rsid w:val="004B4DF4"/>
    <w:rsid w:val="004B592F"/>
    <w:rsid w:val="004B77B2"/>
    <w:rsid w:val="004C0894"/>
    <w:rsid w:val="004C17CD"/>
    <w:rsid w:val="004C3FE7"/>
    <w:rsid w:val="004C6B09"/>
    <w:rsid w:val="004D09A5"/>
    <w:rsid w:val="004D3149"/>
    <w:rsid w:val="004D3B3F"/>
    <w:rsid w:val="004D711C"/>
    <w:rsid w:val="004D7DAA"/>
    <w:rsid w:val="004E054C"/>
    <w:rsid w:val="004E092B"/>
    <w:rsid w:val="004E0E81"/>
    <w:rsid w:val="004E2134"/>
    <w:rsid w:val="004E26C2"/>
    <w:rsid w:val="004E39BE"/>
    <w:rsid w:val="004E42EC"/>
    <w:rsid w:val="004E536A"/>
    <w:rsid w:val="004E5DC4"/>
    <w:rsid w:val="004F1833"/>
    <w:rsid w:val="004F7E76"/>
    <w:rsid w:val="00501596"/>
    <w:rsid w:val="00504336"/>
    <w:rsid w:val="00506DD1"/>
    <w:rsid w:val="00511311"/>
    <w:rsid w:val="005129FF"/>
    <w:rsid w:val="00512B7F"/>
    <w:rsid w:val="0051422E"/>
    <w:rsid w:val="00517336"/>
    <w:rsid w:val="0052013B"/>
    <w:rsid w:val="00520E32"/>
    <w:rsid w:val="00522981"/>
    <w:rsid w:val="00527626"/>
    <w:rsid w:val="00527A41"/>
    <w:rsid w:val="00527D51"/>
    <w:rsid w:val="00530624"/>
    <w:rsid w:val="00531BAA"/>
    <w:rsid w:val="00531E9E"/>
    <w:rsid w:val="00533801"/>
    <w:rsid w:val="00533ACB"/>
    <w:rsid w:val="00534E6D"/>
    <w:rsid w:val="00535B4D"/>
    <w:rsid w:val="0054006F"/>
    <w:rsid w:val="005412F6"/>
    <w:rsid w:val="00542380"/>
    <w:rsid w:val="00542B4D"/>
    <w:rsid w:val="00542F29"/>
    <w:rsid w:val="00545DA8"/>
    <w:rsid w:val="00546A72"/>
    <w:rsid w:val="00547B5E"/>
    <w:rsid w:val="0055344E"/>
    <w:rsid w:val="005544B3"/>
    <w:rsid w:val="0055718E"/>
    <w:rsid w:val="0056183E"/>
    <w:rsid w:val="00562F85"/>
    <w:rsid w:val="00563583"/>
    <w:rsid w:val="00564488"/>
    <w:rsid w:val="00570C04"/>
    <w:rsid w:val="00570DF2"/>
    <w:rsid w:val="005775CC"/>
    <w:rsid w:val="00580510"/>
    <w:rsid w:val="0058070A"/>
    <w:rsid w:val="00581546"/>
    <w:rsid w:val="00585206"/>
    <w:rsid w:val="005863A6"/>
    <w:rsid w:val="0058718F"/>
    <w:rsid w:val="00587ADE"/>
    <w:rsid w:val="005908A1"/>
    <w:rsid w:val="00590E9A"/>
    <w:rsid w:val="00590FC9"/>
    <w:rsid w:val="00593112"/>
    <w:rsid w:val="00596C95"/>
    <w:rsid w:val="005A00B6"/>
    <w:rsid w:val="005A1622"/>
    <w:rsid w:val="005A1C9E"/>
    <w:rsid w:val="005A3661"/>
    <w:rsid w:val="005A4388"/>
    <w:rsid w:val="005A57DB"/>
    <w:rsid w:val="005A605A"/>
    <w:rsid w:val="005B2B84"/>
    <w:rsid w:val="005B3600"/>
    <w:rsid w:val="005B525D"/>
    <w:rsid w:val="005B6681"/>
    <w:rsid w:val="005C0069"/>
    <w:rsid w:val="005C42AD"/>
    <w:rsid w:val="005C4C54"/>
    <w:rsid w:val="005C70E2"/>
    <w:rsid w:val="005C7417"/>
    <w:rsid w:val="005D1962"/>
    <w:rsid w:val="005D5F98"/>
    <w:rsid w:val="005D6B97"/>
    <w:rsid w:val="005E43F6"/>
    <w:rsid w:val="005E4408"/>
    <w:rsid w:val="005E4843"/>
    <w:rsid w:val="005E4BCD"/>
    <w:rsid w:val="005E5CE5"/>
    <w:rsid w:val="005F0A41"/>
    <w:rsid w:val="005F1107"/>
    <w:rsid w:val="005F1B2A"/>
    <w:rsid w:val="00601323"/>
    <w:rsid w:val="00601649"/>
    <w:rsid w:val="006021A3"/>
    <w:rsid w:val="00603E19"/>
    <w:rsid w:val="0061089B"/>
    <w:rsid w:val="00610B32"/>
    <w:rsid w:val="006110F4"/>
    <w:rsid w:val="006121D4"/>
    <w:rsid w:val="006125A5"/>
    <w:rsid w:val="006135CA"/>
    <w:rsid w:val="006148FD"/>
    <w:rsid w:val="00616F27"/>
    <w:rsid w:val="0062073A"/>
    <w:rsid w:val="00620E1D"/>
    <w:rsid w:val="00622CBD"/>
    <w:rsid w:val="0062525C"/>
    <w:rsid w:val="00625CEB"/>
    <w:rsid w:val="00630A27"/>
    <w:rsid w:val="00630BAE"/>
    <w:rsid w:val="00636ACD"/>
    <w:rsid w:val="00640277"/>
    <w:rsid w:val="006408B7"/>
    <w:rsid w:val="00640D97"/>
    <w:rsid w:val="0064577F"/>
    <w:rsid w:val="00645AFD"/>
    <w:rsid w:val="00645D4E"/>
    <w:rsid w:val="0065014A"/>
    <w:rsid w:val="00651F88"/>
    <w:rsid w:val="00654D45"/>
    <w:rsid w:val="00661D20"/>
    <w:rsid w:val="00661DF9"/>
    <w:rsid w:val="0066214F"/>
    <w:rsid w:val="006641F4"/>
    <w:rsid w:val="00664716"/>
    <w:rsid w:val="00665252"/>
    <w:rsid w:val="006658F0"/>
    <w:rsid w:val="00665E94"/>
    <w:rsid w:val="00667031"/>
    <w:rsid w:val="0067005B"/>
    <w:rsid w:val="006703E0"/>
    <w:rsid w:val="0067127D"/>
    <w:rsid w:val="00671934"/>
    <w:rsid w:val="00674662"/>
    <w:rsid w:val="00681A46"/>
    <w:rsid w:val="00684319"/>
    <w:rsid w:val="006905E2"/>
    <w:rsid w:val="00691F3C"/>
    <w:rsid w:val="00694340"/>
    <w:rsid w:val="0069696B"/>
    <w:rsid w:val="006A083C"/>
    <w:rsid w:val="006A2F92"/>
    <w:rsid w:val="006A5263"/>
    <w:rsid w:val="006A59EE"/>
    <w:rsid w:val="006A7B1C"/>
    <w:rsid w:val="006B0D23"/>
    <w:rsid w:val="006B15A6"/>
    <w:rsid w:val="006B2856"/>
    <w:rsid w:val="006B3AC6"/>
    <w:rsid w:val="006B4960"/>
    <w:rsid w:val="006B4A3E"/>
    <w:rsid w:val="006C01D1"/>
    <w:rsid w:val="006C16B5"/>
    <w:rsid w:val="006C2502"/>
    <w:rsid w:val="006C3136"/>
    <w:rsid w:val="006C41CD"/>
    <w:rsid w:val="006E0272"/>
    <w:rsid w:val="006E1EE0"/>
    <w:rsid w:val="006E33DC"/>
    <w:rsid w:val="006E37D3"/>
    <w:rsid w:val="006E3DB0"/>
    <w:rsid w:val="006E43C9"/>
    <w:rsid w:val="006E5783"/>
    <w:rsid w:val="006E6D3C"/>
    <w:rsid w:val="006E78E6"/>
    <w:rsid w:val="006F2D77"/>
    <w:rsid w:val="006F421D"/>
    <w:rsid w:val="007001BC"/>
    <w:rsid w:val="00704468"/>
    <w:rsid w:val="0071477F"/>
    <w:rsid w:val="00714F6E"/>
    <w:rsid w:val="007150ED"/>
    <w:rsid w:val="00715613"/>
    <w:rsid w:val="00715CA9"/>
    <w:rsid w:val="00720C0E"/>
    <w:rsid w:val="00722129"/>
    <w:rsid w:val="007226A8"/>
    <w:rsid w:val="00723AEC"/>
    <w:rsid w:val="00724F6B"/>
    <w:rsid w:val="00725C42"/>
    <w:rsid w:val="007260E3"/>
    <w:rsid w:val="00726632"/>
    <w:rsid w:val="00726A6C"/>
    <w:rsid w:val="007274DE"/>
    <w:rsid w:val="0073046E"/>
    <w:rsid w:val="00735B9A"/>
    <w:rsid w:val="007418CE"/>
    <w:rsid w:val="0074193D"/>
    <w:rsid w:val="00741BEA"/>
    <w:rsid w:val="0074513F"/>
    <w:rsid w:val="00750F1A"/>
    <w:rsid w:val="0075279B"/>
    <w:rsid w:val="0075293E"/>
    <w:rsid w:val="00754A27"/>
    <w:rsid w:val="00754B4E"/>
    <w:rsid w:val="00754CCD"/>
    <w:rsid w:val="007628A2"/>
    <w:rsid w:val="00766181"/>
    <w:rsid w:val="007665A7"/>
    <w:rsid w:val="00766F9E"/>
    <w:rsid w:val="007726DC"/>
    <w:rsid w:val="00773FE5"/>
    <w:rsid w:val="007749CC"/>
    <w:rsid w:val="0077561C"/>
    <w:rsid w:val="00775DD9"/>
    <w:rsid w:val="00777492"/>
    <w:rsid w:val="00780193"/>
    <w:rsid w:val="0078109C"/>
    <w:rsid w:val="007818C1"/>
    <w:rsid w:val="00784F3C"/>
    <w:rsid w:val="00791B77"/>
    <w:rsid w:val="00793B33"/>
    <w:rsid w:val="0079616B"/>
    <w:rsid w:val="0079737E"/>
    <w:rsid w:val="007A0337"/>
    <w:rsid w:val="007A1309"/>
    <w:rsid w:val="007A44C9"/>
    <w:rsid w:val="007A5301"/>
    <w:rsid w:val="007A6479"/>
    <w:rsid w:val="007B2CB8"/>
    <w:rsid w:val="007B5D94"/>
    <w:rsid w:val="007B715E"/>
    <w:rsid w:val="007B7DEC"/>
    <w:rsid w:val="007C41AB"/>
    <w:rsid w:val="007C6B4F"/>
    <w:rsid w:val="007C705E"/>
    <w:rsid w:val="007C7D27"/>
    <w:rsid w:val="007D1948"/>
    <w:rsid w:val="007D3041"/>
    <w:rsid w:val="007D44C0"/>
    <w:rsid w:val="007D50DF"/>
    <w:rsid w:val="007D6CA2"/>
    <w:rsid w:val="007D7FD3"/>
    <w:rsid w:val="007E7215"/>
    <w:rsid w:val="007F0AA0"/>
    <w:rsid w:val="007F0C65"/>
    <w:rsid w:val="007F2107"/>
    <w:rsid w:val="007F4FDF"/>
    <w:rsid w:val="0080341E"/>
    <w:rsid w:val="00805154"/>
    <w:rsid w:val="00810D6A"/>
    <w:rsid w:val="00811883"/>
    <w:rsid w:val="00812854"/>
    <w:rsid w:val="008151AB"/>
    <w:rsid w:val="00822FFF"/>
    <w:rsid w:val="00823009"/>
    <w:rsid w:val="00824924"/>
    <w:rsid w:val="00830ADB"/>
    <w:rsid w:val="00832023"/>
    <w:rsid w:val="00835672"/>
    <w:rsid w:val="008422DB"/>
    <w:rsid w:val="00845366"/>
    <w:rsid w:val="00845563"/>
    <w:rsid w:val="00846B04"/>
    <w:rsid w:val="00846B85"/>
    <w:rsid w:val="00847EF1"/>
    <w:rsid w:val="0085170F"/>
    <w:rsid w:val="008566C1"/>
    <w:rsid w:val="0086118C"/>
    <w:rsid w:val="00862D15"/>
    <w:rsid w:val="008630B1"/>
    <w:rsid w:val="00863A07"/>
    <w:rsid w:val="00864322"/>
    <w:rsid w:val="0087004A"/>
    <w:rsid w:val="00871CE8"/>
    <w:rsid w:val="0087640F"/>
    <w:rsid w:val="00880C20"/>
    <w:rsid w:val="00882266"/>
    <w:rsid w:val="0088299E"/>
    <w:rsid w:val="00885E47"/>
    <w:rsid w:val="00886436"/>
    <w:rsid w:val="00891794"/>
    <w:rsid w:val="00895417"/>
    <w:rsid w:val="008A59A1"/>
    <w:rsid w:val="008A7302"/>
    <w:rsid w:val="008B0E37"/>
    <w:rsid w:val="008B15DC"/>
    <w:rsid w:val="008B1C85"/>
    <w:rsid w:val="008B2E92"/>
    <w:rsid w:val="008C5BF9"/>
    <w:rsid w:val="008C6411"/>
    <w:rsid w:val="008C73A8"/>
    <w:rsid w:val="008C79EE"/>
    <w:rsid w:val="008D0B90"/>
    <w:rsid w:val="008D205A"/>
    <w:rsid w:val="008D41FE"/>
    <w:rsid w:val="008D5288"/>
    <w:rsid w:val="008D5BAB"/>
    <w:rsid w:val="008D64B6"/>
    <w:rsid w:val="008E03B2"/>
    <w:rsid w:val="008E130E"/>
    <w:rsid w:val="008E3B8C"/>
    <w:rsid w:val="008F0A19"/>
    <w:rsid w:val="008F24F1"/>
    <w:rsid w:val="008F33E3"/>
    <w:rsid w:val="008F5726"/>
    <w:rsid w:val="008F6BA8"/>
    <w:rsid w:val="008F742C"/>
    <w:rsid w:val="008F7603"/>
    <w:rsid w:val="009013B9"/>
    <w:rsid w:val="009015DE"/>
    <w:rsid w:val="00901EEB"/>
    <w:rsid w:val="00903C6F"/>
    <w:rsid w:val="00904A39"/>
    <w:rsid w:val="00906DF9"/>
    <w:rsid w:val="0091184A"/>
    <w:rsid w:val="00912D35"/>
    <w:rsid w:val="00913EA6"/>
    <w:rsid w:val="00914E3B"/>
    <w:rsid w:val="009154A5"/>
    <w:rsid w:val="009164E6"/>
    <w:rsid w:val="00921EF4"/>
    <w:rsid w:val="00925BE5"/>
    <w:rsid w:val="00925EBD"/>
    <w:rsid w:val="009265AA"/>
    <w:rsid w:val="00926E04"/>
    <w:rsid w:val="009300C2"/>
    <w:rsid w:val="00931E71"/>
    <w:rsid w:val="0093584A"/>
    <w:rsid w:val="009365CA"/>
    <w:rsid w:val="00947EBA"/>
    <w:rsid w:val="00950ABB"/>
    <w:rsid w:val="00951C6C"/>
    <w:rsid w:val="009601E9"/>
    <w:rsid w:val="00962717"/>
    <w:rsid w:val="009635F5"/>
    <w:rsid w:val="00964AA0"/>
    <w:rsid w:val="00964F9B"/>
    <w:rsid w:val="00965414"/>
    <w:rsid w:val="00967594"/>
    <w:rsid w:val="009713C7"/>
    <w:rsid w:val="0097285A"/>
    <w:rsid w:val="00972932"/>
    <w:rsid w:val="00976B02"/>
    <w:rsid w:val="00980945"/>
    <w:rsid w:val="0098474D"/>
    <w:rsid w:val="009873F8"/>
    <w:rsid w:val="009879A9"/>
    <w:rsid w:val="00987FEB"/>
    <w:rsid w:val="00993952"/>
    <w:rsid w:val="00993F6B"/>
    <w:rsid w:val="009957D9"/>
    <w:rsid w:val="009959B3"/>
    <w:rsid w:val="00995B0D"/>
    <w:rsid w:val="009A3372"/>
    <w:rsid w:val="009A3730"/>
    <w:rsid w:val="009A3A49"/>
    <w:rsid w:val="009A5EDA"/>
    <w:rsid w:val="009B0A4F"/>
    <w:rsid w:val="009B0B8D"/>
    <w:rsid w:val="009B5063"/>
    <w:rsid w:val="009B743D"/>
    <w:rsid w:val="009C1108"/>
    <w:rsid w:val="009C3921"/>
    <w:rsid w:val="009D16A2"/>
    <w:rsid w:val="009D34E9"/>
    <w:rsid w:val="009D428C"/>
    <w:rsid w:val="009D4947"/>
    <w:rsid w:val="009D64A8"/>
    <w:rsid w:val="009D7464"/>
    <w:rsid w:val="009D7F82"/>
    <w:rsid w:val="009E4670"/>
    <w:rsid w:val="009E489F"/>
    <w:rsid w:val="009E5128"/>
    <w:rsid w:val="009F23FF"/>
    <w:rsid w:val="009F422E"/>
    <w:rsid w:val="009F42D0"/>
    <w:rsid w:val="00A00034"/>
    <w:rsid w:val="00A022D4"/>
    <w:rsid w:val="00A024DC"/>
    <w:rsid w:val="00A042B4"/>
    <w:rsid w:val="00A060DE"/>
    <w:rsid w:val="00A060E1"/>
    <w:rsid w:val="00A1668A"/>
    <w:rsid w:val="00A17D1B"/>
    <w:rsid w:val="00A20988"/>
    <w:rsid w:val="00A25B09"/>
    <w:rsid w:val="00A26201"/>
    <w:rsid w:val="00A30884"/>
    <w:rsid w:val="00A34916"/>
    <w:rsid w:val="00A3571F"/>
    <w:rsid w:val="00A3573F"/>
    <w:rsid w:val="00A36165"/>
    <w:rsid w:val="00A3794A"/>
    <w:rsid w:val="00A44CDB"/>
    <w:rsid w:val="00A4585A"/>
    <w:rsid w:val="00A56798"/>
    <w:rsid w:val="00A70824"/>
    <w:rsid w:val="00A71264"/>
    <w:rsid w:val="00A71D43"/>
    <w:rsid w:val="00A73D8B"/>
    <w:rsid w:val="00A73E21"/>
    <w:rsid w:val="00A7526F"/>
    <w:rsid w:val="00A807C5"/>
    <w:rsid w:val="00A8408D"/>
    <w:rsid w:val="00A84E16"/>
    <w:rsid w:val="00A85169"/>
    <w:rsid w:val="00A861A4"/>
    <w:rsid w:val="00A91C52"/>
    <w:rsid w:val="00A93324"/>
    <w:rsid w:val="00A94992"/>
    <w:rsid w:val="00A966F8"/>
    <w:rsid w:val="00A96716"/>
    <w:rsid w:val="00AA18E0"/>
    <w:rsid w:val="00AA38C7"/>
    <w:rsid w:val="00AA63C9"/>
    <w:rsid w:val="00AB11F8"/>
    <w:rsid w:val="00AB1C20"/>
    <w:rsid w:val="00AB3B32"/>
    <w:rsid w:val="00AB579F"/>
    <w:rsid w:val="00AB7B62"/>
    <w:rsid w:val="00AB7CB2"/>
    <w:rsid w:val="00AC1C2F"/>
    <w:rsid w:val="00AC2C9D"/>
    <w:rsid w:val="00AC312B"/>
    <w:rsid w:val="00AC35D0"/>
    <w:rsid w:val="00AC3D10"/>
    <w:rsid w:val="00AC7BA8"/>
    <w:rsid w:val="00AD3D66"/>
    <w:rsid w:val="00AD4C6E"/>
    <w:rsid w:val="00AD52E4"/>
    <w:rsid w:val="00AD5677"/>
    <w:rsid w:val="00AD5DA1"/>
    <w:rsid w:val="00AD61C7"/>
    <w:rsid w:val="00AF0A1F"/>
    <w:rsid w:val="00AF33D6"/>
    <w:rsid w:val="00B009A8"/>
    <w:rsid w:val="00B03827"/>
    <w:rsid w:val="00B03B2E"/>
    <w:rsid w:val="00B0425F"/>
    <w:rsid w:val="00B078F0"/>
    <w:rsid w:val="00B114F5"/>
    <w:rsid w:val="00B148F6"/>
    <w:rsid w:val="00B14A10"/>
    <w:rsid w:val="00B1560C"/>
    <w:rsid w:val="00B15E79"/>
    <w:rsid w:val="00B17134"/>
    <w:rsid w:val="00B17400"/>
    <w:rsid w:val="00B2072A"/>
    <w:rsid w:val="00B20F32"/>
    <w:rsid w:val="00B24716"/>
    <w:rsid w:val="00B24D79"/>
    <w:rsid w:val="00B2676D"/>
    <w:rsid w:val="00B329BD"/>
    <w:rsid w:val="00B33936"/>
    <w:rsid w:val="00B36A4B"/>
    <w:rsid w:val="00B370DD"/>
    <w:rsid w:val="00B4025A"/>
    <w:rsid w:val="00B40BE7"/>
    <w:rsid w:val="00B4338D"/>
    <w:rsid w:val="00B44F79"/>
    <w:rsid w:val="00B55481"/>
    <w:rsid w:val="00B561DC"/>
    <w:rsid w:val="00B57970"/>
    <w:rsid w:val="00B57FCC"/>
    <w:rsid w:val="00B60580"/>
    <w:rsid w:val="00B70171"/>
    <w:rsid w:val="00B748A5"/>
    <w:rsid w:val="00B755A0"/>
    <w:rsid w:val="00B76C11"/>
    <w:rsid w:val="00B77A8D"/>
    <w:rsid w:val="00B80D96"/>
    <w:rsid w:val="00B8206A"/>
    <w:rsid w:val="00B852DE"/>
    <w:rsid w:val="00B86550"/>
    <w:rsid w:val="00B87F0E"/>
    <w:rsid w:val="00B910BD"/>
    <w:rsid w:val="00B96844"/>
    <w:rsid w:val="00BA006F"/>
    <w:rsid w:val="00BA058C"/>
    <w:rsid w:val="00BA1CD6"/>
    <w:rsid w:val="00BA2804"/>
    <w:rsid w:val="00BA2A7D"/>
    <w:rsid w:val="00BA3BFD"/>
    <w:rsid w:val="00BA56B1"/>
    <w:rsid w:val="00BA78AB"/>
    <w:rsid w:val="00BB0E0F"/>
    <w:rsid w:val="00BB1DB5"/>
    <w:rsid w:val="00BB2A4E"/>
    <w:rsid w:val="00BB3497"/>
    <w:rsid w:val="00BB5AAF"/>
    <w:rsid w:val="00BB7772"/>
    <w:rsid w:val="00BC0CA8"/>
    <w:rsid w:val="00BC1840"/>
    <w:rsid w:val="00BC5065"/>
    <w:rsid w:val="00BC588B"/>
    <w:rsid w:val="00BC5B17"/>
    <w:rsid w:val="00BC6ED1"/>
    <w:rsid w:val="00BC6F9D"/>
    <w:rsid w:val="00BC79D5"/>
    <w:rsid w:val="00BD480B"/>
    <w:rsid w:val="00BE0686"/>
    <w:rsid w:val="00BE2377"/>
    <w:rsid w:val="00BE296D"/>
    <w:rsid w:val="00BE7D41"/>
    <w:rsid w:val="00BF2DAE"/>
    <w:rsid w:val="00BF3DE4"/>
    <w:rsid w:val="00BF5198"/>
    <w:rsid w:val="00BF7B95"/>
    <w:rsid w:val="00C014D5"/>
    <w:rsid w:val="00C041E8"/>
    <w:rsid w:val="00C0700B"/>
    <w:rsid w:val="00C07E6F"/>
    <w:rsid w:val="00C101AE"/>
    <w:rsid w:val="00C115D0"/>
    <w:rsid w:val="00C12418"/>
    <w:rsid w:val="00C12877"/>
    <w:rsid w:val="00C14234"/>
    <w:rsid w:val="00C14E19"/>
    <w:rsid w:val="00C1537F"/>
    <w:rsid w:val="00C15D29"/>
    <w:rsid w:val="00C166E1"/>
    <w:rsid w:val="00C20163"/>
    <w:rsid w:val="00C2072B"/>
    <w:rsid w:val="00C2097B"/>
    <w:rsid w:val="00C20E0B"/>
    <w:rsid w:val="00C234FC"/>
    <w:rsid w:val="00C2688B"/>
    <w:rsid w:val="00C31644"/>
    <w:rsid w:val="00C33AA9"/>
    <w:rsid w:val="00C342F4"/>
    <w:rsid w:val="00C34833"/>
    <w:rsid w:val="00C349AF"/>
    <w:rsid w:val="00C37942"/>
    <w:rsid w:val="00C42430"/>
    <w:rsid w:val="00C453E4"/>
    <w:rsid w:val="00C470DD"/>
    <w:rsid w:val="00C47271"/>
    <w:rsid w:val="00C51BEA"/>
    <w:rsid w:val="00C5445F"/>
    <w:rsid w:val="00C54FC3"/>
    <w:rsid w:val="00C5577A"/>
    <w:rsid w:val="00C55CF9"/>
    <w:rsid w:val="00C56801"/>
    <w:rsid w:val="00C64B6E"/>
    <w:rsid w:val="00C64E1B"/>
    <w:rsid w:val="00C7114E"/>
    <w:rsid w:val="00C72B5C"/>
    <w:rsid w:val="00C74D8E"/>
    <w:rsid w:val="00C75300"/>
    <w:rsid w:val="00C8128D"/>
    <w:rsid w:val="00C8183F"/>
    <w:rsid w:val="00C848C1"/>
    <w:rsid w:val="00C850E1"/>
    <w:rsid w:val="00C87FA5"/>
    <w:rsid w:val="00C90E71"/>
    <w:rsid w:val="00C94543"/>
    <w:rsid w:val="00C96C02"/>
    <w:rsid w:val="00CA1212"/>
    <w:rsid w:val="00CA311A"/>
    <w:rsid w:val="00CA4216"/>
    <w:rsid w:val="00CA45F5"/>
    <w:rsid w:val="00CA6A9E"/>
    <w:rsid w:val="00CA7A6E"/>
    <w:rsid w:val="00CB427D"/>
    <w:rsid w:val="00CB752B"/>
    <w:rsid w:val="00CC1BD0"/>
    <w:rsid w:val="00CC3B38"/>
    <w:rsid w:val="00CC57E4"/>
    <w:rsid w:val="00CC582D"/>
    <w:rsid w:val="00CC5B01"/>
    <w:rsid w:val="00CC79EE"/>
    <w:rsid w:val="00CD1DB6"/>
    <w:rsid w:val="00CD3880"/>
    <w:rsid w:val="00CD402C"/>
    <w:rsid w:val="00CD7851"/>
    <w:rsid w:val="00CD7F9C"/>
    <w:rsid w:val="00CE005C"/>
    <w:rsid w:val="00CE0E3D"/>
    <w:rsid w:val="00CE17AA"/>
    <w:rsid w:val="00CE1F24"/>
    <w:rsid w:val="00CE31B0"/>
    <w:rsid w:val="00CE48AE"/>
    <w:rsid w:val="00CE608E"/>
    <w:rsid w:val="00CE69AF"/>
    <w:rsid w:val="00CF02D5"/>
    <w:rsid w:val="00CF25C5"/>
    <w:rsid w:val="00CF37AA"/>
    <w:rsid w:val="00CF5927"/>
    <w:rsid w:val="00CF6D23"/>
    <w:rsid w:val="00CF6E17"/>
    <w:rsid w:val="00CF7549"/>
    <w:rsid w:val="00D03876"/>
    <w:rsid w:val="00D10D14"/>
    <w:rsid w:val="00D11E5D"/>
    <w:rsid w:val="00D222C8"/>
    <w:rsid w:val="00D223B2"/>
    <w:rsid w:val="00D30D8F"/>
    <w:rsid w:val="00D31FE9"/>
    <w:rsid w:val="00D377AF"/>
    <w:rsid w:val="00D403EB"/>
    <w:rsid w:val="00D40EA8"/>
    <w:rsid w:val="00D41D5F"/>
    <w:rsid w:val="00D50056"/>
    <w:rsid w:val="00D54B14"/>
    <w:rsid w:val="00D54E95"/>
    <w:rsid w:val="00D55A11"/>
    <w:rsid w:val="00D55E19"/>
    <w:rsid w:val="00D56A79"/>
    <w:rsid w:val="00D6044E"/>
    <w:rsid w:val="00D606C6"/>
    <w:rsid w:val="00D6130F"/>
    <w:rsid w:val="00D63202"/>
    <w:rsid w:val="00D65161"/>
    <w:rsid w:val="00D66CF4"/>
    <w:rsid w:val="00D7127A"/>
    <w:rsid w:val="00D71A8C"/>
    <w:rsid w:val="00D7731E"/>
    <w:rsid w:val="00D80313"/>
    <w:rsid w:val="00D819BF"/>
    <w:rsid w:val="00D835A3"/>
    <w:rsid w:val="00D838B0"/>
    <w:rsid w:val="00D847C3"/>
    <w:rsid w:val="00D85429"/>
    <w:rsid w:val="00D85B9A"/>
    <w:rsid w:val="00D920E4"/>
    <w:rsid w:val="00D92288"/>
    <w:rsid w:val="00D92AC4"/>
    <w:rsid w:val="00D9350E"/>
    <w:rsid w:val="00DA2AAD"/>
    <w:rsid w:val="00DA3BAA"/>
    <w:rsid w:val="00DA43D7"/>
    <w:rsid w:val="00DA4ED6"/>
    <w:rsid w:val="00DB330A"/>
    <w:rsid w:val="00DB4A38"/>
    <w:rsid w:val="00DB4EA4"/>
    <w:rsid w:val="00DB58E3"/>
    <w:rsid w:val="00DB637A"/>
    <w:rsid w:val="00DB64C7"/>
    <w:rsid w:val="00DB6565"/>
    <w:rsid w:val="00DB790C"/>
    <w:rsid w:val="00DC03AE"/>
    <w:rsid w:val="00DC5912"/>
    <w:rsid w:val="00DD39CA"/>
    <w:rsid w:val="00DD3E6B"/>
    <w:rsid w:val="00DD5913"/>
    <w:rsid w:val="00DD7ADE"/>
    <w:rsid w:val="00DE00EC"/>
    <w:rsid w:val="00DE0B8A"/>
    <w:rsid w:val="00DE1613"/>
    <w:rsid w:val="00DE2717"/>
    <w:rsid w:val="00DE2F3E"/>
    <w:rsid w:val="00DE3992"/>
    <w:rsid w:val="00DE7835"/>
    <w:rsid w:val="00DF33D8"/>
    <w:rsid w:val="00DF39D0"/>
    <w:rsid w:val="00DF71CE"/>
    <w:rsid w:val="00DF7BAB"/>
    <w:rsid w:val="00DF7F4F"/>
    <w:rsid w:val="00E01B43"/>
    <w:rsid w:val="00E01B70"/>
    <w:rsid w:val="00E03569"/>
    <w:rsid w:val="00E03FB0"/>
    <w:rsid w:val="00E1050D"/>
    <w:rsid w:val="00E1227D"/>
    <w:rsid w:val="00E12A04"/>
    <w:rsid w:val="00E1539D"/>
    <w:rsid w:val="00E212A4"/>
    <w:rsid w:val="00E2180D"/>
    <w:rsid w:val="00E23595"/>
    <w:rsid w:val="00E23E1B"/>
    <w:rsid w:val="00E24FAF"/>
    <w:rsid w:val="00E33988"/>
    <w:rsid w:val="00E34A91"/>
    <w:rsid w:val="00E34A9A"/>
    <w:rsid w:val="00E35521"/>
    <w:rsid w:val="00E402ED"/>
    <w:rsid w:val="00E41108"/>
    <w:rsid w:val="00E42656"/>
    <w:rsid w:val="00E4269D"/>
    <w:rsid w:val="00E4326F"/>
    <w:rsid w:val="00E47501"/>
    <w:rsid w:val="00E479EE"/>
    <w:rsid w:val="00E524FF"/>
    <w:rsid w:val="00E52B77"/>
    <w:rsid w:val="00E53DC8"/>
    <w:rsid w:val="00E545F8"/>
    <w:rsid w:val="00E56FCC"/>
    <w:rsid w:val="00E618B3"/>
    <w:rsid w:val="00E67229"/>
    <w:rsid w:val="00E67A59"/>
    <w:rsid w:val="00E72043"/>
    <w:rsid w:val="00E728F2"/>
    <w:rsid w:val="00E73368"/>
    <w:rsid w:val="00E754E5"/>
    <w:rsid w:val="00E7752A"/>
    <w:rsid w:val="00E77FA2"/>
    <w:rsid w:val="00E83865"/>
    <w:rsid w:val="00E846F2"/>
    <w:rsid w:val="00E84B0C"/>
    <w:rsid w:val="00E86337"/>
    <w:rsid w:val="00E864A0"/>
    <w:rsid w:val="00E86D21"/>
    <w:rsid w:val="00E92E6A"/>
    <w:rsid w:val="00E962E3"/>
    <w:rsid w:val="00E96F71"/>
    <w:rsid w:val="00E972D1"/>
    <w:rsid w:val="00EA6088"/>
    <w:rsid w:val="00EB2DC3"/>
    <w:rsid w:val="00EB3E7D"/>
    <w:rsid w:val="00EB6493"/>
    <w:rsid w:val="00EB680D"/>
    <w:rsid w:val="00EC10F7"/>
    <w:rsid w:val="00EC30C6"/>
    <w:rsid w:val="00EC340F"/>
    <w:rsid w:val="00EC55A4"/>
    <w:rsid w:val="00EC6AC9"/>
    <w:rsid w:val="00EC75CD"/>
    <w:rsid w:val="00ED1921"/>
    <w:rsid w:val="00ED24C0"/>
    <w:rsid w:val="00ED253D"/>
    <w:rsid w:val="00ED3B7A"/>
    <w:rsid w:val="00ED5666"/>
    <w:rsid w:val="00ED58AE"/>
    <w:rsid w:val="00ED615F"/>
    <w:rsid w:val="00ED7803"/>
    <w:rsid w:val="00EE174C"/>
    <w:rsid w:val="00EE42C1"/>
    <w:rsid w:val="00EE7272"/>
    <w:rsid w:val="00EE72FE"/>
    <w:rsid w:val="00EE7851"/>
    <w:rsid w:val="00EF5378"/>
    <w:rsid w:val="00EF62DD"/>
    <w:rsid w:val="00EF6C85"/>
    <w:rsid w:val="00F0054C"/>
    <w:rsid w:val="00F0186C"/>
    <w:rsid w:val="00F05507"/>
    <w:rsid w:val="00F05C08"/>
    <w:rsid w:val="00F063C2"/>
    <w:rsid w:val="00F06E4C"/>
    <w:rsid w:val="00F1028C"/>
    <w:rsid w:val="00F103C9"/>
    <w:rsid w:val="00F17C49"/>
    <w:rsid w:val="00F20D9C"/>
    <w:rsid w:val="00F21CF2"/>
    <w:rsid w:val="00F22B25"/>
    <w:rsid w:val="00F22CDA"/>
    <w:rsid w:val="00F239A4"/>
    <w:rsid w:val="00F25A24"/>
    <w:rsid w:val="00F2648C"/>
    <w:rsid w:val="00F265A4"/>
    <w:rsid w:val="00F3007D"/>
    <w:rsid w:val="00F3042C"/>
    <w:rsid w:val="00F31B35"/>
    <w:rsid w:val="00F3440E"/>
    <w:rsid w:val="00F3639C"/>
    <w:rsid w:val="00F3787A"/>
    <w:rsid w:val="00F41818"/>
    <w:rsid w:val="00F429FB"/>
    <w:rsid w:val="00F43773"/>
    <w:rsid w:val="00F45BFA"/>
    <w:rsid w:val="00F50CC8"/>
    <w:rsid w:val="00F5418F"/>
    <w:rsid w:val="00F551B9"/>
    <w:rsid w:val="00F613AB"/>
    <w:rsid w:val="00F61447"/>
    <w:rsid w:val="00F62E8F"/>
    <w:rsid w:val="00F636DC"/>
    <w:rsid w:val="00F6646C"/>
    <w:rsid w:val="00F700E9"/>
    <w:rsid w:val="00F7055D"/>
    <w:rsid w:val="00F72F9A"/>
    <w:rsid w:val="00F738B7"/>
    <w:rsid w:val="00F767A3"/>
    <w:rsid w:val="00F80D82"/>
    <w:rsid w:val="00F82077"/>
    <w:rsid w:val="00F85DCF"/>
    <w:rsid w:val="00F86343"/>
    <w:rsid w:val="00F8665C"/>
    <w:rsid w:val="00F868DA"/>
    <w:rsid w:val="00F868FC"/>
    <w:rsid w:val="00F91B1D"/>
    <w:rsid w:val="00F92634"/>
    <w:rsid w:val="00F96644"/>
    <w:rsid w:val="00F97F26"/>
    <w:rsid w:val="00FA01AE"/>
    <w:rsid w:val="00FA35F1"/>
    <w:rsid w:val="00FA7923"/>
    <w:rsid w:val="00FB1E2E"/>
    <w:rsid w:val="00FB2A15"/>
    <w:rsid w:val="00FB6D19"/>
    <w:rsid w:val="00FC45B3"/>
    <w:rsid w:val="00FC4912"/>
    <w:rsid w:val="00FC59CF"/>
    <w:rsid w:val="00FC63FF"/>
    <w:rsid w:val="00FC6721"/>
    <w:rsid w:val="00FD3B48"/>
    <w:rsid w:val="00FD6799"/>
    <w:rsid w:val="00FD7CEA"/>
    <w:rsid w:val="00FE0BB4"/>
    <w:rsid w:val="00FE5008"/>
    <w:rsid w:val="00FE51CA"/>
    <w:rsid w:val="00FF015E"/>
    <w:rsid w:val="00FF09AE"/>
    <w:rsid w:val="00FF0D88"/>
    <w:rsid w:val="00FF1C7F"/>
    <w:rsid w:val="00FF5D34"/>
    <w:rsid w:val="00FF6FD1"/>
    <w:rsid w:val="013A3612"/>
    <w:rsid w:val="01692E5D"/>
    <w:rsid w:val="01A00DB8"/>
    <w:rsid w:val="01EA2131"/>
    <w:rsid w:val="029C57D8"/>
    <w:rsid w:val="02B32C00"/>
    <w:rsid w:val="033049C7"/>
    <w:rsid w:val="041F7ED2"/>
    <w:rsid w:val="04E50B95"/>
    <w:rsid w:val="05320C94"/>
    <w:rsid w:val="05DD6BAF"/>
    <w:rsid w:val="0622059D"/>
    <w:rsid w:val="06634889"/>
    <w:rsid w:val="069B0266"/>
    <w:rsid w:val="07323C5D"/>
    <w:rsid w:val="07944BFB"/>
    <w:rsid w:val="07F01A92"/>
    <w:rsid w:val="08BA49DD"/>
    <w:rsid w:val="08CD39FE"/>
    <w:rsid w:val="08EF5238"/>
    <w:rsid w:val="0A320D47"/>
    <w:rsid w:val="0A411361"/>
    <w:rsid w:val="0A48676E"/>
    <w:rsid w:val="0B7E67EB"/>
    <w:rsid w:val="0B8C5B00"/>
    <w:rsid w:val="0BFA6134"/>
    <w:rsid w:val="0C384333"/>
    <w:rsid w:val="0C5C2956"/>
    <w:rsid w:val="0D471659"/>
    <w:rsid w:val="0D635706"/>
    <w:rsid w:val="0D7408D3"/>
    <w:rsid w:val="0DCB3E31"/>
    <w:rsid w:val="0F601CC9"/>
    <w:rsid w:val="10472EC0"/>
    <w:rsid w:val="10A5455F"/>
    <w:rsid w:val="110E070B"/>
    <w:rsid w:val="119A4A24"/>
    <w:rsid w:val="11C25C30"/>
    <w:rsid w:val="11C833BC"/>
    <w:rsid w:val="12917C95"/>
    <w:rsid w:val="135B5D51"/>
    <w:rsid w:val="13DE2AA7"/>
    <w:rsid w:val="14307CC1"/>
    <w:rsid w:val="14B95C8D"/>
    <w:rsid w:val="15383FDD"/>
    <w:rsid w:val="16913315"/>
    <w:rsid w:val="169D7C15"/>
    <w:rsid w:val="16AA063C"/>
    <w:rsid w:val="16E4531E"/>
    <w:rsid w:val="170A775C"/>
    <w:rsid w:val="17C26F0A"/>
    <w:rsid w:val="17D65BAB"/>
    <w:rsid w:val="19800165"/>
    <w:rsid w:val="19E13681"/>
    <w:rsid w:val="1ABC20EB"/>
    <w:rsid w:val="1BA942F2"/>
    <w:rsid w:val="1C186B24"/>
    <w:rsid w:val="1C3B7FDD"/>
    <w:rsid w:val="1C4A05F8"/>
    <w:rsid w:val="1C6A0B2D"/>
    <w:rsid w:val="1C8B6E63"/>
    <w:rsid w:val="1CE407F6"/>
    <w:rsid w:val="1D457596"/>
    <w:rsid w:val="1D9E7C25"/>
    <w:rsid w:val="1DE37094"/>
    <w:rsid w:val="1F7F013A"/>
    <w:rsid w:val="1FCD7EB9"/>
    <w:rsid w:val="20A05C93"/>
    <w:rsid w:val="20C274CD"/>
    <w:rsid w:val="22762396"/>
    <w:rsid w:val="23195423"/>
    <w:rsid w:val="2364421D"/>
    <w:rsid w:val="23B21D9E"/>
    <w:rsid w:val="24593831"/>
    <w:rsid w:val="245A12B2"/>
    <w:rsid w:val="24A71BF2"/>
    <w:rsid w:val="25074C4E"/>
    <w:rsid w:val="26B76B93"/>
    <w:rsid w:val="2781405D"/>
    <w:rsid w:val="29051C5B"/>
    <w:rsid w:val="29315FA2"/>
    <w:rsid w:val="294B23CF"/>
    <w:rsid w:val="29755792"/>
    <w:rsid w:val="29824AA8"/>
    <w:rsid w:val="2AB01C96"/>
    <w:rsid w:val="2B964513"/>
    <w:rsid w:val="2BA534A8"/>
    <w:rsid w:val="2BB36041"/>
    <w:rsid w:val="2BD8717A"/>
    <w:rsid w:val="2C665AE5"/>
    <w:rsid w:val="2C6C546F"/>
    <w:rsid w:val="2C8C7F23"/>
    <w:rsid w:val="2C960832"/>
    <w:rsid w:val="2CD64E9F"/>
    <w:rsid w:val="2D4609D6"/>
    <w:rsid w:val="2DB56825"/>
    <w:rsid w:val="2E5C271C"/>
    <w:rsid w:val="2F2B1AF0"/>
    <w:rsid w:val="2FE77CA5"/>
    <w:rsid w:val="308212F1"/>
    <w:rsid w:val="30C82816"/>
    <w:rsid w:val="314F5F72"/>
    <w:rsid w:val="31763C33"/>
    <w:rsid w:val="31BC0B24"/>
    <w:rsid w:val="320A1F29"/>
    <w:rsid w:val="326844C0"/>
    <w:rsid w:val="338019F9"/>
    <w:rsid w:val="340A166E"/>
    <w:rsid w:val="34F13EEA"/>
    <w:rsid w:val="35291AC6"/>
    <w:rsid w:val="359C6581"/>
    <w:rsid w:val="363D610B"/>
    <w:rsid w:val="367252E0"/>
    <w:rsid w:val="36820BD0"/>
    <w:rsid w:val="378D25B5"/>
    <w:rsid w:val="37920D8B"/>
    <w:rsid w:val="37F66761"/>
    <w:rsid w:val="387A56B5"/>
    <w:rsid w:val="395850A3"/>
    <w:rsid w:val="39A77FC1"/>
    <w:rsid w:val="3A3A5696"/>
    <w:rsid w:val="3AD24910"/>
    <w:rsid w:val="3AFB444F"/>
    <w:rsid w:val="3B135379"/>
    <w:rsid w:val="3BFB7875"/>
    <w:rsid w:val="3C360954"/>
    <w:rsid w:val="3CA21308"/>
    <w:rsid w:val="3D2B37EA"/>
    <w:rsid w:val="3D35473F"/>
    <w:rsid w:val="3DA874E9"/>
    <w:rsid w:val="3DCA206F"/>
    <w:rsid w:val="3DCE0A75"/>
    <w:rsid w:val="3E263682"/>
    <w:rsid w:val="3EC34805"/>
    <w:rsid w:val="3F407652"/>
    <w:rsid w:val="3FA00970"/>
    <w:rsid w:val="3FD16F41"/>
    <w:rsid w:val="3FF86E00"/>
    <w:rsid w:val="405936EC"/>
    <w:rsid w:val="405A1423"/>
    <w:rsid w:val="40BF3346"/>
    <w:rsid w:val="4166285A"/>
    <w:rsid w:val="41B55E5D"/>
    <w:rsid w:val="42E21D47"/>
    <w:rsid w:val="4315129C"/>
    <w:rsid w:val="44310DC6"/>
    <w:rsid w:val="447943E7"/>
    <w:rsid w:val="44F404AD"/>
    <w:rsid w:val="45023046"/>
    <w:rsid w:val="45295484"/>
    <w:rsid w:val="45585FD3"/>
    <w:rsid w:val="455B6F58"/>
    <w:rsid w:val="459425B5"/>
    <w:rsid w:val="47262D4B"/>
    <w:rsid w:val="473467DE"/>
    <w:rsid w:val="476218AB"/>
    <w:rsid w:val="47883CE9"/>
    <w:rsid w:val="47A8679C"/>
    <w:rsid w:val="480A2FBE"/>
    <w:rsid w:val="48966425"/>
    <w:rsid w:val="48BA78DE"/>
    <w:rsid w:val="48E16EF5"/>
    <w:rsid w:val="49780F96"/>
    <w:rsid w:val="49AB4C68"/>
    <w:rsid w:val="49BD3C89"/>
    <w:rsid w:val="4A5C16DE"/>
    <w:rsid w:val="4AD359CF"/>
    <w:rsid w:val="4B986A12"/>
    <w:rsid w:val="4BC61AE0"/>
    <w:rsid w:val="4CE64136"/>
    <w:rsid w:val="4D5521EB"/>
    <w:rsid w:val="4DBF769C"/>
    <w:rsid w:val="4E462DF8"/>
    <w:rsid w:val="4E493D7D"/>
    <w:rsid w:val="4EFC0778"/>
    <w:rsid w:val="4F1137C6"/>
    <w:rsid w:val="4F311AFC"/>
    <w:rsid w:val="4F3E44C7"/>
    <w:rsid w:val="4FAB39C4"/>
    <w:rsid w:val="4FB27ACC"/>
    <w:rsid w:val="508B3032"/>
    <w:rsid w:val="50D5692A"/>
    <w:rsid w:val="511B709E"/>
    <w:rsid w:val="51465964"/>
    <w:rsid w:val="517777B8"/>
    <w:rsid w:val="52ED6F99"/>
    <w:rsid w:val="53427D28"/>
    <w:rsid w:val="54442DCE"/>
    <w:rsid w:val="54A5650C"/>
    <w:rsid w:val="54A96376"/>
    <w:rsid w:val="54DB45C6"/>
    <w:rsid w:val="55D831E4"/>
    <w:rsid w:val="55E67F7B"/>
    <w:rsid w:val="56162CC9"/>
    <w:rsid w:val="56E15C15"/>
    <w:rsid w:val="57A7215B"/>
    <w:rsid w:val="57AD4064"/>
    <w:rsid w:val="5800606D"/>
    <w:rsid w:val="580D3184"/>
    <w:rsid w:val="58813143"/>
    <w:rsid w:val="58A46B7A"/>
    <w:rsid w:val="58CA6DBA"/>
    <w:rsid w:val="592B5B5A"/>
    <w:rsid w:val="59B731BF"/>
    <w:rsid w:val="5AD2718F"/>
    <w:rsid w:val="5B301727"/>
    <w:rsid w:val="5BD57CB7"/>
    <w:rsid w:val="5D7B778A"/>
    <w:rsid w:val="5EC37085"/>
    <w:rsid w:val="5F3560BF"/>
    <w:rsid w:val="5F523471"/>
    <w:rsid w:val="5F6B1E1C"/>
    <w:rsid w:val="5F813FC0"/>
    <w:rsid w:val="5FDD3055"/>
    <w:rsid w:val="605B5EA1"/>
    <w:rsid w:val="61782DF6"/>
    <w:rsid w:val="62BC5A0C"/>
    <w:rsid w:val="637B6D43"/>
    <w:rsid w:val="63DC38E5"/>
    <w:rsid w:val="6444420E"/>
    <w:rsid w:val="644D291F"/>
    <w:rsid w:val="64875F7C"/>
    <w:rsid w:val="64DA367B"/>
    <w:rsid w:val="657A403B"/>
    <w:rsid w:val="658A2326"/>
    <w:rsid w:val="65B456E9"/>
    <w:rsid w:val="65B6666E"/>
    <w:rsid w:val="65D07218"/>
    <w:rsid w:val="66090676"/>
    <w:rsid w:val="66277453"/>
    <w:rsid w:val="667F60B7"/>
    <w:rsid w:val="66C455DB"/>
    <w:rsid w:val="678149E0"/>
    <w:rsid w:val="68434A9E"/>
    <w:rsid w:val="68EA072F"/>
    <w:rsid w:val="69426BBF"/>
    <w:rsid w:val="6A100511"/>
    <w:rsid w:val="6A306848"/>
    <w:rsid w:val="6A865F51"/>
    <w:rsid w:val="6ACC66C6"/>
    <w:rsid w:val="6B2312D3"/>
    <w:rsid w:val="6BE31711"/>
    <w:rsid w:val="6C0618C6"/>
    <w:rsid w:val="6DC77328"/>
    <w:rsid w:val="6EA72219"/>
    <w:rsid w:val="6ECA7E4F"/>
    <w:rsid w:val="6EE75201"/>
    <w:rsid w:val="6EFC51A7"/>
    <w:rsid w:val="6F6E41E1"/>
    <w:rsid w:val="70543070"/>
    <w:rsid w:val="705D390F"/>
    <w:rsid w:val="70CB271E"/>
    <w:rsid w:val="70DB6936"/>
    <w:rsid w:val="72694E43"/>
    <w:rsid w:val="73316B86"/>
    <w:rsid w:val="74113EFA"/>
    <w:rsid w:val="744542F2"/>
    <w:rsid w:val="744D0B8C"/>
    <w:rsid w:val="746D6812"/>
    <w:rsid w:val="75080C0F"/>
    <w:rsid w:val="75D06459"/>
    <w:rsid w:val="75E95CFE"/>
    <w:rsid w:val="765069A7"/>
    <w:rsid w:val="76EB4627"/>
    <w:rsid w:val="772C5091"/>
    <w:rsid w:val="7776200D"/>
    <w:rsid w:val="7844395F"/>
    <w:rsid w:val="788D17D5"/>
    <w:rsid w:val="79202048"/>
    <w:rsid w:val="79221CC8"/>
    <w:rsid w:val="7949798A"/>
    <w:rsid w:val="79757554"/>
    <w:rsid w:val="79A00398"/>
    <w:rsid w:val="79CE6D9E"/>
    <w:rsid w:val="7A7051EE"/>
    <w:rsid w:val="7AD60415"/>
    <w:rsid w:val="7B81632F"/>
    <w:rsid w:val="7C0E3995"/>
    <w:rsid w:val="7C1B2CAB"/>
    <w:rsid w:val="7C2E3ECA"/>
    <w:rsid w:val="7CAA3813"/>
    <w:rsid w:val="7DFB5AC7"/>
    <w:rsid w:val="7E5512D0"/>
    <w:rsid w:val="7E890826"/>
    <w:rsid w:val="7EBA0FF5"/>
    <w:rsid w:val="7F462DFC"/>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ocked="1"/>
    <w:lsdException w:qFormat="1" w:unhideWhenUsed="0" w:uiPriority="99" w:semiHidden="0" w:name="toc 3"/>
    <w:lsdException w:qFormat="1" w:unhideWhenUsed="0" w:uiPriority="99" w:semiHidden="0" w:name="toc 4" w:locked="1"/>
    <w:lsdException w:unhideWhenUsed="0" w:uiPriority="99" w:semiHidden="0" w:name="toc 5" w:locked="1"/>
    <w:lsdException w:qFormat="1" w:unhideWhenUsed="0" w:uiPriority="99" w:semiHidden="0" w:name="toc 6" w:locked="1"/>
    <w:lsdException w:qFormat="1" w:unhideWhenUsed="0" w:uiPriority="99" w:semiHidden="0" w:name="toc 7" w:locked="1"/>
    <w:lsdException w:qFormat="1" w:unhideWhenUsed="0" w:uiPriority="99" w:semiHidden="0" w:name="toc 8" w:locked="1"/>
    <w:lsdException w:qFormat="1" w:unhideWhenUsed="0" w:uiPriority="99" w:semiHidden="0" w:name="toc 9" w:locked="1"/>
    <w:lsdException w:uiPriority="99" w:name="Normal Indent"/>
    <w:lsdException w:qFormat="1" w:unhideWhenUsed="0"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28"/>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9"/>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30"/>
    <w:qFormat/>
    <w:uiPriority w:val="99"/>
    <w:pPr>
      <w:keepNext/>
      <w:keepLines/>
      <w:spacing w:before="260" w:after="260" w:line="416" w:lineRule="auto"/>
      <w:outlineLvl w:val="2"/>
    </w:pPr>
    <w:rPr>
      <w:b/>
      <w:bCs/>
      <w:sz w:val="32"/>
      <w:szCs w:val="32"/>
    </w:rPr>
  </w:style>
  <w:style w:type="paragraph" w:styleId="5">
    <w:name w:val="heading 4"/>
    <w:basedOn w:val="1"/>
    <w:next w:val="1"/>
    <w:link w:val="31"/>
    <w:qFormat/>
    <w:uiPriority w:val="99"/>
    <w:pPr>
      <w:keepNext/>
      <w:keepLines/>
      <w:spacing w:before="280" w:after="290" w:line="376" w:lineRule="auto"/>
      <w:outlineLvl w:val="3"/>
    </w:pPr>
    <w:rPr>
      <w:rFonts w:ascii="Cambria" w:hAnsi="Cambria"/>
      <w:b/>
      <w:bCs/>
      <w:sz w:val="28"/>
      <w:szCs w:val="28"/>
    </w:rPr>
  </w:style>
  <w:style w:type="character" w:default="1" w:styleId="22">
    <w:name w:val="Default Paragraph Font"/>
    <w:semiHidden/>
    <w:qFormat/>
    <w:uiPriority w:val="99"/>
  </w:style>
  <w:style w:type="table" w:default="1" w:styleId="26">
    <w:name w:val="Normal Table"/>
    <w:unhideWhenUsed/>
    <w:qFormat/>
    <w:uiPriority w:val="99"/>
    <w:tblPr>
      <w:tblLayout w:type="fixed"/>
      <w:tblCellMar>
        <w:top w:w="0" w:type="dxa"/>
        <w:left w:w="108" w:type="dxa"/>
        <w:bottom w:w="0" w:type="dxa"/>
        <w:right w:w="108" w:type="dxa"/>
      </w:tblCellMar>
    </w:tblPr>
  </w:style>
  <w:style w:type="paragraph" w:styleId="6">
    <w:name w:val="toc 7"/>
    <w:basedOn w:val="1"/>
    <w:next w:val="1"/>
    <w:qFormat/>
    <w:locked/>
    <w:uiPriority w:val="99"/>
    <w:pPr>
      <w:ind w:left="2520" w:leftChars="1200"/>
    </w:pPr>
  </w:style>
  <w:style w:type="paragraph" w:styleId="7">
    <w:name w:val="Document Map"/>
    <w:basedOn w:val="1"/>
    <w:link w:val="32"/>
    <w:semiHidden/>
    <w:qFormat/>
    <w:uiPriority w:val="99"/>
    <w:rPr>
      <w:rFonts w:ascii="宋体"/>
      <w:sz w:val="18"/>
      <w:szCs w:val="18"/>
    </w:rPr>
  </w:style>
  <w:style w:type="paragraph" w:styleId="8">
    <w:name w:val="toc 5"/>
    <w:basedOn w:val="1"/>
    <w:next w:val="1"/>
    <w:locked/>
    <w:uiPriority w:val="99"/>
    <w:pPr>
      <w:ind w:left="1680" w:leftChars="800"/>
    </w:pPr>
  </w:style>
  <w:style w:type="paragraph" w:styleId="9">
    <w:name w:val="toc 3"/>
    <w:basedOn w:val="1"/>
    <w:next w:val="1"/>
    <w:qFormat/>
    <w:uiPriority w:val="99"/>
    <w:pPr>
      <w:ind w:left="840" w:leftChars="400"/>
    </w:pPr>
  </w:style>
  <w:style w:type="paragraph" w:styleId="10">
    <w:name w:val="toc 8"/>
    <w:basedOn w:val="1"/>
    <w:next w:val="1"/>
    <w:qFormat/>
    <w:locked/>
    <w:uiPriority w:val="99"/>
    <w:pPr>
      <w:ind w:left="2940" w:leftChars="1400"/>
    </w:pPr>
  </w:style>
  <w:style w:type="paragraph" w:styleId="11">
    <w:name w:val="Date"/>
    <w:basedOn w:val="1"/>
    <w:next w:val="1"/>
    <w:link w:val="33"/>
    <w:semiHidden/>
    <w:qFormat/>
    <w:uiPriority w:val="99"/>
    <w:pPr>
      <w:ind w:left="100" w:leftChars="2500"/>
    </w:pPr>
  </w:style>
  <w:style w:type="paragraph" w:styleId="12">
    <w:name w:val="Balloon Text"/>
    <w:basedOn w:val="1"/>
    <w:link w:val="34"/>
    <w:semiHidden/>
    <w:qFormat/>
    <w:uiPriority w:val="99"/>
    <w:rPr>
      <w:sz w:val="18"/>
      <w:szCs w:val="18"/>
    </w:rPr>
  </w:style>
  <w:style w:type="paragraph" w:styleId="13">
    <w:name w:val="footer"/>
    <w:basedOn w:val="1"/>
    <w:link w:val="35"/>
    <w:qFormat/>
    <w:uiPriority w:val="99"/>
    <w:pPr>
      <w:tabs>
        <w:tab w:val="center" w:pos="4153"/>
        <w:tab w:val="right" w:pos="8306"/>
      </w:tabs>
      <w:snapToGrid w:val="0"/>
      <w:jc w:val="left"/>
    </w:pPr>
    <w:rPr>
      <w:sz w:val="18"/>
      <w:szCs w:val="18"/>
    </w:rPr>
  </w:style>
  <w:style w:type="paragraph" w:styleId="14">
    <w:name w:val="header"/>
    <w:basedOn w:val="1"/>
    <w:link w:val="36"/>
    <w:semiHidden/>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99"/>
  </w:style>
  <w:style w:type="paragraph" w:styleId="16">
    <w:name w:val="toc 4"/>
    <w:basedOn w:val="1"/>
    <w:next w:val="1"/>
    <w:qFormat/>
    <w:locked/>
    <w:uiPriority w:val="99"/>
    <w:pPr>
      <w:ind w:left="1260" w:leftChars="600"/>
    </w:pPr>
  </w:style>
  <w:style w:type="paragraph" w:styleId="17">
    <w:name w:val="footnote text"/>
    <w:basedOn w:val="1"/>
    <w:link w:val="37"/>
    <w:semiHidden/>
    <w:qFormat/>
    <w:uiPriority w:val="99"/>
    <w:pPr>
      <w:snapToGrid w:val="0"/>
      <w:jc w:val="left"/>
    </w:pPr>
    <w:rPr>
      <w:kern w:val="0"/>
      <w:sz w:val="18"/>
      <w:szCs w:val="18"/>
    </w:rPr>
  </w:style>
  <w:style w:type="paragraph" w:styleId="18">
    <w:name w:val="toc 6"/>
    <w:basedOn w:val="1"/>
    <w:next w:val="1"/>
    <w:qFormat/>
    <w:locked/>
    <w:uiPriority w:val="99"/>
    <w:pPr>
      <w:ind w:left="2100" w:leftChars="1000"/>
    </w:pPr>
  </w:style>
  <w:style w:type="paragraph" w:styleId="19">
    <w:name w:val="toc 2"/>
    <w:basedOn w:val="1"/>
    <w:next w:val="1"/>
    <w:qFormat/>
    <w:locked/>
    <w:uiPriority w:val="99"/>
    <w:pPr>
      <w:ind w:left="420" w:leftChars="200"/>
    </w:pPr>
  </w:style>
  <w:style w:type="paragraph" w:styleId="20">
    <w:name w:val="toc 9"/>
    <w:basedOn w:val="1"/>
    <w:next w:val="1"/>
    <w:qFormat/>
    <w:locked/>
    <w:uiPriority w:val="99"/>
    <w:pPr>
      <w:ind w:left="3360" w:leftChars="1600"/>
    </w:pPr>
  </w:style>
  <w:style w:type="paragraph" w:styleId="2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23">
    <w:name w:val="page number"/>
    <w:basedOn w:val="22"/>
    <w:qFormat/>
    <w:uiPriority w:val="99"/>
    <w:rPr>
      <w:rFonts w:cs="Times New Roman"/>
    </w:rPr>
  </w:style>
  <w:style w:type="character" w:styleId="24">
    <w:name w:val="Hyperlink"/>
    <w:basedOn w:val="22"/>
    <w:qFormat/>
    <w:uiPriority w:val="99"/>
    <w:rPr>
      <w:rFonts w:cs="Times New Roman"/>
      <w:color w:val="0000FF"/>
      <w:u w:val="single"/>
    </w:rPr>
  </w:style>
  <w:style w:type="character" w:styleId="25">
    <w:name w:val="footnote reference"/>
    <w:basedOn w:val="22"/>
    <w:semiHidden/>
    <w:qFormat/>
    <w:uiPriority w:val="99"/>
    <w:rPr>
      <w:rFonts w:cs="Times New Roman"/>
      <w:vertAlign w:val="superscript"/>
    </w:rPr>
  </w:style>
  <w:style w:type="table" w:styleId="27">
    <w:name w:val="Table Grid"/>
    <w:basedOn w:val="2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8">
    <w:name w:val="Heading 1 Char"/>
    <w:basedOn w:val="22"/>
    <w:link w:val="2"/>
    <w:qFormat/>
    <w:locked/>
    <w:uiPriority w:val="99"/>
    <w:rPr>
      <w:rFonts w:cs="Times New Roman"/>
      <w:b/>
      <w:kern w:val="44"/>
      <w:sz w:val="44"/>
    </w:rPr>
  </w:style>
  <w:style w:type="character" w:customStyle="1" w:styleId="29">
    <w:name w:val="Heading 2 Char"/>
    <w:basedOn w:val="22"/>
    <w:link w:val="3"/>
    <w:qFormat/>
    <w:locked/>
    <w:uiPriority w:val="99"/>
    <w:rPr>
      <w:rFonts w:ascii="Cambria" w:hAnsi="Cambria" w:eastAsia="宋体" w:cs="Times New Roman"/>
      <w:b/>
      <w:kern w:val="2"/>
      <w:sz w:val="32"/>
    </w:rPr>
  </w:style>
  <w:style w:type="character" w:customStyle="1" w:styleId="30">
    <w:name w:val="Heading 3 Char"/>
    <w:basedOn w:val="22"/>
    <w:link w:val="4"/>
    <w:semiHidden/>
    <w:qFormat/>
    <w:locked/>
    <w:uiPriority w:val="99"/>
    <w:rPr>
      <w:rFonts w:cs="Times New Roman"/>
      <w:b/>
      <w:kern w:val="2"/>
      <w:sz w:val="32"/>
    </w:rPr>
  </w:style>
  <w:style w:type="character" w:customStyle="1" w:styleId="31">
    <w:name w:val="Heading 4 Char"/>
    <w:basedOn w:val="22"/>
    <w:link w:val="5"/>
    <w:qFormat/>
    <w:locked/>
    <w:uiPriority w:val="99"/>
    <w:rPr>
      <w:rFonts w:ascii="Cambria" w:hAnsi="Cambria" w:eastAsia="宋体" w:cs="Times New Roman"/>
      <w:b/>
      <w:kern w:val="2"/>
      <w:sz w:val="28"/>
    </w:rPr>
  </w:style>
  <w:style w:type="character" w:customStyle="1" w:styleId="32">
    <w:name w:val="Document Map Char"/>
    <w:basedOn w:val="22"/>
    <w:link w:val="7"/>
    <w:semiHidden/>
    <w:qFormat/>
    <w:locked/>
    <w:uiPriority w:val="99"/>
    <w:rPr>
      <w:rFonts w:ascii="宋体" w:cs="Times New Roman"/>
      <w:kern w:val="2"/>
      <w:sz w:val="18"/>
    </w:rPr>
  </w:style>
  <w:style w:type="character" w:customStyle="1" w:styleId="33">
    <w:name w:val="Date Char"/>
    <w:basedOn w:val="22"/>
    <w:link w:val="11"/>
    <w:semiHidden/>
    <w:qFormat/>
    <w:locked/>
    <w:uiPriority w:val="99"/>
    <w:rPr>
      <w:rFonts w:cs="Times New Roman"/>
      <w:kern w:val="2"/>
      <w:sz w:val="21"/>
    </w:rPr>
  </w:style>
  <w:style w:type="character" w:customStyle="1" w:styleId="34">
    <w:name w:val="Balloon Text Char"/>
    <w:basedOn w:val="22"/>
    <w:link w:val="12"/>
    <w:semiHidden/>
    <w:locked/>
    <w:uiPriority w:val="99"/>
    <w:rPr>
      <w:rFonts w:cs="Times New Roman"/>
      <w:kern w:val="2"/>
      <w:sz w:val="18"/>
    </w:rPr>
  </w:style>
  <w:style w:type="character" w:customStyle="1" w:styleId="35">
    <w:name w:val="Footer Char"/>
    <w:basedOn w:val="22"/>
    <w:link w:val="13"/>
    <w:qFormat/>
    <w:locked/>
    <w:uiPriority w:val="99"/>
    <w:rPr>
      <w:rFonts w:cs="Times New Roman"/>
      <w:kern w:val="2"/>
      <w:sz w:val="18"/>
    </w:rPr>
  </w:style>
  <w:style w:type="character" w:customStyle="1" w:styleId="36">
    <w:name w:val="Header Char"/>
    <w:basedOn w:val="22"/>
    <w:link w:val="14"/>
    <w:semiHidden/>
    <w:qFormat/>
    <w:locked/>
    <w:uiPriority w:val="99"/>
    <w:rPr>
      <w:rFonts w:cs="Times New Roman"/>
      <w:kern w:val="2"/>
      <w:sz w:val="18"/>
    </w:rPr>
  </w:style>
  <w:style w:type="character" w:customStyle="1" w:styleId="37">
    <w:name w:val="Footnote Text Char"/>
    <w:basedOn w:val="22"/>
    <w:link w:val="17"/>
    <w:semiHidden/>
    <w:qFormat/>
    <w:locked/>
    <w:uiPriority w:val="99"/>
    <w:rPr>
      <w:rFonts w:cs="Times New Roman"/>
      <w:sz w:val="18"/>
    </w:rPr>
  </w:style>
  <w:style w:type="character" w:customStyle="1" w:styleId="38">
    <w:name w:val="apple-converted-space"/>
    <w:qFormat/>
    <w:uiPriority w:val="99"/>
  </w:style>
  <w:style w:type="paragraph" w:customStyle="1" w:styleId="39">
    <w:name w:val="List Paragraph1"/>
    <w:basedOn w:val="1"/>
    <w:qFormat/>
    <w:uiPriority w:val="99"/>
    <w:pPr>
      <w:ind w:firstLine="420" w:firstLineChars="200"/>
    </w:pPr>
  </w:style>
  <w:style w:type="character" w:customStyle="1" w:styleId="40">
    <w:name w:val="title-text"/>
    <w:qFormat/>
    <w:uiPriority w:val="99"/>
  </w:style>
  <w:style w:type="character" w:customStyle="1" w:styleId="41">
    <w:name w:val="description"/>
    <w:uiPriority w:val="99"/>
  </w:style>
  <w:style w:type="paragraph" w:customStyle="1" w:styleId="42">
    <w:name w:val="Char"/>
    <w:basedOn w:val="1"/>
    <w:qFormat/>
    <w:uiPriority w:val="99"/>
    <w:pPr>
      <w:spacing w:beforeLines="50" w:afterLines="50"/>
      <w:ind w:firstLine="200" w:firstLineChars="200"/>
    </w:pPr>
    <w:rPr>
      <w:rFonts w:ascii="宋体" w:hAnsi="宋体" w:cs="Courier New"/>
      <w:spacing w:val="-2"/>
      <w:sz w:val="22"/>
      <w:szCs w:val="32"/>
    </w:rPr>
  </w:style>
  <w:style w:type="paragraph" w:customStyle="1" w:styleId="43">
    <w:name w:val="样式 内容 + 首行缩进:  2 字符"/>
    <w:basedOn w:val="1"/>
    <w:link w:val="44"/>
    <w:qFormat/>
    <w:uiPriority w:val="99"/>
    <w:pPr>
      <w:spacing w:beforeLines="30" w:line="300" w:lineRule="auto"/>
      <w:ind w:firstLine="480" w:firstLineChars="200"/>
    </w:pPr>
    <w:rPr>
      <w:sz w:val="24"/>
    </w:rPr>
  </w:style>
  <w:style w:type="character" w:customStyle="1" w:styleId="44">
    <w:name w:val="样式 内容 + 首行缩进:  2 字符 Char"/>
    <w:link w:val="43"/>
    <w:qFormat/>
    <w:locked/>
    <w:uiPriority w:val="99"/>
    <w:rPr>
      <w:kern w:val="2"/>
      <w:sz w:val="24"/>
    </w:rPr>
  </w:style>
  <w:style w:type="paragraph" w:customStyle="1" w:styleId="45">
    <w:name w:val="列出段落1"/>
    <w:basedOn w:val="1"/>
    <w:qFormat/>
    <w:uiPriority w:val="99"/>
    <w:pPr>
      <w:ind w:firstLine="420" w:firstLineChars="200"/>
    </w:pPr>
    <w:rPr>
      <w:rFonts w:ascii="Calibri" w:hAnsi="Calibri" w:cs="黑体"/>
      <w:szCs w:val="22"/>
    </w:rPr>
  </w:style>
  <w:style w:type="table" w:customStyle="1" w:styleId="46">
    <w:name w:val="网格型1"/>
    <w:qFormat/>
    <w:uiPriority w:val="99"/>
    <w:rPr>
      <w:rFonts w:ascii="Cambria" w:hAnsi="Cambria"/>
      <w:kern w:val="0"/>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47">
    <w:name w:val="正文2"/>
    <w:basedOn w:val="1"/>
    <w:link w:val="48"/>
    <w:qFormat/>
    <w:uiPriority w:val="99"/>
    <w:pPr>
      <w:spacing w:afterLines="50" w:line="360" w:lineRule="exact"/>
      <w:ind w:firstLine="420" w:firstLineChars="200"/>
    </w:pPr>
  </w:style>
  <w:style w:type="character" w:customStyle="1" w:styleId="48">
    <w:name w:val="正文2 Char"/>
    <w:link w:val="47"/>
    <w:qFormat/>
    <w:locked/>
    <w:uiPriority w:val="99"/>
    <w:rPr>
      <w:kern w:val="2"/>
      <w:sz w:val="21"/>
    </w:rPr>
  </w:style>
  <w:style w:type="paragraph" w:customStyle="1" w:styleId="49">
    <w:name w:val="样式 样式 四号 行距: 固定值 24 磅 左  4.28 字符 + 左侧:  4.28 字符"/>
    <w:basedOn w:val="1"/>
    <w:qFormat/>
    <w:uiPriority w:val="99"/>
    <w:pPr>
      <w:spacing w:line="480" w:lineRule="exact"/>
      <w:ind w:left="899" w:leftChars="428"/>
    </w:pPr>
    <w:rPr>
      <w:sz w:val="24"/>
    </w:rPr>
  </w:style>
  <w:style w:type="paragraph" w:customStyle="1" w:styleId="50">
    <w:name w:val="内容"/>
    <w:basedOn w:val="1"/>
    <w:qFormat/>
    <w:uiPriority w:val="99"/>
    <w:pPr>
      <w:snapToGrid w:val="0"/>
      <w:spacing w:line="586" w:lineRule="exact"/>
      <w:ind w:firstLine="200" w:firstLineChars="200"/>
    </w:pPr>
    <w:rPr>
      <w:rFonts w:ascii="方正小标宋简体" w:hAnsi="方正小标宋简体" w:eastAsia="仿宋_GB2312" w:cs="方正小标宋简体"/>
      <w:color w:val="000000"/>
      <w:sz w:val="32"/>
      <w:szCs w:val="4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73</Pages>
  <Words>5863</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2016-02-14T06:21:00Z</dcterms:created>
  <dc:creator>lenovo</dc:creator>
  <cp:lastModifiedBy>Administrator</cp:lastModifiedBy>
  <cp:lastPrinted>2018-04-28T03:26:00Z</cp:lastPrinted>
  <dcterms:modified xsi:type="dcterms:W3CDTF">2022-05-16T09:28:05Z</dcterms:modified>
  <dc:title>天涯区十三五规划</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