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sz w:val="52"/>
          <w:szCs w:val="52"/>
          <w:lang w:val="en-US" w:eastAsia="zh-CN"/>
        </w:rPr>
      </w:pPr>
      <w:r>
        <w:rPr>
          <w:rFonts w:hint="eastAsia"/>
          <w:sz w:val="52"/>
          <w:szCs w:val="52"/>
          <w:lang w:val="en-US" w:eastAsia="zh-CN"/>
        </w:rPr>
        <w:t>2025</w:t>
      </w:r>
      <w:r>
        <w:rPr>
          <w:rFonts w:hint="eastAsia"/>
          <w:sz w:val="52"/>
          <w:szCs w:val="52"/>
        </w:rPr>
        <w:t>年</w:t>
      </w:r>
      <w:r>
        <w:rPr>
          <w:rFonts w:hint="eastAsia"/>
          <w:sz w:val="52"/>
          <w:szCs w:val="52"/>
          <w:lang w:val="en-US" w:eastAsia="zh-CN"/>
        </w:rPr>
        <w:t>三亚市吉阳区财政局</w:t>
      </w:r>
    </w:p>
    <w:p>
      <w:pPr>
        <w:jc w:val="center"/>
        <w:rPr>
          <w:sz w:val="52"/>
          <w:szCs w:val="52"/>
        </w:rPr>
      </w:pPr>
      <w:r>
        <w:rPr>
          <w:rFonts w:hint="eastAsia"/>
          <w:sz w:val="52"/>
          <w:szCs w:val="52"/>
        </w:rPr>
        <w:t>部门预算</w:t>
      </w:r>
    </w:p>
    <w:p>
      <w:pPr>
        <w:ind w:firstLine="1680"/>
        <w:jc w:val="center"/>
        <w:rPr>
          <w:sz w:val="84"/>
          <w:szCs w:val="84"/>
        </w:rPr>
      </w:pPr>
    </w:p>
    <w:p>
      <w:pPr>
        <w:ind w:firstLine="1680"/>
        <w:jc w:val="center"/>
        <w:rPr>
          <w:sz w:val="84"/>
          <w:szCs w:val="84"/>
        </w:rPr>
      </w:pPr>
    </w:p>
    <w:p>
      <w:pPr>
        <w:ind w:firstLine="1680"/>
        <w:jc w:val="center"/>
        <w:rPr>
          <w:rFonts w:hint="eastAsia" w:eastAsia="宋体"/>
          <w:sz w:val="84"/>
          <w:szCs w:val="84"/>
          <w:lang w:val="en-US" w:eastAsia="zh-CN"/>
        </w:rPr>
      </w:pPr>
      <w:r>
        <w:rPr>
          <w:rFonts w:hint="eastAsia"/>
          <w:sz w:val="84"/>
          <w:szCs w:val="84"/>
          <w:lang w:val="en-US" w:eastAsia="zh-CN"/>
        </w:rPr>
        <w:t xml:space="preserve"> </w:t>
      </w:r>
      <w:bookmarkStart w:id="0" w:name="_GoBack"/>
      <w:bookmarkEnd w:id="0"/>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7"/>
        <w:numPr>
          <w:ilvl w:val="0"/>
          <w:numId w:val="1"/>
        </w:numPr>
        <w:ind w:firstLineChars="0"/>
        <w:jc w:val="left"/>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三亚市吉阳区财政局概况</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w:t>
      </w:r>
    </w:p>
    <w:p>
      <w:pPr>
        <w:pStyle w:val="7"/>
        <w:numPr>
          <w:ilvl w:val="0"/>
          <w:numId w:val="1"/>
        </w:numPr>
        <w:ind w:firstLineChars="0"/>
        <w:rPr>
          <w:rFonts w:hint="eastAsia" w:ascii="仿宋_GB2312" w:hAnsi="黑体"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b w:val="0"/>
          <w:bCs w:val="0"/>
          <w:sz w:val="32"/>
          <w:szCs w:val="32"/>
        </w:rPr>
        <w:t>三亚市吉阳区财政局</w:t>
      </w:r>
      <w:r>
        <w:rPr>
          <w:rFonts w:hint="eastAsia" w:ascii="黑体" w:hAnsi="黑体" w:eastAsia="黑体" w:cs="黑体"/>
          <w:b w:val="0"/>
          <w:bCs w:val="0"/>
          <w:sz w:val="32"/>
          <w:szCs w:val="32"/>
          <w:lang w:val="en-US" w:eastAsia="zh-CN"/>
        </w:rPr>
        <w:t>2025</w:t>
      </w:r>
      <w:r>
        <w:rPr>
          <w:rFonts w:hint="eastAsia" w:ascii="黑体" w:hAnsi="黑体" w:eastAsia="黑体" w:cs="黑体"/>
          <w:b w:val="0"/>
          <w:bCs w:val="0"/>
          <w:sz w:val="32"/>
          <w:szCs w:val="32"/>
        </w:rPr>
        <w:t>年部门预算表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7"/>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sz w:val="32"/>
          <w:szCs w:val="32"/>
        </w:rPr>
        <w:t xml:space="preserve"> </w:t>
      </w:r>
      <w:r>
        <w:rPr>
          <w:rFonts w:hint="eastAsia" w:ascii="黑体" w:hAnsi="黑体" w:eastAsia="黑体"/>
          <w:b/>
          <w:bCs/>
          <w:sz w:val="32"/>
          <w:szCs w:val="32"/>
        </w:rPr>
        <w:t xml:space="preserve"> </w:t>
      </w:r>
      <w:r>
        <w:rPr>
          <w:rFonts w:hint="eastAsia" w:ascii="黑体" w:hAnsi="黑体" w:eastAsia="黑体" w:cs="黑体"/>
          <w:b w:val="0"/>
          <w:bCs w:val="0"/>
          <w:sz w:val="32"/>
          <w:szCs w:val="32"/>
        </w:rPr>
        <w:t>三亚市吉阳区财政局</w:t>
      </w:r>
      <w:r>
        <w:rPr>
          <w:rFonts w:hint="eastAsia" w:ascii="黑体" w:hAnsi="黑体" w:eastAsia="黑体" w:cs="黑体"/>
          <w:b w:val="0"/>
          <w:bCs w:val="0"/>
          <w:sz w:val="32"/>
          <w:szCs w:val="32"/>
          <w:lang w:val="en-US" w:eastAsia="zh-CN"/>
        </w:rPr>
        <w:t>2025</w:t>
      </w:r>
      <w:r>
        <w:rPr>
          <w:rFonts w:hint="eastAsia" w:ascii="黑体" w:hAnsi="黑体" w:eastAsia="黑体" w:cs="黑体"/>
          <w:b w:val="0"/>
          <w:bCs w:val="0"/>
          <w:sz w:val="32"/>
          <w:szCs w:val="32"/>
        </w:rPr>
        <w:t>年部门预算情况说明</w:t>
      </w:r>
    </w:p>
    <w:p>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7"/>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三亚市吉阳区财政局概况</w:t>
      </w:r>
    </w:p>
    <w:p>
      <w:pPr>
        <w:jc w:val="left"/>
        <w:rPr>
          <w:rFonts w:ascii="仿宋_GB2312" w:hAnsi="仿宋_GB2312" w:eastAsia="仿宋_GB2312" w:cs="仿宋_GB2312"/>
          <w:sz w:val="32"/>
          <w:szCs w:val="32"/>
        </w:rPr>
      </w:pPr>
    </w:p>
    <w:p>
      <w:pPr>
        <w:pStyle w:val="7"/>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w:t>
      </w:r>
      <w:r>
        <w:rPr>
          <w:rFonts w:hint="eastAsia" w:ascii="黑体" w:hAnsi="黑体" w:eastAsia="黑体" w:cs="仿宋_GB2312"/>
          <w:color w:val="000000" w:themeColor="text1"/>
          <w:sz w:val="32"/>
          <w:szCs w:val="32"/>
          <w:lang w:val="en-US" w:eastAsia="zh-CN"/>
          <w14:textFill>
            <w14:solidFill>
              <w14:schemeClr w14:val="tx1"/>
            </w14:solidFill>
          </w14:textFill>
        </w:rPr>
        <w:t xml:space="preserve"> 一、</w:t>
      </w:r>
      <w:r>
        <w:rPr>
          <w:rFonts w:hint="eastAsia" w:ascii="黑体" w:hAnsi="黑体" w:eastAsia="黑体" w:cs="仿宋_GB2312"/>
          <w:sz w:val="32"/>
          <w:szCs w:val="32"/>
        </w:rPr>
        <w:t>主要职能</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（一）贯彻执行中央及省、市有关财政、财务和会计管理、财政监督、国有资产监督的方针、政策；依法拟定并组织实施本区财政、财务和会计管理、财政监督、国有资产监督的规划和措施。</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二）承担区本级各项财政收支管理的责任；负责编制区本级年度预决算并组织实施；受区政府委托，向区人民代表大会报告区本级预算及执行情况；向区人大常委会报告决算情况；组织制定经费开支标准、定额，负责审核批复部门（单位）的年度预决算。</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（三）管理本区财政公共支出，组织实施本区财政国库管理制度、国库集中收付制度，指导和监督区国库业务，承担区财政资金账户和国库现金管理工作；负责区政府采购的监督实施。</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（四）负责本区税收收入管理和政府非税收入管理，负责政府性基金管理，负责区本级新农村建设资金的管理和“三农”的各种政策性财政补贴的发放；管理行政事业性收费和财政票据。</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（五）负责办理和监督本区的经济发展支出、政府性投资项目的财政拨款，参与拟订本区重点建设投资的有关政策，制定本区基本建设财政制度，负责有关制度性补贴和专项储备资金财务管理工作。</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（六）协助管理本区社会保障和就业及医疗卫生支出，协助拟订并组织实施社会保障机制资金（基金）的财务管理制度，编制及审核汇总本区社会保障预决算草案。</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（七）负责本区国有资产监督管理；监督检查财税法规、政策的执行情况，反映财政收支管理中的重大问题；建立财政支出绩效评价体系，开展财政支出绩效评价工作。</w:t>
      </w:r>
    </w:p>
    <w:p>
      <w:pPr>
        <w:pStyle w:val="7"/>
        <w:keepNext w:val="0"/>
        <w:keepLines w:val="0"/>
        <w:pageBreakBefore w:val="0"/>
        <w:kinsoku/>
        <w:wordWrap/>
        <w:overflowPunct/>
        <w:topLinePunct w:val="0"/>
        <w:bidi w:val="0"/>
        <w:snapToGrid/>
        <w:spacing w:line="578" w:lineRule="exact"/>
        <w:ind w:right="0" w:rightChars="0" w:firstLine="31680"/>
        <w:jc w:val="left"/>
        <w:textAlignment w:val="auto"/>
        <w:outlineLvl w:val="9"/>
        <w:rPr>
          <w:rFonts w:hint="default" w:ascii="黑体" w:hAnsi="黑体" w:eastAsia="黑体" w:cs="仿宋_GB2312"/>
          <w:sz w:val="32"/>
          <w:szCs w:val="32"/>
          <w:lang w:val="en-US" w:eastAsia="zh-CN"/>
        </w:rPr>
      </w:pPr>
      <w:r>
        <w:rPr>
          <w:rFonts w:hint="eastAsia" w:ascii="仿宋_GB2312" w:hAnsi="黑体" w:eastAsia="仿宋_GB2312" w:cs="仿宋_GB2312"/>
          <w:kern w:val="2"/>
          <w:sz w:val="32"/>
          <w:szCs w:val="32"/>
          <w:lang w:val="en-US" w:eastAsia="zh-CN" w:bidi="ar-SA"/>
        </w:rPr>
        <w:t>（八）承办区政府和上级部门交办的工</w:t>
      </w:r>
      <w:r>
        <w:rPr>
          <w:rFonts w:hint="eastAsia" w:ascii="Times New Roman" w:hAnsi="Times New Roman" w:eastAsia="仿宋_GB2312"/>
          <w:sz w:val="28"/>
          <w:szCs w:val="28"/>
        </w:rPr>
        <w:t>作。</w:t>
      </w:r>
    </w:p>
    <w:p>
      <w:pPr>
        <w:pStyle w:val="7"/>
        <w:numPr>
          <w:ilvl w:val="-1"/>
          <w:numId w:val="0"/>
        </w:numPr>
        <w:ind w:left="0" w:firstLine="0"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 xml:space="preserve">     二、</w:t>
      </w:r>
      <w:r>
        <w:rPr>
          <w:rFonts w:hint="eastAsia" w:ascii="黑体" w:hAnsi="黑体" w:eastAsia="黑体" w:cs="仿宋_GB2312"/>
          <w:sz w:val="32"/>
          <w:szCs w:val="32"/>
        </w:rPr>
        <w:t>部门预算单位构成</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纳入三亚市吉阳区财政局2025年部门预算编制范围的二级预算单位包括：</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1.三亚市吉阳区财政局本级</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三亚市吉阳区财政局</w:t>
      </w:r>
      <w:r>
        <w:rPr>
          <w:rFonts w:hint="eastAsia" w:ascii="黑体" w:hAnsi="黑体" w:eastAsia="黑体" w:cs="黑体"/>
          <w:sz w:val="32"/>
          <w:szCs w:val="32"/>
          <w:lang w:val="en-US" w:eastAsia="zh-CN"/>
        </w:rPr>
        <w:t>2025</w:t>
      </w:r>
      <w:r>
        <w:rPr>
          <w:rFonts w:hint="eastAsia" w:ascii="黑体" w:hAnsi="黑体" w:eastAsia="黑体"/>
          <w:sz w:val="32"/>
          <w:szCs w:val="32"/>
        </w:rPr>
        <w:t>年部门预算表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三亚市吉阳区财政局</w:t>
      </w:r>
      <w:r>
        <w:rPr>
          <w:rFonts w:hint="eastAsia" w:ascii="黑体" w:hAnsi="黑体" w:eastAsia="黑体" w:cs="黑体"/>
          <w:sz w:val="32"/>
          <w:szCs w:val="32"/>
          <w:lang w:val="en-US" w:eastAsia="zh-CN"/>
        </w:rPr>
        <w:t>2025</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三亚市吉阳区财政局</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三亚市吉阳区财政局</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olor w:val="auto"/>
          <w:sz w:val="32"/>
          <w:szCs w:val="32"/>
          <w:u w:val="none"/>
          <w:lang w:val="en-US" w:eastAsia="zh-CN"/>
        </w:rPr>
        <w:t>1849.10</w:t>
      </w:r>
      <w:r>
        <w:rPr>
          <w:rFonts w:hint="eastAsia" w:ascii="仿宋_GB2312" w:hAnsi="黑体" w:eastAsia="仿宋_GB2312"/>
          <w:sz w:val="32"/>
          <w:szCs w:val="32"/>
        </w:rPr>
        <w:t>万元。其中，收入总计</w:t>
      </w:r>
      <w:r>
        <w:rPr>
          <w:rFonts w:hint="eastAsia" w:ascii="仿宋_GB2312" w:hAnsi="黑体" w:eastAsia="仿宋_GB2312"/>
          <w:color w:val="auto"/>
          <w:sz w:val="32"/>
          <w:szCs w:val="32"/>
          <w:u w:val="none"/>
          <w:lang w:val="en-US" w:eastAsia="zh-CN"/>
        </w:rPr>
        <w:t>1849.10</w:t>
      </w:r>
      <w:r>
        <w:rPr>
          <w:rFonts w:hint="eastAsia" w:ascii="仿宋_GB2312" w:hAnsi="黑体" w:eastAsia="仿宋_GB2312"/>
          <w:sz w:val="32"/>
          <w:szCs w:val="32"/>
        </w:rPr>
        <w:t>万元，包括一般公共预算本年收入</w:t>
      </w:r>
      <w:r>
        <w:rPr>
          <w:rFonts w:hint="eastAsia" w:ascii="仿宋_GB2312" w:hAnsi="黑体" w:eastAsia="仿宋_GB2312"/>
          <w:color w:val="auto"/>
          <w:sz w:val="32"/>
          <w:szCs w:val="32"/>
          <w:u w:val="none"/>
          <w:lang w:val="en-US" w:eastAsia="zh-CN"/>
        </w:rPr>
        <w:t>1849.10</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olor w:val="auto"/>
          <w:sz w:val="32"/>
          <w:szCs w:val="32"/>
          <w:u w:val="none"/>
          <w:lang w:val="en-US" w:eastAsia="zh-CN"/>
        </w:rPr>
        <w:t>1849.10</w:t>
      </w:r>
      <w:r>
        <w:rPr>
          <w:rFonts w:hint="eastAsia" w:ascii="仿宋_GB2312" w:hAnsi="黑体" w:eastAsia="仿宋_GB2312"/>
          <w:sz w:val="32"/>
          <w:szCs w:val="32"/>
        </w:rPr>
        <w:t>万元，包括一般公共服务支出</w:t>
      </w:r>
      <w:r>
        <w:rPr>
          <w:rFonts w:hint="eastAsia" w:ascii="仿宋_GB2312" w:hAnsi="黑体" w:eastAsia="仿宋_GB2312"/>
          <w:sz w:val="32"/>
          <w:szCs w:val="32"/>
          <w:lang w:val="en-US" w:eastAsia="zh-CN"/>
        </w:rPr>
        <w:t>1731.99</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社会保障和就业</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48.39</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36.99</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农林水支出5.27万元、住房保障支出26.46万元</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pPr>
        <w:ind w:firstLine="640" w:firstLineChars="200"/>
        <w:jc w:val="left"/>
        <w:rPr>
          <w:rFonts w:hint="eastAsia" w:ascii="黑体" w:hAnsi="黑体" w:eastAsia="黑体"/>
          <w:sz w:val="32"/>
          <w:szCs w:val="32"/>
        </w:rPr>
      </w:pPr>
      <w:r>
        <w:rPr>
          <w:rFonts w:hint="eastAsia" w:ascii="黑体" w:hAnsi="黑体" w:eastAsia="黑体"/>
          <w:sz w:val="32"/>
          <w:szCs w:val="32"/>
        </w:rPr>
        <w:t>二、关于三亚市吉阳区财政局</w:t>
      </w:r>
      <w:r>
        <w:rPr>
          <w:rFonts w:hint="eastAsia" w:ascii="黑体" w:hAnsi="黑体" w:eastAsia="黑体"/>
          <w:sz w:val="32"/>
          <w:szCs w:val="32"/>
          <w:lang w:val="en-US" w:eastAsia="zh-CN"/>
        </w:rPr>
        <w:t>2025</w:t>
      </w:r>
      <w:r>
        <w:rPr>
          <w:rFonts w:hint="eastAsia" w:ascii="黑体" w:hAnsi="黑体" w:eastAsia="黑体"/>
          <w:sz w:val="32"/>
          <w:szCs w:val="32"/>
        </w:rPr>
        <w:t>年一般公共预算当年拨款情况说明</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（一）一般公共预算当年规模变化情况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三亚市吉阳区财政局202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1849.10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减少238.21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减少协税护税经费。</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1731.99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93.67</w:t>
      </w:r>
      <w:r>
        <w:rPr>
          <w:rFonts w:hint="eastAsia" w:ascii="仿宋_GB2312" w:hAnsi="黑体" w:eastAsia="仿宋_GB2312"/>
          <w:sz w:val="32"/>
          <w:szCs w:val="32"/>
        </w:rPr>
        <w:t>%；</w:t>
      </w:r>
      <w:r>
        <w:rPr>
          <w:rFonts w:hint="eastAsia" w:ascii="仿宋_GB2312" w:hAnsi="黑体" w:eastAsia="仿宋_GB2312"/>
          <w:sz w:val="32"/>
          <w:szCs w:val="32"/>
          <w:lang w:val="en-US" w:eastAsia="zh-CN"/>
        </w:rPr>
        <w:t>社会保障和就业</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48.39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2.62</w:t>
      </w:r>
      <w:r>
        <w:rPr>
          <w:rFonts w:hint="eastAsia" w:ascii="仿宋_GB2312" w:hAnsi="黑体" w:eastAsia="仿宋_GB2312"/>
          <w:sz w:val="32"/>
          <w:szCs w:val="32"/>
        </w:rPr>
        <w:t>%；</w:t>
      </w:r>
      <w:r>
        <w:rPr>
          <w:rFonts w:hint="eastAsia" w:ascii="仿宋_GB2312" w:hAnsi="黑体" w:eastAsia="仿宋_GB2312"/>
          <w:sz w:val="32"/>
          <w:szCs w:val="32"/>
          <w:lang w:val="en-US" w:eastAsia="zh-CN"/>
        </w:rPr>
        <w:t>卫生健康</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36.99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2.00</w:t>
      </w:r>
      <w:r>
        <w:rPr>
          <w:rFonts w:hint="eastAsia" w:ascii="仿宋_GB2312" w:hAnsi="黑体" w:eastAsia="仿宋_GB2312"/>
          <w:sz w:val="32"/>
          <w:szCs w:val="32"/>
        </w:rPr>
        <w:t>%；</w:t>
      </w:r>
      <w:r>
        <w:rPr>
          <w:rFonts w:hint="eastAsia" w:ascii="仿宋_GB2312" w:hAnsi="黑体" w:eastAsia="仿宋_GB2312"/>
          <w:sz w:val="32"/>
          <w:szCs w:val="32"/>
          <w:lang w:val="en-US" w:eastAsia="zh-CN"/>
        </w:rPr>
        <w:t>农林水</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5.27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0.29</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26.46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1.43</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财政</w:t>
      </w:r>
      <w:r>
        <w:rPr>
          <w:rFonts w:hint="eastAsia" w:ascii="仿宋_GB2312" w:hAnsi="黑体" w:eastAsia="仿宋_GB2312" w:cs="仿宋_GB2312"/>
          <w:sz w:val="32"/>
          <w:szCs w:val="32"/>
        </w:rPr>
        <w:t>事务（款）行政运行（项）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340.63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29.79</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人员变动。</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财政</w:t>
      </w:r>
      <w:r>
        <w:rPr>
          <w:rFonts w:hint="eastAsia" w:ascii="仿宋_GB2312" w:hAnsi="黑体" w:eastAsia="仿宋_GB2312" w:cs="仿宋_GB2312"/>
          <w:sz w:val="32"/>
          <w:szCs w:val="32"/>
        </w:rPr>
        <w:t>事务（款）一般行政管理事务（项）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577.36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增加7.26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增加人员经费。</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财政</w:t>
      </w:r>
      <w:r>
        <w:rPr>
          <w:rFonts w:hint="eastAsia" w:ascii="仿宋_GB2312" w:hAnsi="黑体" w:eastAsia="仿宋_GB2312" w:cs="仿宋_GB2312"/>
          <w:sz w:val="32"/>
          <w:szCs w:val="32"/>
        </w:rPr>
        <w:t>事务（款）</w:t>
      </w:r>
      <w:r>
        <w:rPr>
          <w:rFonts w:hint="eastAsia" w:ascii="仿宋_GB2312" w:hAnsi="黑体" w:eastAsia="仿宋_GB2312" w:cs="仿宋_GB2312"/>
          <w:sz w:val="32"/>
          <w:szCs w:val="32"/>
          <w:lang w:val="en-US" w:eastAsia="zh-CN"/>
        </w:rPr>
        <w:t>财政委托业务支出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140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税收</w:t>
      </w:r>
      <w:r>
        <w:rPr>
          <w:rFonts w:hint="eastAsia" w:ascii="仿宋_GB2312" w:hAnsi="黑体" w:eastAsia="仿宋_GB2312" w:cs="仿宋_GB2312"/>
          <w:sz w:val="32"/>
          <w:szCs w:val="32"/>
        </w:rPr>
        <w:t>事务（款）</w:t>
      </w:r>
      <w:r>
        <w:rPr>
          <w:rFonts w:hint="eastAsia" w:ascii="仿宋_GB2312" w:hAnsi="黑体" w:eastAsia="仿宋_GB2312" w:cs="仿宋_GB2312"/>
          <w:sz w:val="32"/>
          <w:szCs w:val="32"/>
          <w:lang w:val="en-US" w:eastAsia="zh-CN"/>
        </w:rPr>
        <w:t>其他税收</w:t>
      </w:r>
      <w:r>
        <w:rPr>
          <w:rFonts w:hint="eastAsia" w:ascii="仿宋_GB2312" w:hAnsi="黑体" w:eastAsia="仿宋_GB2312" w:cs="仿宋_GB2312"/>
          <w:sz w:val="32"/>
          <w:szCs w:val="32"/>
        </w:rPr>
        <w:t>事务</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674.00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减少274.23</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减少协税护税经费。</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行政事业单位养老支出</w:t>
      </w:r>
      <w:r>
        <w:rPr>
          <w:rFonts w:hint="eastAsia" w:ascii="仿宋_GB2312" w:hAnsi="黑体" w:eastAsia="仿宋_GB2312" w:cs="仿宋_GB2312"/>
          <w:sz w:val="32"/>
          <w:szCs w:val="32"/>
        </w:rPr>
        <w:t>（款）机关事业单位基本养老保险缴费支出（项）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32.26</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社会保障和就业支出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行政事业单位养老支出</w:t>
      </w:r>
      <w:r>
        <w:rPr>
          <w:rFonts w:hint="eastAsia" w:ascii="仿宋_GB2312" w:hAnsi="黑体" w:eastAsia="仿宋_GB2312" w:cs="仿宋_GB2312"/>
          <w:sz w:val="32"/>
          <w:szCs w:val="32"/>
        </w:rPr>
        <w:t>（款）机关事业单位职业年金缴费支出（项）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16.13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行政单位医疗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13.11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减少4.03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卫生健康支出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行政事业单位医疗</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公务员医疗补助</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23.89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增加2.45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w:t>
      </w:r>
      <w:r>
        <w:rPr>
          <w:rFonts w:hint="eastAsia" w:ascii="仿宋_GB2312" w:hAnsi="黑体" w:eastAsia="仿宋_GB2312"/>
          <w:sz w:val="32"/>
          <w:szCs w:val="32"/>
          <w:lang w:val="en-US" w:eastAsia="zh-CN"/>
        </w:rPr>
        <w:t>公补</w:t>
      </w:r>
      <w:r>
        <w:rPr>
          <w:rFonts w:hint="eastAsia" w:ascii="仿宋_GB2312" w:hAnsi="黑体" w:eastAsia="仿宋_GB2312"/>
          <w:sz w:val="32"/>
          <w:szCs w:val="32"/>
          <w:lang w:eastAsia="zh-CN"/>
        </w:rPr>
        <w:t>缴纳基数测算</w:t>
      </w:r>
      <w:r>
        <w:rPr>
          <w:rFonts w:hint="eastAsia" w:ascii="仿宋_GB2312" w:hAnsi="黑体" w:eastAsia="仿宋_GB2312"/>
          <w:sz w:val="32"/>
          <w:szCs w:val="32"/>
          <w:lang w:val="en-US" w:eastAsia="zh-CN"/>
        </w:rPr>
        <w:t>缴纳公补。</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农林水支出</w:t>
      </w:r>
      <w:r>
        <w:rPr>
          <w:rFonts w:hint="eastAsia" w:ascii="仿宋_GB2312" w:hAnsi="黑体" w:eastAsia="仿宋_GB2312" w:cs="仿宋_GB2312"/>
          <w:sz w:val="32"/>
          <w:szCs w:val="32"/>
        </w:rPr>
        <w:t>（类）巩固脱贫攻坚成果衔接乡村振兴（款）其他巩固脱贫攻坚成果衔接乡村振兴</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5.27</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10</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住房保障支出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val="en-US" w:eastAsia="zh-CN"/>
        </w:rPr>
        <w:t>住房改革支出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val="en-US"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26.46</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增加0.56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w:t>
      </w:r>
      <w:r>
        <w:rPr>
          <w:rFonts w:hint="eastAsia" w:ascii="仿宋_GB2312" w:hAnsi="黑体" w:eastAsia="仿宋_GB2312"/>
          <w:sz w:val="32"/>
          <w:szCs w:val="32"/>
          <w:lang w:val="en-US" w:eastAsia="zh-CN"/>
        </w:rPr>
        <w:t>住房公积金</w:t>
      </w:r>
      <w:r>
        <w:rPr>
          <w:rFonts w:hint="eastAsia" w:ascii="仿宋_GB2312" w:hAnsi="黑体" w:eastAsia="仿宋_GB2312"/>
          <w:sz w:val="32"/>
          <w:szCs w:val="32"/>
          <w:lang w:eastAsia="zh-CN"/>
        </w:rPr>
        <w:t>缴纳基数测算</w:t>
      </w:r>
      <w:r>
        <w:rPr>
          <w:rFonts w:hint="eastAsia" w:ascii="仿宋_GB2312" w:hAnsi="黑体" w:eastAsia="仿宋_GB2312"/>
          <w:sz w:val="32"/>
          <w:szCs w:val="32"/>
          <w:lang w:val="en-US" w:eastAsia="zh-CN"/>
        </w:rPr>
        <w:t>缴纳住房公积金。</w:t>
      </w:r>
    </w:p>
    <w:p>
      <w:pPr>
        <w:ind w:firstLine="640"/>
        <w:rPr>
          <w:rFonts w:hint="eastAsia" w:ascii="黑体" w:hAnsi="黑体" w:eastAsia="黑体" w:cs="黑体"/>
          <w:sz w:val="32"/>
          <w:szCs w:val="32"/>
        </w:rPr>
      </w:pPr>
      <w:r>
        <w:rPr>
          <w:rFonts w:hint="eastAsia" w:ascii="黑体" w:hAnsi="黑体" w:eastAsia="黑体"/>
          <w:sz w:val="32"/>
          <w:szCs w:val="32"/>
        </w:rPr>
        <w:t>三、</w:t>
      </w:r>
      <w:r>
        <w:rPr>
          <w:rFonts w:hint="eastAsia" w:ascii="黑体" w:hAnsi="黑体" w:eastAsia="黑体" w:cs="黑体"/>
          <w:sz w:val="32"/>
          <w:szCs w:val="32"/>
        </w:rPr>
        <w:t>关于三亚市吉阳区财政局</w:t>
      </w:r>
      <w:r>
        <w:rPr>
          <w:rFonts w:hint="eastAsia" w:ascii="黑体" w:hAnsi="黑体" w:eastAsia="黑体" w:cs="黑体"/>
          <w:sz w:val="32"/>
          <w:szCs w:val="32"/>
          <w:lang w:val="en-US" w:eastAsia="zh-CN"/>
        </w:rPr>
        <w:t>2025</w:t>
      </w:r>
      <w:r>
        <w:rPr>
          <w:rFonts w:hint="eastAsia" w:ascii="黑体" w:hAnsi="黑体" w:eastAsia="黑体" w:cs="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三亚市吉阳区财政局</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452.48</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406.27</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val="en-US" w:eastAsia="zh-CN"/>
        </w:rPr>
        <w:t>绩效工资、</w:t>
      </w:r>
      <w:r>
        <w:rPr>
          <w:rFonts w:hint="eastAsia" w:ascii="仿宋_GB2312" w:hAnsi="黑体" w:eastAsia="仿宋_GB2312"/>
          <w:sz w:val="32"/>
          <w:szCs w:val="32"/>
        </w:rPr>
        <w:t>机关事业单位基本养老保险缴费、职工基本医疗保险缴费、公务员医疗补助缴费、住房公积金</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邮电费</w:t>
      </w:r>
      <w:r>
        <w:rPr>
          <w:rFonts w:hint="eastAsia" w:ascii="仿宋_GB2312" w:hAnsi="黑体" w:eastAsia="仿宋_GB2312"/>
          <w:sz w:val="32"/>
          <w:szCs w:val="32"/>
          <w:lang w:eastAsia="zh-CN"/>
        </w:rPr>
        <w:t>；</w:t>
      </w:r>
    </w:p>
    <w:p>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46.21</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主要包括：</w:t>
      </w:r>
      <w:r>
        <w:rPr>
          <w:rFonts w:hint="eastAsia" w:ascii="仿宋_GB2312" w:hAnsi="黑体" w:eastAsia="仿宋_GB2312"/>
          <w:sz w:val="32"/>
          <w:szCs w:val="32"/>
        </w:rPr>
        <w:t>办公费、培训费、工会经费、福利费、公务用车运行维护费。</w:t>
      </w:r>
    </w:p>
    <w:p>
      <w:pPr>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三亚市吉阳区财政局202</w:t>
      </w:r>
      <w:r>
        <w:rPr>
          <w:rFonts w:hint="eastAsia" w:ascii="黑体" w:hAnsi="黑体" w:eastAsia="黑体" w:cs="黑体"/>
          <w:sz w:val="32"/>
          <w:szCs w:val="32"/>
          <w:lang w:val="en-US" w:eastAsia="zh-CN"/>
        </w:rPr>
        <w:t>5</w:t>
      </w:r>
      <w:r>
        <w:rPr>
          <w:rFonts w:hint="eastAsia" w:ascii="黑体" w:hAnsi="黑体" w:eastAsia="黑体" w:cs="黑体"/>
          <w:sz w:val="32"/>
          <w:shd w:val="clear" w:color="auto" w:fill="FFFFFF"/>
        </w:rPr>
        <w:t>年“三公”经费预算情况说明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（一）三亚市吉阳区财政局202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0.60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0.60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0.60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val="en-US" w:eastAsia="zh-CN"/>
        </w:rPr>
        <w:t>与上年预算持平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（二）三亚市吉阳区财政局202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spacing w:line="578" w:lineRule="exact"/>
        <w:outlineLvl w:val="9"/>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zCs w:val="22"/>
          <w:shd w:val="clear" w:color="auto" w:fill="FFFFFF"/>
        </w:rPr>
        <w:t>三亚市吉阳区财政局202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三亚市吉阳区财政局202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zCs w:val="22"/>
          <w:shd w:val="clear" w:color="auto" w:fill="FFFFFF"/>
        </w:rPr>
        <w:t>三亚市吉阳区财政局202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按照综合预算原则，三亚市吉阳区财政局所有收入和支出均纳入部门预算管理。收入包括：一般公共预算收入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w:t>
      </w:r>
      <w:r>
        <w:rPr>
          <w:rFonts w:hint="eastAsia" w:ascii="仿宋_GB2312" w:hAnsi="黑体" w:eastAsia="仿宋_GB2312"/>
          <w:sz w:val="32"/>
          <w:szCs w:val="32"/>
        </w:rPr>
        <w:t>、</w:t>
      </w:r>
      <w:r>
        <w:rPr>
          <w:rFonts w:hint="eastAsia" w:ascii="仿宋_GB2312" w:hAnsi="黑体" w:eastAsia="仿宋_GB2312"/>
          <w:sz w:val="32"/>
          <w:szCs w:val="32"/>
          <w:lang w:val="en-US" w:eastAsia="zh-CN"/>
        </w:rPr>
        <w:t>农林水支出、</w:t>
      </w:r>
      <w:r>
        <w:rPr>
          <w:rFonts w:hint="eastAsia" w:ascii="仿宋_GB2312" w:hAnsi="黑体" w:eastAsia="仿宋_GB2312"/>
          <w:sz w:val="32"/>
          <w:szCs w:val="32"/>
          <w:lang w:eastAsia="zh-CN"/>
        </w:rPr>
        <w:t>住房保障支出</w:t>
      </w:r>
      <w:r>
        <w:rPr>
          <w:rFonts w:hint="eastAsia" w:ascii="仿宋_GB2312" w:hAnsi="黑体" w:eastAsia="仿宋_GB2312"/>
          <w:sz w:val="32"/>
          <w:szCs w:val="32"/>
        </w:rPr>
        <w:t>。三亚市吉阳区财政局</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1849.10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zCs w:val="22"/>
          <w:shd w:val="clear" w:color="auto" w:fill="FFFFFF"/>
        </w:rPr>
        <w:t>三亚市吉阳区财政局202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三亚市吉阳区财政局202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1849.10</w:t>
      </w:r>
      <w:r>
        <w:rPr>
          <w:rFonts w:hint="eastAsia" w:ascii="仿宋_GB2312" w:hAnsi="黑体" w:eastAsia="仿宋_GB2312"/>
          <w:sz w:val="32"/>
          <w:szCs w:val="32"/>
        </w:rPr>
        <w:t>万元，其中：一般公共预算拨款收入</w:t>
      </w:r>
      <w:r>
        <w:rPr>
          <w:rFonts w:hint="eastAsia" w:ascii="仿宋_GB2312" w:hAnsi="黑体" w:eastAsia="仿宋_GB2312" w:cs="仿宋_GB2312"/>
          <w:sz w:val="32"/>
          <w:szCs w:val="32"/>
          <w:lang w:val="en-US" w:eastAsia="zh-CN"/>
        </w:rPr>
        <w:t>1849.10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减少238.21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减少协税护税经费拨款收入。</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zCs w:val="22"/>
          <w:shd w:val="clear" w:color="auto" w:fill="FFFFFF"/>
        </w:rPr>
        <w:t>三亚市吉阳区财政局202</w:t>
      </w:r>
      <w:r>
        <w:rPr>
          <w:rFonts w:hint="eastAsia" w:ascii="黑体" w:hAnsi="黑体" w:eastAsia="黑体" w:cs="Times New Roman"/>
          <w:sz w:val="32"/>
          <w:szCs w:val="22"/>
          <w:shd w:val="clear" w:color="auto" w:fill="FFFFFF"/>
          <w:lang w:val="en-US" w:eastAsia="zh-CN"/>
        </w:rPr>
        <w:t>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三亚市吉阳区财政局202</w:t>
      </w:r>
      <w:r>
        <w:rPr>
          <w:rFonts w:hint="eastAsia" w:ascii="仿宋_GB2312" w:hAnsi="黑体" w:eastAsia="仿宋_GB2312" w:cs="仿宋_GB2312"/>
          <w:sz w:val="32"/>
          <w:szCs w:val="32"/>
          <w:lang w:val="en-US" w:eastAsia="zh-CN"/>
        </w:rPr>
        <w:t>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1849.10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452.48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24.47</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1396.63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75.53</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减少238.21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减少协税护税经费支出。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三亚市吉阳区财政局部门本级的机关运行经费预算</w:t>
      </w:r>
      <w:r>
        <w:rPr>
          <w:rFonts w:hint="eastAsia" w:ascii="仿宋_GB2312" w:hAnsi="黑体" w:eastAsia="仿宋_GB2312" w:cs="仿宋_GB2312"/>
          <w:sz w:val="32"/>
          <w:szCs w:val="32"/>
          <w:lang w:val="en-US" w:eastAsia="zh-CN"/>
        </w:rPr>
        <w:t>46.21</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三亚市吉阳区财政局政府采购预算总额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三亚市吉阳区财政局本级及下属各预算单位共有车辆</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三亚市吉阳区财政局</w:t>
      </w:r>
      <w:r>
        <w:rPr>
          <w:rFonts w:hint="eastAsia" w:ascii="仿宋_GB2312" w:hAnsi="黑体" w:eastAsia="仿宋_GB2312" w:cs="仿宋_GB2312"/>
          <w:sz w:val="32"/>
          <w:szCs w:val="32"/>
          <w:lang w:val="en-US" w:eastAsia="zh-CN"/>
        </w:rPr>
        <w:t>18</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1849.11</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mQzN2U5ZTIyZjI2ZTRjZmQxYzg1ODZhMmYwODIifQ=="/>
  </w:docVars>
  <w:rsids>
    <w:rsidRoot w:val="00000000"/>
    <w:rsid w:val="024750A2"/>
    <w:rsid w:val="07E02044"/>
    <w:rsid w:val="0C3E3026"/>
    <w:rsid w:val="0D0F0BD8"/>
    <w:rsid w:val="0D44600A"/>
    <w:rsid w:val="0DC621BF"/>
    <w:rsid w:val="109A4006"/>
    <w:rsid w:val="11B56727"/>
    <w:rsid w:val="16B06A40"/>
    <w:rsid w:val="17BA4C94"/>
    <w:rsid w:val="208E31FA"/>
    <w:rsid w:val="21802E84"/>
    <w:rsid w:val="22CA39A0"/>
    <w:rsid w:val="2BE655F7"/>
    <w:rsid w:val="2D4F729C"/>
    <w:rsid w:val="308E47A6"/>
    <w:rsid w:val="33F43AD7"/>
    <w:rsid w:val="3DE44D8D"/>
    <w:rsid w:val="401928FE"/>
    <w:rsid w:val="45820070"/>
    <w:rsid w:val="489D7A57"/>
    <w:rsid w:val="48F23BB9"/>
    <w:rsid w:val="4B086C09"/>
    <w:rsid w:val="4B5701D1"/>
    <w:rsid w:val="4B8B2554"/>
    <w:rsid w:val="4BC10012"/>
    <w:rsid w:val="4CE63189"/>
    <w:rsid w:val="4D0535D0"/>
    <w:rsid w:val="4D6E13EE"/>
    <w:rsid w:val="4F6E7BD2"/>
    <w:rsid w:val="50F62AC4"/>
    <w:rsid w:val="5225182F"/>
    <w:rsid w:val="52AD4DCE"/>
    <w:rsid w:val="57B473F3"/>
    <w:rsid w:val="58530556"/>
    <w:rsid w:val="58C43441"/>
    <w:rsid w:val="5B490777"/>
    <w:rsid w:val="5C564E61"/>
    <w:rsid w:val="5CE27480"/>
    <w:rsid w:val="5E1B1E4F"/>
    <w:rsid w:val="602656D3"/>
    <w:rsid w:val="65A10417"/>
    <w:rsid w:val="672120DB"/>
    <w:rsid w:val="6A12132C"/>
    <w:rsid w:val="6D8D792A"/>
    <w:rsid w:val="707241C0"/>
    <w:rsid w:val="75376C2B"/>
    <w:rsid w:val="755E4F85"/>
    <w:rsid w:val="7DEBCAFF"/>
    <w:rsid w:val="7DF66FE3"/>
    <w:rsid w:val="7E78685B"/>
    <w:rsid w:val="7EE0570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0"/>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580</Words>
  <Characters>3311</Characters>
  <Lines>27</Lines>
  <Paragraphs>7</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2025-02-06T09:02:29Z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2D08DB3B119545FC91604FE4D6223515_12</vt:lpwstr>
  </property>
</Properties>
</file>