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fill="FFFFFF" w:themeFill="background1"/>
        <w:rPr>
          <w:sz w:val="84"/>
          <w:szCs w:val="84"/>
          <w:u w:val="single"/>
        </w:rPr>
      </w:pPr>
    </w:p>
    <w:p>
      <w:pPr>
        <w:shd w:val="clear" w:fill="FFFFFF" w:themeFill="background1"/>
        <w:rPr>
          <w:sz w:val="84"/>
          <w:szCs w:val="84"/>
          <w:u w:val="single"/>
        </w:rPr>
      </w:pPr>
    </w:p>
    <w:p>
      <w:pPr>
        <w:shd w:val="clear" w:fill="FFFFFF" w:themeFill="background1"/>
        <w:rPr>
          <w:sz w:val="84"/>
          <w:szCs w:val="84"/>
          <w:u w:val="single"/>
        </w:rPr>
      </w:pPr>
    </w:p>
    <w:p>
      <w:pPr>
        <w:shd w:val="clear" w:fill="FFFFFF" w:themeFill="background1"/>
        <w:rPr>
          <w:sz w:val="84"/>
          <w:szCs w:val="84"/>
          <w:u w:val="single"/>
        </w:rPr>
      </w:pPr>
    </w:p>
    <w:p>
      <w:pPr>
        <w:shd w:val="clear" w:fill="FFFFFF" w:themeFill="background1"/>
        <w:jc w:val="center"/>
        <w:rPr>
          <w:rFonts w:hint="eastAsia"/>
          <w:sz w:val="52"/>
          <w:szCs w:val="52"/>
          <w:lang w:eastAsia="zh-CN"/>
        </w:rPr>
      </w:pPr>
      <w:r>
        <w:rPr>
          <w:rFonts w:hint="eastAsia"/>
          <w:sz w:val="52"/>
          <w:szCs w:val="52"/>
          <w:lang w:val="en-US" w:eastAsia="zh-CN"/>
        </w:rPr>
        <w:t>2025</w:t>
      </w:r>
      <w:r>
        <w:rPr>
          <w:rFonts w:hint="eastAsia"/>
          <w:sz w:val="52"/>
          <w:szCs w:val="52"/>
        </w:rPr>
        <w:t>年</w:t>
      </w:r>
      <w:r>
        <w:rPr>
          <w:rFonts w:hint="eastAsia"/>
          <w:sz w:val="52"/>
          <w:szCs w:val="52"/>
          <w:lang w:eastAsia="zh-CN"/>
        </w:rPr>
        <w:t>三亚市吉阳区吉阳小学</w:t>
      </w:r>
    </w:p>
    <w:p>
      <w:pPr>
        <w:shd w:val="clear" w:fill="FFFFFF" w:themeFill="background1"/>
        <w:jc w:val="center"/>
        <w:rPr>
          <w:sz w:val="52"/>
          <w:szCs w:val="52"/>
        </w:rPr>
      </w:pPr>
      <w:r>
        <w:rPr>
          <w:rFonts w:hint="eastAsia"/>
          <w:sz w:val="52"/>
          <w:szCs w:val="52"/>
        </w:rPr>
        <w:t>单位预算</w:t>
      </w:r>
    </w:p>
    <w:p>
      <w:pPr>
        <w:shd w:val="clear" w:fill="FFFFFF" w:themeFill="background1"/>
        <w:ind w:firstLine="1680"/>
        <w:jc w:val="center"/>
        <w:rPr>
          <w:sz w:val="84"/>
          <w:szCs w:val="84"/>
        </w:rPr>
      </w:pPr>
    </w:p>
    <w:p>
      <w:pPr>
        <w:shd w:val="clear" w:fill="FFFFFF" w:themeFill="background1"/>
        <w:ind w:firstLine="1680"/>
        <w:jc w:val="center"/>
        <w:rPr>
          <w:sz w:val="84"/>
          <w:szCs w:val="84"/>
        </w:rPr>
      </w:pPr>
    </w:p>
    <w:p>
      <w:pPr>
        <w:shd w:val="clear" w:fill="FFFFFF" w:themeFill="background1"/>
        <w:ind w:firstLine="1680"/>
        <w:jc w:val="center"/>
        <w:rPr>
          <w:rFonts w:hint="eastAsia" w:eastAsia="宋体"/>
          <w:sz w:val="84"/>
          <w:szCs w:val="84"/>
          <w:lang w:val="en-US" w:eastAsia="zh-CN"/>
        </w:rPr>
      </w:pPr>
      <w:r>
        <w:rPr>
          <w:rFonts w:hint="eastAsia"/>
          <w:sz w:val="84"/>
          <w:szCs w:val="84"/>
          <w:lang w:val="en-US" w:eastAsia="zh-CN"/>
        </w:rPr>
        <w:t xml:space="preserve"> </w:t>
      </w:r>
      <w:bookmarkStart w:id="0" w:name="_GoBack"/>
      <w:bookmarkEnd w:id="0"/>
    </w:p>
    <w:p>
      <w:pPr>
        <w:shd w:val="clear" w:fill="FFFFFF" w:themeFill="background1"/>
        <w:ind w:firstLine="1680"/>
        <w:jc w:val="center"/>
        <w:rPr>
          <w:sz w:val="84"/>
          <w:szCs w:val="84"/>
        </w:rPr>
      </w:pPr>
    </w:p>
    <w:p>
      <w:pPr>
        <w:shd w:val="clear" w:fill="FFFFFF" w:themeFill="background1"/>
        <w:rPr>
          <w:sz w:val="84"/>
          <w:szCs w:val="84"/>
        </w:rPr>
      </w:pPr>
    </w:p>
    <w:p>
      <w:pPr>
        <w:shd w:val="clear" w:fill="FFFFFF" w:themeFill="background1"/>
        <w:jc w:val="center"/>
        <w:rPr>
          <w:rFonts w:hint="eastAsia" w:ascii="黑体" w:hAnsi="黑体" w:eastAsia="黑体"/>
          <w:sz w:val="52"/>
          <w:szCs w:val="52"/>
        </w:rPr>
      </w:pPr>
    </w:p>
    <w:p>
      <w:pPr>
        <w:shd w:val="clear" w:fill="FFFFFF" w:themeFill="background1"/>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shd w:val="clear" w:fill="FFFFFF" w:themeFill="background1"/>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三亚市吉阳区吉阳小学</w:t>
      </w:r>
      <w:r>
        <w:rPr>
          <w:rFonts w:hint="eastAsia" w:ascii="黑体" w:hAnsi="黑体" w:eastAsia="黑体"/>
          <w:sz w:val="32"/>
          <w:szCs w:val="32"/>
        </w:rPr>
        <w:t>概况</w:t>
      </w:r>
    </w:p>
    <w:p>
      <w:pPr>
        <w:pStyle w:val="7"/>
        <w:numPr>
          <w:ilvl w:val="0"/>
          <w:numId w:val="2"/>
        </w:numPr>
        <w:shd w:val="clear" w:fill="FFFFFF" w:themeFill="background1"/>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shd w:val="clear" w:fill="FFFFFF" w:themeFill="background1"/>
        <w:ind w:firstLineChars="0"/>
        <w:jc w:val="left"/>
        <w:rPr>
          <w:rFonts w:ascii="黑体" w:hAnsi="黑体" w:eastAsia="黑体"/>
          <w:sz w:val="32"/>
          <w:szCs w:val="32"/>
        </w:rPr>
      </w:pPr>
      <w:r>
        <w:rPr>
          <w:rFonts w:hint="eastAsia" w:ascii="黑体" w:hAnsi="黑体" w:eastAsia="黑体"/>
          <w:sz w:val="32"/>
          <w:szCs w:val="32"/>
        </w:rPr>
        <w:t>机构设置情况</w:t>
      </w:r>
    </w:p>
    <w:p>
      <w:pPr>
        <w:pStyle w:val="7"/>
        <w:numPr>
          <w:ilvl w:val="0"/>
          <w:numId w:val="1"/>
        </w:numPr>
        <w:shd w:val="clear" w:fill="FFFFFF" w:themeFill="background1"/>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三亚市吉阳区吉阳小学</w:t>
      </w:r>
      <w:r>
        <w:rPr>
          <w:rFonts w:hint="eastAsia" w:ascii="黑体" w:hAnsi="黑体" w:eastAsia="黑体" w:cs="黑体"/>
          <w:sz w:val="32"/>
          <w:szCs w:val="32"/>
          <w:lang w:val="en-US" w:eastAsia="zh-CN"/>
        </w:rPr>
        <w:t>2025</w:t>
      </w:r>
      <w:r>
        <w:rPr>
          <w:rFonts w:hint="eastAsia" w:ascii="黑体" w:hAnsi="黑体" w:eastAsia="黑体" w:cs="黑体"/>
          <w:sz w:val="32"/>
          <w:szCs w:val="32"/>
        </w:rPr>
        <w:t>年单位预算表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shd w:val="clear" w:fill="FFFFFF" w:themeFill="background1"/>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shd w:val="clear" w:fill="FFFFFF" w:themeFill="background1"/>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shd w:val="clear" w:fill="FFFFFF" w:themeFill="background1"/>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shd w:val="clear" w:fill="FFFFFF" w:themeFill="background1"/>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shd w:val="clear" w:fill="FFFFFF" w:themeFill="background1"/>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shd w:val="clear" w:fill="FFFFFF" w:themeFill="background1"/>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三亚市吉阳区吉阳小学</w:t>
      </w:r>
      <w:r>
        <w:rPr>
          <w:rFonts w:hint="eastAsia" w:ascii="黑体" w:hAnsi="黑体" w:eastAsia="黑体"/>
          <w:sz w:val="32"/>
          <w:szCs w:val="32"/>
          <w:lang w:val="en-US" w:eastAsia="zh-CN"/>
        </w:rPr>
        <w:t>2025年</w:t>
      </w:r>
      <w:r>
        <w:rPr>
          <w:rFonts w:hint="eastAsia" w:ascii="黑体" w:hAnsi="黑体" w:eastAsia="黑体"/>
          <w:sz w:val="32"/>
          <w:szCs w:val="32"/>
        </w:rPr>
        <w:t>单位预算情况说明</w:t>
      </w:r>
    </w:p>
    <w:p>
      <w:pPr>
        <w:pStyle w:val="7"/>
        <w:numPr>
          <w:ilvl w:val="0"/>
          <w:numId w:val="1"/>
        </w:numPr>
        <w:shd w:val="clear" w:fill="FFFFFF" w:themeFill="background1"/>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shd w:val="clear" w:fill="FFFFFF" w:themeFill="background1"/>
        <w:ind w:left="1320" w:firstLine="0" w:firstLineChars="0"/>
        <w:jc w:val="left"/>
        <w:rPr>
          <w:rFonts w:ascii="黑体" w:hAnsi="黑体" w:eastAsia="黑体"/>
          <w:sz w:val="32"/>
          <w:szCs w:val="32"/>
        </w:rPr>
      </w:pPr>
    </w:p>
    <w:p>
      <w:pPr>
        <w:shd w:val="clear" w:fill="FFFFFF" w:themeFill="background1"/>
        <w:jc w:val="left"/>
        <w:rPr>
          <w:rFonts w:ascii="黑体" w:hAnsi="黑体" w:eastAsia="黑体"/>
          <w:sz w:val="32"/>
          <w:szCs w:val="32"/>
        </w:rPr>
      </w:pPr>
    </w:p>
    <w:p>
      <w:pPr>
        <w:shd w:val="clear" w:fill="FFFFFF" w:themeFill="background1"/>
        <w:jc w:val="left"/>
        <w:rPr>
          <w:rFonts w:ascii="黑体" w:hAnsi="黑体" w:eastAsia="黑体"/>
          <w:sz w:val="32"/>
          <w:szCs w:val="32"/>
        </w:rPr>
      </w:pPr>
    </w:p>
    <w:p>
      <w:pPr>
        <w:shd w:val="clear" w:fill="FFFFFF" w:themeFill="background1"/>
        <w:jc w:val="left"/>
        <w:rPr>
          <w:rFonts w:ascii="黑体" w:hAnsi="黑体" w:eastAsia="黑体"/>
          <w:sz w:val="32"/>
          <w:szCs w:val="32"/>
        </w:rPr>
      </w:pPr>
    </w:p>
    <w:p>
      <w:pPr>
        <w:shd w:val="clear" w:fill="FFFFFF" w:themeFill="background1"/>
        <w:jc w:val="left"/>
        <w:rPr>
          <w:rFonts w:ascii="黑体" w:hAnsi="黑体" w:eastAsia="黑体"/>
          <w:sz w:val="32"/>
          <w:szCs w:val="32"/>
        </w:rPr>
      </w:pPr>
    </w:p>
    <w:p>
      <w:pPr>
        <w:pStyle w:val="7"/>
        <w:numPr>
          <w:ilvl w:val="0"/>
          <w:numId w:val="4"/>
        </w:numPr>
        <w:shd w:val="clear" w:fill="FFFFFF" w:themeFill="background1"/>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三亚市吉阳区吉阳小学</w:t>
      </w:r>
      <w:r>
        <w:rPr>
          <w:rFonts w:hint="eastAsia" w:ascii="黑体" w:hAnsi="黑体" w:eastAsia="黑体" w:cs="黑体"/>
          <w:sz w:val="32"/>
          <w:szCs w:val="32"/>
        </w:rPr>
        <w:t>概况</w:t>
      </w:r>
    </w:p>
    <w:p>
      <w:pPr>
        <w:shd w:val="clear" w:fill="FFFFFF" w:themeFill="background1"/>
        <w:jc w:val="left"/>
        <w:rPr>
          <w:rFonts w:ascii="仿宋_GB2312" w:hAnsi="仿宋_GB2312" w:eastAsia="仿宋_GB2312" w:cs="仿宋_GB2312"/>
          <w:sz w:val="32"/>
          <w:szCs w:val="32"/>
        </w:rPr>
      </w:pPr>
    </w:p>
    <w:p>
      <w:pPr>
        <w:pStyle w:val="7"/>
        <w:numPr>
          <w:ilvl w:val="0"/>
          <w:numId w:val="5"/>
        </w:numPr>
        <w:shd w:val="clear" w:fill="FFFFFF" w:themeFill="background1"/>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sz w:val="32"/>
          <w:szCs w:val="32"/>
        </w:rPr>
        <w:t>拟订</w:t>
      </w:r>
      <w:r>
        <w:rPr>
          <w:rFonts w:hint="eastAsia" w:ascii="仿宋_GB2312" w:hAnsi="黑体" w:eastAsia="仿宋_GB2312" w:cs="仿宋_GB2312"/>
          <w:kern w:val="2"/>
          <w:sz w:val="32"/>
          <w:szCs w:val="32"/>
          <w:lang w:val="en-US" w:eastAsia="zh-CN" w:bidi="ar-SA"/>
        </w:rPr>
        <w:t>（一）贯彻执行中央及省、市有关财政、财务和会计管理、财政监督、国有资产监督的方针、政策；依法拟定并组织实施本区财政、财务和会计管理、财政监督、国有资产监督的规划和措施。</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二）承担区本级各项财政收支管理的责任；负责编制区本级年度预决算并组织实施；受区政府委托，向区人民代表大会报告区本级预算及执行情况；向区人大常委会报告决算情况；组织制定经费开支标准、定额，负责审核批复部门（单位）的年度预决算。</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（三）管理本区财政公共支出，组织实施本区财政国库管理制度、国库集中收付制度，指导和监督区国库业务，承担区财政资金账户和国库现金管理工作；负责区政府采购的监督实施。</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（四）负责本区税收收入管理和政府非税收入管理，负责政府性基金管理，负责区本级新农村建设资金的管理和“三农”的各种政策性财政补贴的发放；管理行政事业性收费和财政票据。</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（五）负责办理和监督本区的经济发展支出、政府性投资项目的财政拨款，参与拟订本区重点建设投资的有关政策，制定本区基本建设财政制度，负责有关制度性补贴和专项储备资金财务管理工作。</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（六）协助管理本区社会保障和就业及医疗卫生支出，协助拟订并组织实施社会保障机制资金（基金）的财务管理制度，编制及审核汇总本区社会保障预决算草案。</w:t>
      </w:r>
    </w:p>
    <w:p>
      <w:pPr>
        <w:keepNext w:val="0"/>
        <w:keepLines w:val="0"/>
        <w:pageBreakBefore w:val="0"/>
        <w:shd w:val="clear" w:fill="FFFFFF" w:themeFill="background1"/>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（七）负责本区国有资产监督管理；监督检查财税法规、政策的执行情况，反映财政收支管理中的重大问题；建立财政支出绩效评价体系，开展财政支出绩效评价工作。</w:t>
      </w:r>
    </w:p>
    <w:p>
      <w:pPr>
        <w:pStyle w:val="7"/>
        <w:keepNext w:val="0"/>
        <w:keepLines w:val="0"/>
        <w:pageBreakBefore w:val="0"/>
        <w:shd w:val="clear" w:fill="FFFFFF" w:themeFill="background1"/>
        <w:kinsoku/>
        <w:wordWrap/>
        <w:overflowPunct/>
        <w:topLinePunct w:val="0"/>
        <w:bidi w:val="0"/>
        <w:snapToGrid/>
        <w:spacing w:line="578" w:lineRule="exact"/>
        <w:ind w:right="0" w:rightChars="0" w:firstLine="31680"/>
        <w:jc w:val="left"/>
        <w:textAlignment w:val="auto"/>
        <w:outlineLvl w:val="9"/>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（八）承办区政府和上级部门交办的工</w:t>
      </w:r>
      <w:r>
        <w:rPr>
          <w:rFonts w:hint="eastAsia" w:ascii="Times New Roman" w:hAnsi="Times New Roman" w:eastAsia="仿宋_GB2312"/>
          <w:sz w:val="28"/>
          <w:szCs w:val="28"/>
        </w:rPr>
        <w:t>作。</w:t>
      </w:r>
      <w:r>
        <w:rPr>
          <w:rFonts w:hint="eastAsia" w:ascii="黑体" w:hAnsi="黑体" w:eastAsia="黑体" w:cs="仿宋_GB2312"/>
          <w:sz w:val="32"/>
          <w:szCs w:val="32"/>
          <w:lang w:val="en-US" w:eastAsia="zh-CN"/>
        </w:rPr>
        <w:t xml:space="preserve">  </w:t>
      </w:r>
    </w:p>
    <w:p>
      <w:pPr>
        <w:numPr>
          <w:ilvl w:val="-1"/>
          <w:numId w:val="0"/>
        </w:numPr>
        <w:shd w:val="clear" w:fill="FFFFFF" w:themeFill="background1"/>
        <w:jc w:val="both"/>
        <w:rPr>
          <w:rFonts w:hint="eastAsia" w:ascii="黑体" w:hAnsi="黑体" w:eastAsia="黑体"/>
          <w:sz w:val="32"/>
          <w:szCs w:val="32"/>
          <w:lang w:val="en-US" w:eastAsia="zh-CN"/>
        </w:rPr>
      </w:pPr>
      <w:r>
        <w:rPr>
          <w:rFonts w:hint="eastAsia" w:ascii="黑体" w:hAnsi="黑体" w:eastAsia="黑体" w:cs="仿宋_GB2312"/>
          <w:sz w:val="32"/>
          <w:szCs w:val="32"/>
          <w:lang w:val="en-US" w:eastAsia="zh-CN"/>
        </w:rPr>
        <w:t xml:space="preserve"> 二、</w:t>
      </w:r>
      <w:r>
        <w:rPr>
          <w:rFonts w:hint="eastAsia" w:ascii="黑体" w:hAnsi="黑体" w:eastAsia="黑体"/>
          <w:sz w:val="32"/>
          <w:szCs w:val="32"/>
          <w:lang w:val="en-US" w:eastAsia="zh-CN"/>
        </w:rPr>
        <w:t>机构设置情况</w:t>
      </w:r>
    </w:p>
    <w:p>
      <w:pPr>
        <w:pStyle w:val="7"/>
        <w:numPr>
          <w:ilvl w:val="0"/>
          <w:numId w:val="0"/>
        </w:numPr>
        <w:shd w:val="clear" w:fill="FFFFFF" w:themeFill="background1"/>
        <w:ind w:leftChars="0" w:firstLine="640"/>
        <w:jc w:val="left"/>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本单位无内设机构。</w:t>
      </w:r>
    </w:p>
    <w:p>
      <w:pPr>
        <w:pStyle w:val="7"/>
        <w:numPr>
          <w:ilvl w:val="0"/>
          <w:numId w:val="0"/>
        </w:numPr>
        <w:shd w:val="clear" w:fill="FFFFFF" w:themeFill="background1"/>
        <w:ind w:leftChars="0" w:firstLine="640"/>
        <w:jc w:val="left"/>
        <w:rPr>
          <w:rFonts w:hint="eastAsia" w:ascii="Times New Roman" w:hAnsi="Times New Roman" w:eastAsia="仿宋_GB2312" w:cs="Times New Roman"/>
          <w:color w:val="auto"/>
          <w:sz w:val="32"/>
          <w:szCs w:val="32"/>
          <w:lang w:val="en-US" w:eastAsia="zh-CN"/>
        </w:rPr>
      </w:pPr>
    </w:p>
    <w:p>
      <w:pPr>
        <w:shd w:val="clear" w:fill="FFFFFF" w:themeFill="background1"/>
        <w:ind w:firstLine="640" w:firstLineChars="200"/>
        <w:rPr>
          <w:rFonts w:hint="eastAsia" w:ascii="黑体" w:hAnsi="黑体" w:eastAsia="黑体" w:cs="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三亚市吉阳区吉阳小学</w:t>
      </w:r>
      <w:r>
        <w:rPr>
          <w:rFonts w:hint="eastAsia" w:ascii="黑体" w:hAnsi="黑体" w:eastAsia="黑体" w:cs="黑体"/>
          <w:sz w:val="32"/>
          <w:szCs w:val="32"/>
          <w:lang w:val="en-US" w:eastAsia="zh-CN"/>
        </w:rPr>
        <w:t>2025年单位</w:t>
      </w:r>
      <w:r>
        <w:rPr>
          <w:rFonts w:hint="eastAsia" w:ascii="黑体" w:hAnsi="黑体" w:eastAsia="黑体" w:cs="黑体"/>
          <w:sz w:val="32"/>
          <w:szCs w:val="32"/>
        </w:rPr>
        <w:t>预算表</w:t>
      </w:r>
    </w:p>
    <w:p>
      <w:pPr>
        <w:shd w:val="clear" w:fill="FFFFFF" w:themeFill="background1"/>
        <w:ind w:left="800"/>
        <w:jc w:val="left"/>
        <w:rPr>
          <w:rFonts w:ascii="黑体" w:hAnsi="黑体" w:eastAsia="黑体"/>
          <w:sz w:val="32"/>
          <w:szCs w:val="32"/>
        </w:rPr>
      </w:pPr>
    </w:p>
    <w:p>
      <w:pPr>
        <w:shd w:val="clear" w:fill="FFFFFF" w:themeFill="background1"/>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shd w:val="clear" w:fill="FFFFFF" w:themeFill="background1"/>
        <w:rPr>
          <w:rFonts w:ascii="黑体" w:hAnsi="黑体" w:eastAsia="黑体"/>
          <w:sz w:val="32"/>
          <w:szCs w:val="32"/>
        </w:rPr>
      </w:pPr>
    </w:p>
    <w:p>
      <w:pPr>
        <w:shd w:val="clear" w:fill="FFFFFF" w:themeFill="background1"/>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三亚市吉阳区吉阳小学</w:t>
      </w:r>
      <w:r>
        <w:rPr>
          <w:rFonts w:hint="eastAsia" w:ascii="黑体" w:hAnsi="黑体" w:eastAsia="黑体" w:cs="黑体"/>
          <w:sz w:val="32"/>
          <w:szCs w:val="32"/>
          <w:lang w:val="en-US" w:eastAsia="zh-CN"/>
        </w:rPr>
        <w:t>2025年单位</w:t>
      </w:r>
      <w:r>
        <w:rPr>
          <w:rFonts w:hint="eastAsia" w:ascii="黑体" w:hAnsi="黑体" w:eastAsia="黑体" w:cs="黑体"/>
          <w:sz w:val="32"/>
          <w:szCs w:val="32"/>
        </w:rPr>
        <w:t>预算</w:t>
      </w:r>
      <w:r>
        <w:rPr>
          <w:rFonts w:hint="eastAsia" w:ascii="黑体" w:hAnsi="黑体" w:eastAsia="黑体"/>
          <w:sz w:val="32"/>
          <w:szCs w:val="32"/>
        </w:rPr>
        <w:t>情况说明</w:t>
      </w:r>
    </w:p>
    <w:p>
      <w:pPr>
        <w:shd w:val="clear" w:fill="FFFFFF" w:themeFill="background1"/>
        <w:jc w:val="center"/>
        <w:rPr>
          <w:rFonts w:ascii="黑体" w:hAnsi="黑体" w:eastAsia="黑体"/>
          <w:sz w:val="32"/>
          <w:szCs w:val="32"/>
        </w:rPr>
      </w:pPr>
    </w:p>
    <w:p>
      <w:pPr>
        <w:shd w:val="clear" w:fill="FFFFFF" w:themeFill="background1"/>
        <w:ind w:firstLine="640" w:firstLineChars="200"/>
        <w:jc w:val="left"/>
        <w:rPr>
          <w:rFonts w:ascii="黑体" w:hAnsi="黑体" w:eastAsia="黑体"/>
          <w:sz w:val="32"/>
          <w:szCs w:val="32"/>
        </w:rPr>
      </w:pPr>
      <w:r>
        <w:rPr>
          <w:rFonts w:hint="eastAsia" w:ascii="黑体" w:hAnsi="黑体" w:eastAsia="黑体"/>
          <w:sz w:val="32"/>
          <w:szCs w:val="32"/>
        </w:rPr>
        <w:t>一、</w:t>
      </w:r>
      <w:r>
        <w:rPr>
          <w:rFonts w:hint="eastAsia" w:ascii="黑体" w:hAnsi="黑体" w:eastAsia="黑体" w:cs="黑体"/>
          <w:sz w:val="32"/>
          <w:szCs w:val="32"/>
        </w:rPr>
        <w:t>关于</w:t>
      </w:r>
      <w:r>
        <w:rPr>
          <w:rFonts w:hint="eastAsia" w:ascii="黑体" w:hAnsi="黑体" w:eastAsia="黑体" w:cs="黑体"/>
          <w:sz w:val="32"/>
          <w:szCs w:val="32"/>
          <w:lang w:eastAsia="zh-CN"/>
        </w:rPr>
        <w:t>三亚市吉阳区吉阳小学</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shd w:val="clear" w:fill="FFFFFF" w:themeFill="background1"/>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1881.49</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1881.49</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1881.49</w:t>
      </w:r>
      <w:r>
        <w:rPr>
          <w:rFonts w:hint="eastAsia" w:ascii="仿宋_GB2312" w:hAnsi="黑体" w:eastAsia="仿宋_GB2312"/>
          <w:sz w:val="32"/>
          <w:szCs w:val="32"/>
        </w:rPr>
        <w:t>万元、上年结转0万元，政府性基金预算本年收入0万元、上年结转0万元；支出总计</w:t>
      </w:r>
      <w:r>
        <w:rPr>
          <w:rFonts w:hint="eastAsia" w:ascii="仿宋_GB2312" w:hAnsi="黑体" w:eastAsia="仿宋_GB2312"/>
          <w:sz w:val="32"/>
          <w:szCs w:val="32"/>
          <w:lang w:val="en-US" w:eastAsia="zh-CN"/>
        </w:rPr>
        <w:t>1881.49</w:t>
      </w:r>
      <w:r>
        <w:rPr>
          <w:rFonts w:hint="eastAsia" w:ascii="仿宋_GB2312" w:hAnsi="黑体" w:eastAsia="仿宋_GB2312"/>
          <w:sz w:val="32"/>
          <w:szCs w:val="32"/>
        </w:rPr>
        <w:t>万元，包括一般公共服务支出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1473.55</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186.80</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148.59</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72.55</w:t>
      </w:r>
      <w:r>
        <w:rPr>
          <w:rFonts w:hint="eastAsia" w:ascii="仿宋_GB2312" w:hAnsi="黑体" w:eastAsia="仿宋_GB2312"/>
          <w:sz w:val="32"/>
          <w:szCs w:val="32"/>
        </w:rPr>
        <w:t>万元，结转下年0万元。</w:t>
      </w:r>
    </w:p>
    <w:p>
      <w:pPr>
        <w:shd w:val="clear" w:fill="FFFFFF" w:themeFill="background1"/>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三亚市吉阳区</w:t>
      </w:r>
      <w:r>
        <w:rPr>
          <w:rFonts w:hint="eastAsia" w:ascii="黑体" w:hAnsi="黑体" w:eastAsia="黑体" w:cs="黑体"/>
          <w:sz w:val="32"/>
          <w:szCs w:val="32"/>
          <w:lang w:eastAsia="zh-CN"/>
        </w:rPr>
        <w:t>吉阳小学</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shd w:val="clear" w:fill="FFFFFF" w:themeFill="background1"/>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1881.49</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143.17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减少退休及调出</w:t>
      </w:r>
      <w:r>
        <w:rPr>
          <w:rFonts w:hint="eastAsia" w:ascii="仿宋_GB2312" w:hAnsi="黑体" w:eastAsia="仿宋_GB2312"/>
          <w:sz w:val="32"/>
          <w:szCs w:val="32"/>
          <w:lang w:val="en-US" w:eastAsia="zh-CN"/>
        </w:rPr>
        <w:t>人员经费。</w:t>
      </w:r>
    </w:p>
    <w:p>
      <w:pPr>
        <w:shd w:val="clear" w:fill="FFFFFF" w:themeFill="background1"/>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hd w:val="clear" w:fill="FFFFFF" w:themeFill="background1"/>
        <w:ind w:firstLine="800" w:firstLineChars="25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；教育支出（类）支出1473.55万元，占78.32%；</w:t>
      </w:r>
      <w:r>
        <w:rPr>
          <w:rFonts w:hint="eastAsia" w:ascii="仿宋_GB2312" w:hAnsi="黑体" w:eastAsia="仿宋_GB2312"/>
          <w:sz w:val="32"/>
          <w:szCs w:val="32"/>
          <w:lang w:val="en-US" w:eastAsia="zh-CN"/>
        </w:rPr>
        <w:t>社会保障和就业</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186.80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9.92</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148.59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7.89</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72.55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3.87</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shd w:val="clear" w:fill="FFFFFF" w:themeFill="background1"/>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hd w:val="clear" w:fill="FFFFFF" w:themeFill="background1"/>
        <w:ind w:firstLine="640" w:firstLineChars="200"/>
        <w:rPr>
          <w:rFonts w:ascii="仿宋_GB2312" w:hAnsi="黑体" w:eastAsia="仿宋_GB2312" w:cs="Times New Roman"/>
          <w:color w:val="000000"/>
          <w:sz w:val="32"/>
          <w:szCs w:val="32"/>
        </w:rPr>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教育支出（类）普通教育（款）小学教育（项）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lang w:val="en-US" w:eastAsia="zh-CN"/>
        </w:rPr>
        <w:t>5</w:t>
      </w:r>
      <w:r>
        <w:rPr>
          <w:rFonts w:hint="eastAsia" w:ascii="仿宋_GB2312" w:hAnsi="黑体" w:eastAsia="仿宋_GB2312" w:cs="仿宋_GB2312"/>
          <w:color w:val="000000"/>
          <w:sz w:val="32"/>
          <w:szCs w:val="32"/>
        </w:rPr>
        <w:t>年预算数为</w:t>
      </w:r>
      <w:r>
        <w:rPr>
          <w:rFonts w:hint="eastAsia" w:ascii="仿宋_GB2312" w:hAnsi="黑体" w:eastAsia="仿宋_GB2312" w:cs="仿宋_GB2312"/>
          <w:color w:val="000000"/>
          <w:sz w:val="32"/>
          <w:szCs w:val="32"/>
          <w:lang w:val="en-US" w:eastAsia="zh-CN"/>
        </w:rPr>
        <w:t>1473.55</w:t>
      </w:r>
      <w:r>
        <w:rPr>
          <w:rFonts w:hint="eastAsia" w:ascii="仿宋_GB2312" w:hAnsi="黑体" w:eastAsia="仿宋_GB2312" w:cs="仿宋_GB2312"/>
          <w:color w:val="000000"/>
          <w:sz w:val="32"/>
          <w:szCs w:val="32"/>
        </w:rPr>
        <w:t>万元，比上年预算数</w:t>
      </w:r>
      <w:r>
        <w:rPr>
          <w:rFonts w:hint="eastAsia" w:ascii="仿宋_GB2312" w:hAnsi="黑体" w:eastAsia="仿宋_GB2312" w:cs="仿宋_GB2312"/>
          <w:color w:val="000000"/>
          <w:sz w:val="32"/>
          <w:szCs w:val="32"/>
          <w:lang w:eastAsia="zh-CN"/>
        </w:rPr>
        <w:t>减少</w:t>
      </w:r>
      <w:r>
        <w:rPr>
          <w:rFonts w:hint="eastAsia" w:ascii="仿宋_GB2312" w:hAnsi="黑体" w:eastAsia="仿宋_GB2312" w:cs="仿宋_GB2312"/>
          <w:color w:val="000000"/>
          <w:sz w:val="32"/>
          <w:szCs w:val="32"/>
          <w:lang w:val="en-US" w:eastAsia="zh-CN"/>
        </w:rPr>
        <w:t>138.28</w:t>
      </w:r>
      <w:r>
        <w:rPr>
          <w:rFonts w:hint="eastAsia" w:ascii="仿宋_GB2312" w:hAnsi="黑体" w:eastAsia="仿宋_GB2312" w:cs="仿宋_GB2312"/>
          <w:color w:val="000000"/>
          <w:sz w:val="32"/>
          <w:szCs w:val="32"/>
        </w:rPr>
        <w:t>万元，</w:t>
      </w:r>
      <w:r>
        <w:rPr>
          <w:rFonts w:hint="eastAsia" w:ascii="仿宋_GB2312" w:hAnsi="黑体" w:eastAsia="仿宋_GB2312" w:cs="仿宋_GB2312"/>
          <w:color w:val="000000"/>
          <w:sz w:val="32"/>
          <w:szCs w:val="32"/>
          <w:lang w:eastAsia="zh-CN"/>
        </w:rPr>
        <w:t>主要是减少退休及调出人员</w:t>
      </w:r>
      <w:r>
        <w:rPr>
          <w:rFonts w:hint="eastAsia" w:ascii="仿宋_GB2312" w:hAnsi="黑体" w:eastAsia="仿宋_GB2312" w:cs="仿宋_GB2312"/>
          <w:color w:val="000000"/>
          <w:sz w:val="32"/>
          <w:szCs w:val="32"/>
        </w:rPr>
        <w:t>。</w:t>
      </w:r>
    </w:p>
    <w:p>
      <w:pPr>
        <w:shd w:val="clear" w:fill="FFFFFF" w:themeFill="background1"/>
        <w:ind w:firstLine="640" w:firstLineChars="200"/>
        <w:rPr>
          <w:rFonts w:hint="eastAsia" w:ascii="仿宋_GB2312" w:hAnsi="黑体" w:eastAsia="仿宋_GB2312" w:cs="仿宋_GB2312"/>
          <w:color w:val="000000"/>
          <w:sz w:val="32"/>
          <w:szCs w:val="32"/>
          <w:lang w:val="en-US" w:eastAsia="zh-CN"/>
        </w:rPr>
      </w:pPr>
      <w:r>
        <w:rPr>
          <w:rFonts w:ascii="仿宋_GB2312" w:hAnsi="黑体" w:eastAsia="仿宋_GB2312" w:cs="仿宋_GB2312"/>
          <w:color w:val="000000"/>
          <w:sz w:val="32"/>
          <w:szCs w:val="32"/>
        </w:rPr>
        <w:t>2.</w:t>
      </w:r>
      <w:r>
        <w:rPr>
          <w:rFonts w:hint="eastAsia" w:ascii="仿宋_GB2312" w:hAnsi="黑体" w:eastAsia="仿宋_GB2312" w:cs="仿宋_GB2312"/>
          <w:color w:val="000000"/>
          <w:sz w:val="32"/>
          <w:szCs w:val="32"/>
        </w:rPr>
        <w:t>社会保障和就业支出</w:t>
      </w:r>
      <w:r>
        <w:rPr>
          <w:rFonts w:hint="eastAsia" w:ascii="仿宋_GB2312" w:hAnsi="仿宋_GB2312" w:eastAsia="仿宋_GB2312" w:cs="仿宋_GB2312"/>
          <w:color w:val="000000"/>
          <w:sz w:val="32"/>
          <w:szCs w:val="32"/>
        </w:rPr>
        <w:t>（类）行政事业单位</w:t>
      </w:r>
      <w:r>
        <w:rPr>
          <w:rFonts w:hint="eastAsia" w:ascii="仿宋_GB2312" w:hAnsi="仿宋_GB2312" w:eastAsia="仿宋_GB2312" w:cs="仿宋_GB2312"/>
          <w:color w:val="000000"/>
          <w:sz w:val="32"/>
          <w:szCs w:val="32"/>
          <w:lang w:eastAsia="zh-CN"/>
        </w:rPr>
        <w:t>社会保障和就业</w:t>
      </w:r>
      <w:r>
        <w:rPr>
          <w:rFonts w:hint="eastAsia" w:ascii="仿宋_GB2312" w:hAnsi="仿宋_GB2312" w:eastAsia="仿宋_GB2312" w:cs="仿宋_GB2312"/>
          <w:color w:val="000000"/>
          <w:sz w:val="32"/>
          <w:szCs w:val="32"/>
        </w:rPr>
        <w:t>支出（款）机关事业单位基本保险缴费支出（项）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lang w:val="en-US" w:eastAsia="zh-CN"/>
        </w:rPr>
        <w:t>5</w:t>
      </w:r>
      <w:r>
        <w:rPr>
          <w:rFonts w:hint="eastAsia" w:ascii="仿宋_GB2312" w:hAnsi="黑体" w:eastAsia="仿宋_GB2312" w:cs="仿宋_GB2312"/>
          <w:color w:val="000000"/>
          <w:sz w:val="32"/>
          <w:szCs w:val="32"/>
        </w:rPr>
        <w:t>年预算数为</w:t>
      </w:r>
      <w:r>
        <w:rPr>
          <w:rFonts w:hint="eastAsia" w:ascii="仿宋_GB2312" w:hAnsi="黑体" w:eastAsia="仿宋_GB2312" w:cs="仿宋_GB2312"/>
          <w:color w:val="000000"/>
          <w:sz w:val="32"/>
          <w:szCs w:val="32"/>
          <w:lang w:val="en-US" w:eastAsia="zh-CN"/>
        </w:rPr>
        <w:t>105.91</w:t>
      </w:r>
      <w:r>
        <w:rPr>
          <w:rFonts w:hint="eastAsia" w:ascii="仿宋_GB2312" w:hAnsi="黑体" w:eastAsia="仿宋_GB2312" w:cs="仿宋_GB2312"/>
          <w:color w:val="000000"/>
          <w:sz w:val="32"/>
          <w:szCs w:val="32"/>
        </w:rPr>
        <w:t>万元，比上年预算数</w:t>
      </w:r>
      <w:r>
        <w:rPr>
          <w:rFonts w:hint="eastAsia" w:ascii="仿宋_GB2312" w:hAnsi="黑体" w:eastAsia="仿宋_GB2312" w:cs="仿宋_GB2312"/>
          <w:color w:val="000000"/>
          <w:sz w:val="32"/>
          <w:szCs w:val="32"/>
          <w:lang w:val="en-US" w:eastAsia="zh-CN"/>
        </w:rPr>
        <w:t>持平。</w:t>
      </w:r>
    </w:p>
    <w:p>
      <w:pPr>
        <w:numPr>
          <w:ilvl w:val="0"/>
          <w:numId w:val="0"/>
        </w:numPr>
        <w:shd w:val="clear" w:fill="FFFFFF" w:themeFill="background1"/>
        <w:ind w:firstLine="640" w:firstLineChars="200"/>
        <w:rPr>
          <w:rFonts w:hint="eastAsia" w:ascii="仿宋_GB2312" w:hAnsi="黑体" w:eastAsia="仿宋_GB2312" w:cs="仿宋_GB2312"/>
          <w:color w:val="000000"/>
          <w:sz w:val="32"/>
          <w:szCs w:val="32"/>
          <w:lang w:val="en-US" w:eastAsia="zh-CN"/>
        </w:rPr>
      </w:pPr>
      <w:r>
        <w:rPr>
          <w:rFonts w:hint="eastAsia" w:ascii="仿宋_GB2312" w:hAnsi="黑体" w:eastAsia="仿宋_GB2312" w:cs="仿宋_GB2312"/>
          <w:color w:val="000000"/>
          <w:sz w:val="32"/>
          <w:szCs w:val="32"/>
          <w:lang w:val="en-US" w:eastAsia="zh-CN"/>
        </w:rPr>
        <w:t>3.社会保障和就业支出（类）</w:t>
      </w:r>
      <w:r>
        <w:rPr>
          <w:rFonts w:hint="eastAsia" w:ascii="仿宋_GB2312" w:hAnsi="黑体" w:eastAsia="仿宋_GB2312" w:cs="仿宋_GB2312"/>
          <w:color w:val="000000"/>
          <w:sz w:val="32"/>
          <w:szCs w:val="32"/>
        </w:rPr>
        <w:t>行政事业单位社会保障和就业支出（款）机关事业单位职业年金缴费支出</w:t>
      </w:r>
      <w:r>
        <w:rPr>
          <w:rFonts w:hint="eastAsia" w:ascii="仿宋_GB2312" w:hAnsi="黑体" w:eastAsia="仿宋_GB2312" w:cs="仿宋_GB2312"/>
          <w:color w:val="000000"/>
          <w:sz w:val="32"/>
          <w:szCs w:val="32"/>
          <w:lang w:val="en-US" w:eastAsia="zh-CN"/>
        </w:rPr>
        <w:t>（项）2025年预算数为</w:t>
      </w:r>
      <w:r>
        <w:rPr>
          <w:rFonts w:hint="eastAsia" w:ascii="仿宋_GB2312" w:hAnsi="黑体" w:eastAsia="仿宋_GB2312" w:cs="仿宋_GB2312"/>
          <w:color w:val="000000"/>
          <w:sz w:val="32"/>
          <w:szCs w:val="32"/>
        </w:rPr>
        <w:t>52.96</w:t>
      </w:r>
      <w:r>
        <w:rPr>
          <w:rFonts w:hint="eastAsia" w:ascii="仿宋_GB2312" w:hAnsi="黑体" w:eastAsia="仿宋_GB2312" w:cs="仿宋_GB2312"/>
          <w:color w:val="000000"/>
          <w:sz w:val="32"/>
          <w:szCs w:val="32"/>
          <w:lang w:val="en-US" w:eastAsia="zh-CN"/>
        </w:rPr>
        <w:t>万元，比上年预算数持平。</w:t>
      </w:r>
    </w:p>
    <w:p>
      <w:pPr>
        <w:numPr>
          <w:ilvl w:val="0"/>
          <w:numId w:val="0"/>
        </w:numPr>
        <w:shd w:val="clear" w:fill="FFFFFF" w:themeFill="background1"/>
        <w:ind w:firstLine="640" w:firstLineChars="200"/>
        <w:rPr>
          <w:rFonts w:hint="default" w:ascii="仿宋_GB2312" w:hAnsi="黑体" w:eastAsia="仿宋_GB2312" w:cs="仿宋_GB2312"/>
          <w:color w:val="000000"/>
          <w:sz w:val="32"/>
          <w:szCs w:val="32"/>
          <w:lang w:val="en-US" w:eastAsia="zh-CN"/>
        </w:rPr>
      </w:pPr>
      <w:r>
        <w:rPr>
          <w:rFonts w:hint="eastAsia" w:ascii="仿宋_GB2312" w:hAnsi="黑体" w:eastAsia="仿宋_GB2312" w:cs="仿宋_GB2312"/>
          <w:color w:val="000000"/>
          <w:sz w:val="32"/>
          <w:szCs w:val="32"/>
          <w:lang w:eastAsia="zh-CN"/>
        </w:rPr>
        <w:t>4</w:t>
      </w:r>
      <w:r>
        <w:rPr>
          <w:rFonts w:hint="eastAsia" w:ascii="仿宋_GB2312" w:hAnsi="黑体" w:eastAsia="仿宋_GB2312" w:cs="仿宋_GB2312"/>
          <w:color w:val="000000"/>
          <w:sz w:val="32"/>
          <w:szCs w:val="32"/>
        </w:rPr>
        <w:t>.社会保障和就业支出（类）抚恤（款）其他优抚支出（项）2025年预算数为27.94万元，比上年预算数</w:t>
      </w:r>
      <w:r>
        <w:rPr>
          <w:rFonts w:hint="eastAsia" w:ascii="仿宋_GB2312" w:hAnsi="黑体" w:eastAsia="仿宋_GB2312" w:cs="仿宋_GB2312"/>
          <w:color w:val="000000"/>
          <w:sz w:val="32"/>
          <w:szCs w:val="32"/>
          <w:lang w:val="en-US" w:eastAsia="zh-CN"/>
        </w:rPr>
        <w:t>增加4.26万元，主要是</w:t>
      </w:r>
      <w:r>
        <w:rPr>
          <w:rFonts w:hint="eastAsia" w:ascii="仿宋_GB2312" w:hAnsi="黑体" w:eastAsia="仿宋_GB2312" w:cs="仿宋_GB2312"/>
          <w:color w:val="000000"/>
          <w:sz w:val="32"/>
          <w:szCs w:val="32"/>
        </w:rPr>
        <w:t>遗属人员补助提高</w:t>
      </w:r>
      <w:r>
        <w:rPr>
          <w:rFonts w:hint="eastAsia" w:ascii="仿宋_GB2312" w:hAnsi="黑体" w:eastAsia="仿宋_GB2312" w:cs="仿宋_GB2312"/>
          <w:color w:val="000000"/>
          <w:sz w:val="32"/>
          <w:szCs w:val="32"/>
          <w:lang w:val="en-US" w:eastAsia="zh-CN"/>
        </w:rPr>
        <w:t>。</w:t>
      </w:r>
    </w:p>
    <w:p>
      <w:pPr>
        <w:numPr>
          <w:ilvl w:val="0"/>
          <w:numId w:val="0"/>
        </w:numPr>
        <w:shd w:val="clear" w:fill="FFFFFF" w:themeFill="background1"/>
        <w:ind w:firstLine="640" w:firstLineChars="200"/>
        <w:rPr>
          <w:rFonts w:hint="eastAsia" w:ascii="仿宋_GB2312" w:hAnsi="黑体" w:eastAsia="仿宋_GB2312" w:cs="仿宋_GB2312"/>
          <w:color w:val="000000"/>
          <w:sz w:val="32"/>
          <w:szCs w:val="32"/>
          <w:lang w:eastAsia="zh-CN"/>
        </w:rPr>
      </w:pPr>
      <w:r>
        <w:rPr>
          <w:rFonts w:hint="eastAsia" w:ascii="仿宋_GB2312" w:hAnsi="黑体" w:eastAsia="仿宋_GB2312" w:cs="仿宋_GB2312"/>
          <w:color w:val="000000"/>
          <w:sz w:val="32"/>
          <w:szCs w:val="32"/>
          <w:lang w:eastAsia="zh-CN"/>
        </w:rPr>
        <w:t>5</w:t>
      </w:r>
      <w:r>
        <w:rPr>
          <w:rFonts w:hint="default" w:ascii="仿宋_GB2312" w:hAnsi="黑体" w:eastAsia="仿宋_GB2312" w:cs="仿宋_GB2312"/>
          <w:color w:val="000000"/>
          <w:sz w:val="32"/>
          <w:szCs w:val="32"/>
        </w:rPr>
        <w:t>. 卫生健康支出（类）行政事业单位医疗（款）事业单位医疗（项）2025年预算数为43.03万元，比上年预算数减少</w:t>
      </w:r>
      <w:r>
        <w:rPr>
          <w:rFonts w:hint="eastAsia" w:ascii="仿宋_GB2312" w:hAnsi="黑体" w:eastAsia="仿宋_GB2312" w:cs="仿宋_GB2312"/>
          <w:color w:val="000000"/>
          <w:sz w:val="32"/>
          <w:szCs w:val="32"/>
          <w:lang w:eastAsia="zh-CN"/>
        </w:rPr>
        <w:t>1</w:t>
      </w:r>
      <w:r>
        <w:rPr>
          <w:rFonts w:hint="eastAsia" w:ascii="仿宋_GB2312" w:hAnsi="黑体" w:eastAsia="仿宋_GB2312" w:cs="仿宋_GB2312"/>
          <w:color w:val="000000"/>
          <w:sz w:val="32"/>
          <w:szCs w:val="32"/>
          <w:lang w:val="en-US" w:eastAsia="zh-CN"/>
        </w:rPr>
        <w:t>3.24</w:t>
      </w:r>
      <w:r>
        <w:rPr>
          <w:rFonts w:hint="default" w:ascii="仿宋_GB2312" w:hAnsi="黑体" w:eastAsia="仿宋_GB2312" w:cs="仿宋_GB2312"/>
          <w:color w:val="000000"/>
          <w:sz w:val="32"/>
          <w:szCs w:val="32"/>
        </w:rPr>
        <w:t>万元，主要是按实际社保缴纳基数测算缴纳社保</w:t>
      </w:r>
      <w:r>
        <w:rPr>
          <w:rFonts w:hint="eastAsia" w:ascii="仿宋_GB2312" w:hAnsi="黑体" w:eastAsia="仿宋_GB2312" w:cs="仿宋_GB2312"/>
          <w:color w:val="000000"/>
          <w:sz w:val="32"/>
          <w:szCs w:val="32"/>
          <w:lang w:eastAsia="zh-CN"/>
        </w:rPr>
        <w:t>。</w:t>
      </w:r>
    </w:p>
    <w:p>
      <w:pPr>
        <w:numPr>
          <w:ilvl w:val="0"/>
          <w:numId w:val="0"/>
        </w:numPr>
        <w:shd w:val="clear" w:fill="FFFFFF" w:themeFill="background1"/>
        <w:ind w:firstLine="640" w:firstLineChars="200"/>
        <w:rPr>
          <w:rFonts w:hint="eastAsia" w:ascii="仿宋_GB2312" w:hAnsi="黑体" w:eastAsia="仿宋_GB2312" w:cs="仿宋_GB2312"/>
          <w:color w:val="000000"/>
          <w:sz w:val="32"/>
          <w:szCs w:val="32"/>
          <w:lang w:val="en-US" w:eastAsia="zh-CN"/>
        </w:rPr>
      </w:pPr>
      <w:r>
        <w:rPr>
          <w:rFonts w:hint="eastAsia" w:ascii="仿宋_GB2312" w:hAnsi="黑体" w:eastAsia="仿宋_GB2312" w:cs="仿宋_GB2312"/>
          <w:color w:val="000000"/>
          <w:sz w:val="32"/>
          <w:szCs w:val="32"/>
          <w:lang w:eastAsia="zh-CN"/>
        </w:rPr>
        <w:t>6</w:t>
      </w:r>
      <w:r>
        <w:rPr>
          <w:rFonts w:hint="eastAsia" w:ascii="仿宋_GB2312" w:hAnsi="黑体" w:eastAsia="仿宋_GB2312" w:cs="仿宋_GB2312"/>
          <w:color w:val="000000"/>
          <w:sz w:val="32"/>
          <w:szCs w:val="32"/>
        </w:rPr>
        <w:t>. 卫生健康支出（类）行政事业单位医疗（款）公务员医疗补助（项）2025年预算数为105.56万元，比上年预算数增加</w:t>
      </w:r>
      <w:r>
        <w:rPr>
          <w:rFonts w:hint="eastAsia" w:ascii="仿宋_GB2312" w:hAnsi="黑体" w:eastAsia="仿宋_GB2312" w:cs="仿宋_GB2312"/>
          <w:color w:val="000000"/>
          <w:sz w:val="32"/>
          <w:szCs w:val="32"/>
          <w:lang w:eastAsia="zh-CN"/>
        </w:rPr>
        <w:t>4</w:t>
      </w:r>
      <w:r>
        <w:rPr>
          <w:rFonts w:hint="eastAsia" w:ascii="仿宋_GB2312" w:hAnsi="黑体" w:eastAsia="仿宋_GB2312" w:cs="仿宋_GB2312"/>
          <w:color w:val="000000"/>
          <w:sz w:val="32"/>
          <w:szCs w:val="32"/>
          <w:lang w:val="en-US" w:eastAsia="zh-CN"/>
        </w:rPr>
        <w:t>.37</w:t>
      </w:r>
      <w:r>
        <w:rPr>
          <w:rFonts w:hint="eastAsia" w:ascii="仿宋_GB2312" w:hAnsi="黑体" w:eastAsia="仿宋_GB2312" w:cs="仿宋_GB2312"/>
          <w:color w:val="000000"/>
          <w:sz w:val="32"/>
          <w:szCs w:val="32"/>
        </w:rPr>
        <w:t>万元，主要是按实际社保缴纳基数测算缴纳社保，。</w:t>
      </w:r>
    </w:p>
    <w:p>
      <w:pPr>
        <w:shd w:val="clear" w:fill="FFFFFF" w:themeFill="background1"/>
        <w:ind w:firstLine="640" w:firstLineChars="200"/>
        <w:rPr>
          <w:rFonts w:hint="eastAsia" w:ascii="仿宋_GB2312" w:hAnsi="黑体" w:eastAsia="仿宋_GB2312" w:cs="Times New Roman"/>
          <w:sz w:val="32"/>
          <w:szCs w:val="32"/>
          <w:lang w:eastAsia="zh-CN"/>
        </w:rPr>
      </w:pPr>
      <w:r>
        <w:rPr>
          <w:rFonts w:hint="eastAsia" w:ascii="仿宋_GB2312" w:hAnsi="黑体" w:eastAsia="仿宋_GB2312" w:cs="仿宋_GB2312"/>
          <w:sz w:val="32"/>
          <w:szCs w:val="32"/>
          <w:lang w:val="en-US" w:eastAsia="zh-CN"/>
        </w:rPr>
        <w:t>7</w:t>
      </w:r>
      <w:r>
        <w:rPr>
          <w:rFonts w:ascii="仿宋_GB2312" w:hAnsi="黑体" w:eastAsia="仿宋_GB2312" w:cs="仿宋_GB2312"/>
          <w:sz w:val="32"/>
          <w:szCs w:val="32"/>
        </w:rPr>
        <w:t>.</w:t>
      </w:r>
      <w:r>
        <w:t xml:space="preserve"> </w:t>
      </w:r>
      <w:r>
        <w:rPr>
          <w:rFonts w:hint="eastAsia" w:ascii="仿宋_GB2312" w:hAnsi="黑体" w:eastAsia="仿宋_GB2312" w:cs="仿宋_GB2312"/>
          <w:sz w:val="32"/>
          <w:szCs w:val="32"/>
        </w:rPr>
        <w:t>住房保障支出</w:t>
      </w:r>
      <w:r>
        <w:rPr>
          <w:rFonts w:hint="eastAsia" w:ascii="仿宋_GB2312" w:hAnsi="仿宋_GB2312" w:eastAsia="仿宋_GB2312" w:cs="仿宋_GB2312"/>
          <w:sz w:val="32"/>
          <w:szCs w:val="32"/>
        </w:rPr>
        <w:t>（类）住房改革支出（款）公住房公积金（项）</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72.55</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0.28</w:t>
      </w:r>
      <w:r>
        <w:rPr>
          <w:rFonts w:hint="eastAsia" w:ascii="仿宋_GB2312" w:hAnsi="黑体" w:eastAsia="仿宋_GB2312" w:cs="仿宋_GB2312"/>
          <w:sz w:val="32"/>
          <w:szCs w:val="32"/>
        </w:rPr>
        <w:t>万元，主要是</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lang w:val="en-US" w:eastAsia="zh-CN"/>
        </w:rPr>
        <w:t>4</w:t>
      </w:r>
      <w:r>
        <w:rPr>
          <w:rFonts w:hint="eastAsia" w:ascii="仿宋_GB2312" w:hAnsi="黑体" w:eastAsia="仿宋_GB2312" w:cs="仿宋_GB2312"/>
          <w:color w:val="000000"/>
          <w:sz w:val="32"/>
          <w:szCs w:val="32"/>
        </w:rPr>
        <w:t>年</w:t>
      </w:r>
      <w:r>
        <w:rPr>
          <w:rFonts w:hint="eastAsia" w:ascii="仿宋_GB2312" w:hAnsi="黑体" w:eastAsia="仿宋_GB2312" w:cs="仿宋_GB2312"/>
          <w:color w:val="000000"/>
          <w:sz w:val="32"/>
          <w:szCs w:val="32"/>
          <w:lang w:eastAsia="zh-CN"/>
        </w:rPr>
        <w:t>减少退休及调出</w:t>
      </w:r>
      <w:r>
        <w:rPr>
          <w:rFonts w:hint="eastAsia" w:ascii="仿宋_GB2312" w:hAnsi="黑体" w:eastAsia="仿宋_GB2312" w:cs="仿宋_GB2312"/>
          <w:color w:val="000000"/>
          <w:sz w:val="32"/>
          <w:szCs w:val="32"/>
        </w:rPr>
        <w:t>人员，人员数</w:t>
      </w:r>
      <w:r>
        <w:rPr>
          <w:rFonts w:hint="eastAsia" w:ascii="仿宋_GB2312" w:hAnsi="黑体" w:eastAsia="仿宋_GB2312" w:cs="仿宋_GB2312"/>
          <w:color w:val="000000"/>
          <w:sz w:val="32"/>
          <w:szCs w:val="32"/>
          <w:lang w:eastAsia="zh-CN"/>
        </w:rPr>
        <w:t>减少。</w:t>
      </w:r>
    </w:p>
    <w:p>
      <w:pPr>
        <w:shd w:val="clear" w:fill="FFFFFF" w:themeFill="background1"/>
        <w:ind w:firstLine="640"/>
        <w:rPr>
          <w:rFonts w:hint="eastAsia"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关于三亚市吉阳区</w:t>
      </w:r>
      <w:r>
        <w:rPr>
          <w:rFonts w:hint="eastAsia" w:ascii="黑体" w:hAnsi="黑体" w:eastAsia="黑体" w:cs="黑体"/>
          <w:sz w:val="32"/>
          <w:szCs w:val="32"/>
          <w:lang w:eastAsia="zh-CN"/>
        </w:rPr>
        <w:t>吉阳小学</w:t>
      </w:r>
      <w:r>
        <w:rPr>
          <w:rFonts w:hint="eastAsia" w:ascii="黑体" w:hAnsi="黑体" w:eastAsia="黑体" w:cs="黑体"/>
          <w:sz w:val="32"/>
          <w:szCs w:val="32"/>
          <w:lang w:val="en-US" w:eastAsia="zh-CN"/>
        </w:rPr>
        <w:t>2025</w:t>
      </w:r>
      <w:r>
        <w:rPr>
          <w:rFonts w:hint="eastAsia" w:ascii="黑体" w:hAnsi="黑体" w:eastAsia="黑体" w:cs="黑体"/>
          <w:sz w:val="32"/>
          <w:szCs w:val="32"/>
        </w:rPr>
        <w:t>年一般公共预算基本支出情况说明</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1301.72</w:t>
      </w:r>
      <w:r>
        <w:rPr>
          <w:rFonts w:hint="eastAsia" w:ascii="仿宋_GB2312" w:hAnsi="黑体" w:eastAsia="仿宋_GB2312"/>
          <w:sz w:val="32"/>
          <w:szCs w:val="32"/>
        </w:rPr>
        <w:t>万元，其中：</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1255.45</w:t>
      </w:r>
      <w:r>
        <w:rPr>
          <w:rFonts w:hint="eastAsia" w:ascii="仿宋_GB2312" w:hAnsi="黑体" w:eastAsia="仿宋_GB2312"/>
          <w:sz w:val="32"/>
          <w:szCs w:val="32"/>
        </w:rPr>
        <w:t>万元，主要包括：基本工资、津贴补贴、绩效工资、机关事业单位基本养老保险缴费、职业年金缴费、职工基本医疗保险缴费、公务员医疗补助缴费、其他社会保障缴费、住房公积金、其他工资福利支出、邮电费、生活补助</w:t>
      </w:r>
      <w:r>
        <w:rPr>
          <w:rFonts w:hint="eastAsia" w:ascii="仿宋_GB2312" w:hAnsi="黑体" w:eastAsia="仿宋_GB2312"/>
          <w:sz w:val="32"/>
          <w:szCs w:val="32"/>
          <w:lang w:eastAsia="zh-CN"/>
        </w:rPr>
        <w:t>、</w:t>
      </w:r>
      <w:r>
        <w:rPr>
          <w:rFonts w:hint="eastAsia" w:ascii="仿宋_GB2312" w:hAnsi="黑体" w:eastAsia="仿宋_GB2312"/>
          <w:sz w:val="32"/>
          <w:szCs w:val="32"/>
        </w:rPr>
        <w:t>奖励金；</w:t>
      </w:r>
    </w:p>
    <w:p>
      <w:pPr>
        <w:keepNext w:val="0"/>
        <w:keepLines w:val="0"/>
        <w:pageBreakBefore w:val="0"/>
        <w:shd w:val="clear" w:fill="FFFFFF" w:themeFill="background1"/>
        <w:kinsoku/>
        <w:wordWrap/>
        <w:overflowPunct/>
        <w:topLinePunct w:val="0"/>
        <w:bidi w:val="0"/>
        <w:snapToGrid/>
        <w:spacing w:line="240" w:lineRule="auto"/>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46.27</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主要包括：</w:t>
      </w:r>
      <w:r>
        <w:rPr>
          <w:rFonts w:hint="eastAsia" w:ascii="仿宋_GB2312" w:hAnsi="黑体" w:eastAsia="仿宋_GB2312"/>
          <w:sz w:val="32"/>
          <w:szCs w:val="32"/>
        </w:rPr>
        <w:t>办公费、培训费、工会经费、福利费、其他商品和服务支出。</w:t>
      </w:r>
    </w:p>
    <w:p>
      <w:pPr>
        <w:shd w:val="clear" w:fill="FFFFFF" w:themeFill="background1"/>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三亚市吉阳区</w:t>
      </w:r>
      <w:r>
        <w:rPr>
          <w:rFonts w:hint="eastAsia" w:ascii="黑体" w:hAnsi="黑体" w:eastAsia="黑体" w:cs="黑体"/>
          <w:sz w:val="32"/>
          <w:szCs w:val="32"/>
          <w:lang w:eastAsia="zh-CN"/>
        </w:rPr>
        <w:t>吉阳小学</w:t>
      </w: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hd w:val="clear" w:color="auto" w:fill="FFFFFF"/>
        </w:rPr>
        <w:t>年“三公”经费预算情况说明</w:t>
      </w:r>
    </w:p>
    <w:p>
      <w:pPr>
        <w:shd w:val="clear" w:fill="FFFFFF" w:themeFill="background1"/>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hd w:val="clear" w:fill="FFFFFF" w:themeFill="background1"/>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val="en-US" w:eastAsia="zh-CN"/>
        </w:rPr>
        <w:t>与上年预算持平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shd w:val="clear" w:fill="FFFFFF" w:themeFill="background1"/>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hd w:val="clear" w:fill="FFFFFF" w:themeFill="background1"/>
        <w:spacing w:line="578" w:lineRule="exact"/>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shd w:val="clear" w:fill="FFFFFF" w:themeFill="background1"/>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吉阳小学</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shd w:val="clear" w:fill="FFFFFF" w:themeFill="background1"/>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shd w:val="clear" w:fill="FFFFFF" w:themeFill="background1"/>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吉阳小学</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w:t>
      </w:r>
      <w:r>
        <w:rPr>
          <w:rFonts w:hint="eastAsia" w:ascii="仿宋_GB2312" w:hAnsi="黑体" w:eastAsia="仿宋_GB2312"/>
          <w:sz w:val="32"/>
          <w:szCs w:val="32"/>
          <w:lang w:eastAsia="zh-CN"/>
        </w:rPr>
        <w:t>教育支出</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吉阳小学</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1881.49</w:t>
      </w:r>
      <w:r>
        <w:rPr>
          <w:rFonts w:hint="eastAsia" w:ascii="仿宋_GB2312" w:hAnsi="黑体" w:eastAsia="仿宋_GB2312"/>
          <w:sz w:val="32"/>
          <w:szCs w:val="32"/>
        </w:rPr>
        <w:t>万元。</w:t>
      </w:r>
    </w:p>
    <w:p>
      <w:pPr>
        <w:shd w:val="clear" w:fill="FFFFFF" w:themeFill="background1"/>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吉阳小学</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1881.49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%;经费拨款收入1881.49万元，占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%；政府性基金收入0万元，占0%；专项收入0万元，占0%。比上年预算数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143.17</w:t>
      </w:r>
      <w:r>
        <w:rPr>
          <w:rFonts w:hint="eastAsia" w:ascii="仿宋_GB2312" w:hAnsi="黑体" w:eastAsia="仿宋_GB2312"/>
          <w:sz w:val="32"/>
          <w:szCs w:val="32"/>
        </w:rPr>
        <w:t>万元，</w:t>
      </w:r>
      <w:r>
        <w:rPr>
          <w:rFonts w:hint="eastAsia" w:ascii="仿宋_GB2312" w:hAnsi="黑体" w:eastAsia="仿宋_GB2312" w:cs="仿宋_GB2312"/>
          <w:sz w:val="32"/>
          <w:szCs w:val="32"/>
        </w:rPr>
        <w:t>主要是</w:t>
      </w:r>
      <w:r>
        <w:rPr>
          <w:rFonts w:hint="eastAsia" w:ascii="仿宋_GB2312" w:hAnsi="黑体" w:eastAsia="仿宋_GB2312" w:cs="仿宋_GB2312"/>
          <w:sz w:val="32"/>
          <w:szCs w:val="32"/>
          <w:lang w:eastAsia="zh-CN"/>
        </w:rPr>
        <w:t>人员减少，</w:t>
      </w:r>
      <w:r>
        <w:rPr>
          <w:rFonts w:hint="eastAsia" w:ascii="仿宋_GB2312" w:hAnsi="黑体" w:eastAsia="仿宋_GB2312" w:cs="仿宋_GB2312"/>
          <w:sz w:val="32"/>
          <w:szCs w:val="32"/>
        </w:rPr>
        <w:t>社保基数及公积金基数</w:t>
      </w:r>
      <w:r>
        <w:rPr>
          <w:rFonts w:hint="eastAsia" w:ascii="仿宋_GB2312" w:hAnsi="黑体" w:eastAsia="仿宋_GB2312" w:cs="仿宋_GB2312"/>
          <w:sz w:val="32"/>
          <w:szCs w:val="32"/>
          <w:lang w:eastAsia="zh-CN"/>
        </w:rPr>
        <w:t>降低</w:t>
      </w:r>
      <w:r>
        <w:rPr>
          <w:rFonts w:hint="eastAsia" w:ascii="仿宋_GB2312" w:hAnsi="黑体" w:eastAsia="仿宋_GB2312" w:cs="仿宋_GB2312"/>
          <w:sz w:val="32"/>
          <w:szCs w:val="32"/>
        </w:rPr>
        <w:t>，职工福利也有所</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rPr>
        <w:t>。</w:t>
      </w:r>
    </w:p>
    <w:p>
      <w:pPr>
        <w:shd w:val="clear" w:fill="FFFFFF" w:themeFill="background1"/>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吉阳小学</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1881.49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1301.72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69.19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579.77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30.81</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增加576.22</w:t>
      </w:r>
      <w:r>
        <w:rPr>
          <w:rFonts w:hint="eastAsia" w:ascii="仿宋_GB2312" w:hAnsi="黑体" w:eastAsia="仿宋_GB2312"/>
          <w:sz w:val="32"/>
          <w:szCs w:val="32"/>
        </w:rPr>
        <w:t>万元，</w:t>
      </w:r>
      <w:r>
        <w:rPr>
          <w:rFonts w:hint="eastAsia" w:ascii="仿宋_GB2312" w:hAnsi="黑体" w:eastAsia="仿宋_GB2312" w:cs="仿宋_GB2312"/>
          <w:sz w:val="32"/>
          <w:szCs w:val="32"/>
        </w:rPr>
        <w:t>主要是</w:t>
      </w:r>
      <w:r>
        <w:rPr>
          <w:rFonts w:hint="eastAsia" w:ascii="仿宋_GB2312" w:hAnsi="黑体" w:eastAsia="仿宋_GB2312" w:cs="仿宋_GB2312"/>
          <w:sz w:val="32"/>
          <w:szCs w:val="32"/>
          <w:lang w:eastAsia="zh-CN"/>
        </w:rPr>
        <w:t>减少退休人员，</w:t>
      </w:r>
      <w:r>
        <w:rPr>
          <w:rFonts w:hint="eastAsia" w:ascii="仿宋_GB2312" w:hAnsi="黑体" w:eastAsia="仿宋_GB2312" w:cs="仿宋_GB2312"/>
          <w:sz w:val="32"/>
          <w:szCs w:val="32"/>
        </w:rPr>
        <w:t>社保基数及公积金基数</w:t>
      </w:r>
      <w:r>
        <w:rPr>
          <w:rFonts w:hint="eastAsia" w:ascii="仿宋_GB2312" w:hAnsi="黑体" w:eastAsia="仿宋_GB2312" w:cs="仿宋_GB2312"/>
          <w:sz w:val="32"/>
          <w:szCs w:val="32"/>
          <w:lang w:eastAsia="zh-CN"/>
        </w:rPr>
        <w:t>降低</w:t>
      </w:r>
      <w:r>
        <w:rPr>
          <w:rFonts w:hint="eastAsia" w:ascii="仿宋_GB2312" w:hAnsi="黑体" w:eastAsia="仿宋_GB2312" w:cs="仿宋_GB2312"/>
          <w:sz w:val="32"/>
          <w:szCs w:val="32"/>
        </w:rPr>
        <w:t>，职工福利也有所</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rPr>
        <w:t>。</w:t>
      </w:r>
    </w:p>
    <w:p>
      <w:pPr>
        <w:shd w:val="clear" w:fill="FFFFFF" w:themeFill="background1"/>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hd w:val="clear" w:fill="FFFFFF" w:themeFill="background1"/>
        <w:ind w:firstLine="640" w:firstLineChars="200"/>
        <w:rPr>
          <w:rFonts w:ascii="楷体" w:hAnsi="楷体" w:eastAsia="楷体"/>
          <w:sz w:val="32"/>
          <w:szCs w:val="32"/>
        </w:rPr>
      </w:pPr>
      <w:r>
        <w:rPr>
          <w:rFonts w:hint="eastAsia" w:ascii="楷体" w:hAnsi="楷体" w:eastAsia="楷体"/>
          <w:sz w:val="32"/>
          <w:szCs w:val="32"/>
        </w:rPr>
        <w:t>（一）机关运行经费</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部门本级的机关运行经费预算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hd w:val="clear" w:fill="FFFFFF" w:themeFill="background1"/>
        <w:ind w:firstLine="640" w:firstLineChars="200"/>
        <w:rPr>
          <w:rFonts w:ascii="楷体" w:hAnsi="楷体" w:eastAsia="楷体"/>
          <w:sz w:val="32"/>
          <w:szCs w:val="32"/>
        </w:rPr>
      </w:pPr>
      <w:r>
        <w:rPr>
          <w:rFonts w:hint="eastAsia" w:ascii="楷体" w:hAnsi="楷体" w:eastAsia="楷体"/>
          <w:sz w:val="32"/>
          <w:szCs w:val="32"/>
        </w:rPr>
        <w:t>（二）政府采购情况</w:t>
      </w:r>
    </w:p>
    <w:p>
      <w:pPr>
        <w:shd w:val="clear" w:fill="FFFFFF" w:themeFill="background1"/>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hd w:val="clear" w:fill="FFFFFF" w:themeFill="background1"/>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hd w:val="clear" w:fill="FFFFFF" w:themeFill="background1"/>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吉阳小学</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shd w:val="clear" w:fill="FFFFFF" w:themeFill="background1"/>
        <w:ind w:firstLine="640" w:firstLineChars="200"/>
        <w:rPr>
          <w:rFonts w:ascii="楷体" w:hAnsi="楷体" w:eastAsia="楷体"/>
          <w:sz w:val="32"/>
          <w:szCs w:val="32"/>
        </w:rPr>
      </w:pPr>
      <w:r>
        <w:rPr>
          <w:rFonts w:hint="eastAsia" w:ascii="楷体" w:hAnsi="楷体" w:eastAsia="楷体"/>
          <w:sz w:val="32"/>
          <w:szCs w:val="32"/>
        </w:rPr>
        <w:t>（四）绩效目标设置情况</w:t>
      </w:r>
    </w:p>
    <w:p>
      <w:pPr>
        <w:shd w:val="clear" w:fill="FFFFFF" w:themeFill="background1"/>
        <w:ind w:firstLine="640" w:firstLineChars="200"/>
        <w:rPr>
          <w:rFonts w:ascii="仿宋_GB2312" w:hAnsi="黑体" w:eastAsia="仿宋_GB2312"/>
          <w:sz w:val="32"/>
          <w:szCs w:val="32"/>
        </w:rPr>
      </w:pPr>
      <w:r>
        <w:rPr>
          <w:rFonts w:hint="eastAsia" w:ascii="仿宋_GB2312" w:hAnsi="黑体" w:eastAsia="仿宋_GB2312" w:cs="仿宋_GB2312"/>
          <w:sz w:val="32"/>
          <w:szCs w:val="32"/>
          <w:shd w:val="clear" w:fill="FFFFFF" w:themeFill="background1"/>
          <w:lang w:val="en-US" w:eastAsia="zh-CN"/>
        </w:rPr>
        <w:t>2025</w:t>
      </w:r>
      <w:r>
        <w:rPr>
          <w:rFonts w:hint="eastAsia" w:ascii="仿宋_GB2312" w:hAnsi="黑体" w:eastAsia="仿宋_GB2312"/>
          <w:sz w:val="32"/>
          <w:szCs w:val="32"/>
          <w:shd w:val="clear" w:fill="FFFFFF" w:themeFill="background1"/>
        </w:rPr>
        <w:t>年</w:t>
      </w:r>
      <w:r>
        <w:rPr>
          <w:rFonts w:hint="eastAsia" w:ascii="仿宋_GB2312" w:hAnsi="黑体" w:eastAsia="仿宋_GB2312" w:cs="仿宋_GB2312"/>
          <w:sz w:val="32"/>
          <w:szCs w:val="32"/>
          <w:shd w:val="clear" w:fill="FFFFFF" w:themeFill="background1"/>
        </w:rPr>
        <w:t>三亚市吉阳区</w:t>
      </w:r>
      <w:r>
        <w:rPr>
          <w:rFonts w:hint="eastAsia" w:ascii="仿宋_GB2312" w:hAnsi="黑体" w:eastAsia="仿宋_GB2312" w:cs="仿宋_GB2312"/>
          <w:sz w:val="32"/>
          <w:szCs w:val="32"/>
          <w:shd w:val="clear" w:fill="FFFFFF" w:themeFill="background1"/>
          <w:lang w:eastAsia="zh-CN"/>
        </w:rPr>
        <w:t>吉阳小学</w:t>
      </w:r>
      <w:r>
        <w:rPr>
          <w:rFonts w:hint="eastAsia" w:ascii="仿宋_GB2312" w:hAnsi="黑体" w:eastAsia="仿宋_GB2312" w:cs="仿宋_GB2312"/>
          <w:sz w:val="32"/>
          <w:szCs w:val="32"/>
          <w:shd w:val="clear" w:fill="FFFFFF" w:themeFill="background1"/>
          <w:lang w:val="en-US" w:eastAsia="zh-CN"/>
        </w:rPr>
        <w:t>20</w:t>
      </w:r>
      <w:r>
        <w:rPr>
          <w:rFonts w:hint="eastAsia" w:ascii="仿宋_GB2312" w:hAnsi="黑体" w:eastAsia="仿宋_GB2312" w:cs="仿宋_GB2312"/>
          <w:sz w:val="32"/>
          <w:szCs w:val="32"/>
          <w:shd w:val="clear" w:fill="FFFFFF" w:themeFill="background1"/>
        </w:rPr>
        <w:t>个项目实行绩效目标管理</w:t>
      </w:r>
      <w:r>
        <w:rPr>
          <w:rFonts w:hint="eastAsia" w:ascii="仿宋_GB2312" w:hAnsi="黑体" w:eastAsia="仿宋_GB2312" w:cs="仿宋_GB2312"/>
          <w:sz w:val="32"/>
          <w:szCs w:val="32"/>
        </w:rPr>
        <w:t>，涉及一般公共预算</w:t>
      </w:r>
      <w:r>
        <w:rPr>
          <w:rFonts w:hint="eastAsia" w:ascii="仿宋_GB2312" w:hAnsi="黑体" w:eastAsia="仿宋_GB2312" w:cs="仿宋_GB2312"/>
          <w:sz w:val="32"/>
          <w:szCs w:val="32"/>
          <w:lang w:val="en-US" w:eastAsia="zh-CN"/>
        </w:rPr>
        <w:t>1881.49</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hd w:val="clear" w:fill="FFFFFF" w:themeFill="background1"/>
        <w:jc w:val="center"/>
        <w:rPr>
          <w:rFonts w:ascii="黑体" w:hAnsi="黑体" w:eastAsia="黑体"/>
          <w:sz w:val="32"/>
          <w:szCs w:val="32"/>
        </w:rPr>
      </w:pPr>
    </w:p>
    <w:p>
      <w:pPr>
        <w:shd w:val="clear" w:fill="FFFFFF"/>
      </w:pPr>
    </w:p>
    <w:p>
      <w:pPr>
        <w:shd w:val="clear" w:fill="FFFFFF" w:themeFill="background1"/>
        <w:jc w:val="center"/>
        <w:rPr>
          <w:rFonts w:ascii="黑体" w:hAnsi="黑体" w:eastAsia="黑体"/>
          <w:b/>
          <w:sz w:val="32"/>
          <w:szCs w:val="32"/>
        </w:rPr>
      </w:pPr>
      <w:r>
        <w:rPr>
          <w:rFonts w:hint="eastAsia" w:ascii="黑体" w:hAnsi="黑体" w:eastAsia="黑体"/>
          <w:b/>
          <w:sz w:val="32"/>
          <w:szCs w:val="32"/>
        </w:rPr>
        <w:t>第四部分  名词解释</w:t>
      </w:r>
    </w:p>
    <w:p>
      <w:pPr>
        <w:shd w:val="clear" w:fill="FFFFFF" w:themeFill="background1"/>
        <w:ind w:firstLine="640" w:firstLineChars="200"/>
        <w:jc w:val="left"/>
        <w:rPr>
          <w:rFonts w:ascii="仿宋_GB2312" w:eastAsia="仿宋_GB2312" w:cs="宋体"/>
          <w:bCs/>
          <w:color w:val="000000"/>
          <w:kern w:val="0"/>
          <w:sz w:val="32"/>
          <w:szCs w:val="32"/>
          <w:lang w:val="zh-CN"/>
        </w:rPr>
      </w:pP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shd w:val="clear" w:fill="FFFFFF" w:themeFill="background1"/>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shd w:val="clear" w:fill="FFFFFF" w:themeFill="background1"/>
        <w:ind w:firstLine="640" w:firstLineChars="200"/>
        <w:jc w:val="left"/>
        <w:rPr>
          <w:rFonts w:ascii="仿宋_GB2312" w:hAnsi="宋体" w:eastAsia="仿宋_GB2312" w:cs="宋体"/>
          <w:color w:val="000000"/>
          <w:kern w:val="0"/>
          <w:sz w:val="32"/>
          <w:szCs w:val="30"/>
        </w:rPr>
      </w:pPr>
    </w:p>
    <w:p>
      <w:pPr>
        <w:shd w:val="clear" w:fill="FFFFFF" w:themeFill="background1"/>
        <w:ind w:firstLine="640" w:firstLineChars="200"/>
        <w:rPr>
          <w:rFonts w:ascii="仿宋_GB2312" w:hAnsi="黑体" w:eastAsia="仿宋_GB2312" w:cs="仿宋_GB2312"/>
          <w:sz w:val="32"/>
          <w:szCs w:val="32"/>
        </w:rPr>
      </w:pPr>
    </w:p>
    <w:p>
      <w:pPr>
        <w:shd w:val="clear" w:fill="FFFFFF" w:themeFill="background1"/>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36C44"/>
    <w:rsid w:val="05E97064"/>
    <w:rsid w:val="06B138AC"/>
    <w:rsid w:val="077B31F1"/>
    <w:rsid w:val="078F174C"/>
    <w:rsid w:val="089348FF"/>
    <w:rsid w:val="0D0D4377"/>
    <w:rsid w:val="0E5139F9"/>
    <w:rsid w:val="0E715E49"/>
    <w:rsid w:val="10161957"/>
    <w:rsid w:val="12825771"/>
    <w:rsid w:val="153C6BA1"/>
    <w:rsid w:val="15E20E8C"/>
    <w:rsid w:val="19061883"/>
    <w:rsid w:val="19D5DA33"/>
    <w:rsid w:val="1A530AF8"/>
    <w:rsid w:val="1B067919"/>
    <w:rsid w:val="1BE7774A"/>
    <w:rsid w:val="1FBF8E30"/>
    <w:rsid w:val="22D327D6"/>
    <w:rsid w:val="25AF06BC"/>
    <w:rsid w:val="26DF71D2"/>
    <w:rsid w:val="276B4A96"/>
    <w:rsid w:val="2B8B7F12"/>
    <w:rsid w:val="2BDF0DC0"/>
    <w:rsid w:val="2C414C55"/>
    <w:rsid w:val="2CEC1BE3"/>
    <w:rsid w:val="2FF7110D"/>
    <w:rsid w:val="2FFFCED3"/>
    <w:rsid w:val="341C18E5"/>
    <w:rsid w:val="35400E69"/>
    <w:rsid w:val="357D5F67"/>
    <w:rsid w:val="36BE50F4"/>
    <w:rsid w:val="39CA27D0"/>
    <w:rsid w:val="39D71425"/>
    <w:rsid w:val="3A257964"/>
    <w:rsid w:val="3D5B3B07"/>
    <w:rsid w:val="3F7FB4B5"/>
    <w:rsid w:val="3FAD4D11"/>
    <w:rsid w:val="41600075"/>
    <w:rsid w:val="41EE0F83"/>
    <w:rsid w:val="420109D2"/>
    <w:rsid w:val="42D50F31"/>
    <w:rsid w:val="4420119C"/>
    <w:rsid w:val="469D1417"/>
    <w:rsid w:val="48082673"/>
    <w:rsid w:val="480F3A01"/>
    <w:rsid w:val="4824065F"/>
    <w:rsid w:val="4FB80849"/>
    <w:rsid w:val="4FE9510A"/>
    <w:rsid w:val="515626A1"/>
    <w:rsid w:val="52DE4968"/>
    <w:rsid w:val="536F35A6"/>
    <w:rsid w:val="55E05E50"/>
    <w:rsid w:val="57DD726F"/>
    <w:rsid w:val="5B5C799B"/>
    <w:rsid w:val="5C335AB8"/>
    <w:rsid w:val="5C413847"/>
    <w:rsid w:val="5D2E7830"/>
    <w:rsid w:val="5DB7E539"/>
    <w:rsid w:val="5F3C2ED6"/>
    <w:rsid w:val="5FA24737"/>
    <w:rsid w:val="627E55B4"/>
    <w:rsid w:val="64413455"/>
    <w:rsid w:val="66DACB0B"/>
    <w:rsid w:val="697BF56A"/>
    <w:rsid w:val="6AEA1A38"/>
    <w:rsid w:val="6B6CE30F"/>
    <w:rsid w:val="6C7F1319"/>
    <w:rsid w:val="6DDF74AC"/>
    <w:rsid w:val="6FAF0D8D"/>
    <w:rsid w:val="6FCFCADC"/>
    <w:rsid w:val="6FFA4FE6"/>
    <w:rsid w:val="75F45E61"/>
    <w:rsid w:val="75FB0B04"/>
    <w:rsid w:val="79F7B683"/>
    <w:rsid w:val="7CF20C20"/>
    <w:rsid w:val="7D73BCCE"/>
    <w:rsid w:val="7DE79FA0"/>
    <w:rsid w:val="7DEBCAFF"/>
    <w:rsid w:val="7EDD8B29"/>
    <w:rsid w:val="7FA514C2"/>
    <w:rsid w:val="7FC20551"/>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semiHidden/>
    <w:qFormat/>
    <w:uiPriority w:val="99"/>
    <w:rPr>
      <w:sz w:val="18"/>
      <w:szCs w:val="18"/>
    </w:rPr>
  </w:style>
  <w:style w:type="paragraph" w:customStyle="1" w:styleId="11">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3945</Words>
  <Characters>4283</Characters>
  <Lines>27</Lines>
  <Paragraphs>7</Paragraphs>
  <TotalTime>0</TotalTime>
  <ScaleCrop>false</ScaleCrop>
  <LinksUpToDate>false</LinksUpToDate>
  <CharactersWithSpaces>4314</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123</cp:lastModifiedBy>
  <dcterms:modified xsi:type="dcterms:W3CDTF">2025-02-13T09:36:33Z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10736B3172F34F3292765B97FEF80132_13</vt:lpwstr>
  </property>
  <property fmtid="{D5CDD505-2E9C-101B-9397-08002B2CF9AE}" pid="4" name="KSOTemplateDocerSaveRecord">
    <vt:lpwstr>eyJoZGlkIjoiNDhlNzI5NzRjYTU4MGRhYTI3YWM2Zjk2ODgwYzcxNTYiLCJ1c2VySWQiOiIxMTc0OTgxNzg0In0=</vt:lpwstr>
  </property>
</Properties>
</file>