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sz w:val="84"/>
          <w:szCs w:val="84"/>
          <w:u w:val="single"/>
          <w:lang w:val="en-US" w:eastAsia="zh-CN"/>
        </w:rPr>
      </w:pPr>
      <w:bookmarkStart w:id="0" w:name="_GoBack"/>
    </w:p>
    <w:bookmarkEnd w:id="0"/>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val="en-US" w:eastAsia="zh-CN"/>
        </w:rPr>
        <w:t>三亚市吉阳区发展和改革委员会</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发展和改革委员会</w:t>
      </w:r>
      <w:r>
        <w:rPr>
          <w:rFonts w:hint="eastAsia" w:ascii="黑体" w:hAnsi="黑体" w:eastAsia="黑体" w:cs="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b w:val="0"/>
          <w:bCs w:val="0"/>
          <w:sz w:val="32"/>
          <w:szCs w:val="32"/>
          <w:lang w:eastAsia="zh-CN"/>
        </w:rPr>
        <w:t>发展和改革委员会</w:t>
      </w:r>
      <w:r>
        <w:rPr>
          <w:rFonts w:hint="eastAsia" w:ascii="黑体" w:hAnsi="黑体" w:eastAsia="黑体" w:cs="黑体"/>
          <w:b w:val="0"/>
          <w:bCs w:val="0"/>
          <w:sz w:val="32"/>
          <w:szCs w:val="32"/>
          <w:lang w:val="en-US" w:eastAsia="zh-CN"/>
        </w:rPr>
        <w:t>2022</w:t>
      </w:r>
      <w:r>
        <w:rPr>
          <w:rFonts w:hint="eastAsia" w:ascii="黑体" w:hAnsi="黑体" w:eastAsia="黑体" w:cs="黑体"/>
          <w:b w:val="0"/>
          <w:bCs w:val="0"/>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b w:val="0"/>
          <w:bCs w:val="0"/>
          <w:sz w:val="32"/>
          <w:szCs w:val="32"/>
          <w:lang w:eastAsia="zh-CN"/>
        </w:rPr>
        <w:t>发展和改革委员会</w:t>
      </w:r>
      <w:r>
        <w:rPr>
          <w:rFonts w:hint="eastAsia" w:ascii="黑体" w:hAnsi="黑体" w:eastAsia="黑体" w:cs="黑体"/>
          <w:b w:val="0"/>
          <w:bCs w:val="0"/>
          <w:sz w:val="32"/>
          <w:szCs w:val="32"/>
          <w:lang w:val="en-US" w:eastAsia="zh-CN"/>
        </w:rPr>
        <w:t>2022</w:t>
      </w:r>
      <w:r>
        <w:rPr>
          <w:rFonts w:hint="eastAsia" w:ascii="黑体" w:hAnsi="黑体" w:eastAsia="黑体" w:cs="黑体"/>
          <w:b w:val="0"/>
          <w:bCs w:val="0"/>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rPr>
        <w:t>概况</w:t>
      </w:r>
    </w:p>
    <w:p>
      <w:pPr>
        <w:jc w:val="left"/>
        <w:rPr>
          <w:rFonts w:ascii="仿宋_GB2312" w:hAnsi="仿宋_GB2312" w:eastAsia="仿宋_GB2312" w:cs="仿宋_GB2312"/>
          <w:sz w:val="32"/>
          <w:szCs w:val="32"/>
        </w:rPr>
      </w:pPr>
    </w:p>
    <w:p>
      <w:pPr>
        <w:pStyle w:val="6"/>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color w:val="000000" w:themeColor="text1"/>
          <w:sz w:val="32"/>
          <w:szCs w:val="32"/>
          <w:lang w:val="en-US" w:eastAsia="zh-CN"/>
          <w14:textFill>
            <w14:solidFill>
              <w14:schemeClr w14:val="tx1"/>
            </w14:solidFill>
          </w14:textFill>
        </w:rPr>
        <w:t xml:space="preserve"> 一、</w:t>
      </w:r>
      <w:r>
        <w:rPr>
          <w:rFonts w:hint="eastAsia" w:ascii="黑体" w:hAnsi="黑体" w:eastAsia="黑体" w:cs="仿宋_GB2312"/>
          <w:sz w:val="32"/>
          <w:szCs w:val="32"/>
        </w:rPr>
        <w:t>主要职能</w:t>
      </w:r>
    </w:p>
    <w:p>
      <w:pPr>
        <w:pStyle w:val="6"/>
        <w:keepNext w:val="0"/>
        <w:keepLines w:val="0"/>
        <w:pageBreakBefore w:val="0"/>
        <w:widowControl w:val="0"/>
        <w:numPr>
          <w:ilvl w:val="-1"/>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仿宋_GB2312"/>
          <w:sz w:val="32"/>
          <w:szCs w:val="32"/>
          <w:lang w:val="en-US" w:eastAsia="zh-CN"/>
        </w:rPr>
      </w:pPr>
      <w:r>
        <w:rPr>
          <w:rFonts w:hint="eastAsia" w:ascii="仿宋_GB2312" w:hAnsi="黑体" w:eastAsia="仿宋_GB2312" w:cs="仿宋_GB2312"/>
          <w:kern w:val="2"/>
          <w:sz w:val="32"/>
          <w:szCs w:val="32"/>
          <w:lang w:val="en-US" w:eastAsia="zh-CN" w:bidi="ar-SA"/>
        </w:rPr>
        <w:t xml:space="preserve">根据有关规定不予公开。  </w:t>
      </w:r>
      <w:r>
        <w:rPr>
          <w:rFonts w:hint="eastAsia" w:ascii="黑体" w:hAnsi="黑体" w:eastAsia="黑体" w:cs="仿宋_GB2312"/>
          <w:sz w:val="32"/>
          <w:szCs w:val="32"/>
          <w:lang w:val="en-US" w:eastAsia="zh-CN"/>
        </w:rPr>
        <w:t xml:space="preserve">  </w:t>
      </w:r>
    </w:p>
    <w:p>
      <w:pPr>
        <w:pStyle w:val="6"/>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lang w:val="en-US" w:eastAsia="zh-CN"/>
        </w:rPr>
        <w:t xml:space="preserve">    二、</w:t>
      </w:r>
      <w:r>
        <w:rPr>
          <w:rFonts w:hint="eastAsia" w:ascii="黑体" w:hAnsi="黑体" w:eastAsia="黑体" w:cs="仿宋_GB2312"/>
          <w:sz w:val="32"/>
          <w:szCs w:val="32"/>
        </w:rPr>
        <w:t>部门预算单位构成</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纳入三亚市吉阳区发展和改革委员会2022年部门预算编制范围的二级预算单位包括：</w:t>
      </w:r>
    </w:p>
    <w:p>
      <w:pPr>
        <w:pStyle w:val="6"/>
        <w:numPr>
          <w:ilvl w:val="0"/>
          <w:numId w:val="5"/>
        </w:numPr>
        <w:ind w:left="800" w:leftChars="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三亚市吉阳区发展和改革委员会</w:t>
      </w:r>
      <w:r>
        <w:rPr>
          <w:rFonts w:hint="eastAsia" w:ascii="仿宋_GB2312" w:hAnsi="黑体" w:eastAsia="仿宋_GB2312" w:cs="仿宋_GB2312"/>
          <w:sz w:val="32"/>
          <w:szCs w:val="32"/>
          <w:lang w:eastAsia="zh-CN"/>
        </w:rPr>
        <w:t>本级</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541.09</w:t>
      </w:r>
      <w:r>
        <w:rPr>
          <w:rFonts w:hint="eastAsia" w:ascii="仿宋_GB2312" w:hAnsi="黑体" w:eastAsia="仿宋_GB2312"/>
          <w:sz w:val="32"/>
          <w:szCs w:val="32"/>
        </w:rPr>
        <w:t>万元、</w:t>
      </w:r>
      <w:r>
        <w:rPr>
          <w:rFonts w:hint="eastAsia" w:ascii="仿宋_GB2312" w:hAnsi="黑体" w:eastAsia="仿宋_GB2312"/>
          <w:sz w:val="32"/>
          <w:szCs w:val="32"/>
          <w:lang w:eastAsia="zh-CN"/>
        </w:rPr>
        <w:t>科学技术支出</w:t>
      </w:r>
      <w:r>
        <w:rPr>
          <w:rFonts w:hint="eastAsia" w:ascii="仿宋_GB2312" w:hAnsi="黑体" w:eastAsia="仿宋_GB2312"/>
          <w:sz w:val="32"/>
          <w:szCs w:val="32"/>
          <w:lang w:val="en-US" w:eastAsia="zh-CN"/>
        </w:rPr>
        <w:t>6万元、社会保障和就业</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19.54</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21.63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住房保障支出10.11万元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2022年一般公共预算当年拨款</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541.09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90.43</w:t>
      </w:r>
      <w:r>
        <w:rPr>
          <w:rFonts w:hint="eastAsia" w:ascii="仿宋_GB2312" w:hAnsi="黑体" w:eastAsia="仿宋_GB2312"/>
          <w:sz w:val="32"/>
          <w:szCs w:val="32"/>
        </w:rPr>
        <w:t>%；</w:t>
      </w:r>
      <w:r>
        <w:rPr>
          <w:rFonts w:hint="eastAsia" w:ascii="仿宋_GB2312" w:hAnsi="黑体" w:eastAsia="仿宋_GB2312"/>
          <w:sz w:val="32"/>
          <w:szCs w:val="32"/>
          <w:lang w:eastAsia="zh-CN"/>
        </w:rPr>
        <w:t>科学技术支出</w:t>
      </w:r>
      <w:r>
        <w:rPr>
          <w:rFonts w:hint="eastAsia" w:ascii="仿宋_GB2312" w:hAnsi="黑体" w:eastAsia="仿宋_GB2312"/>
          <w:sz w:val="32"/>
          <w:szCs w:val="32"/>
          <w:lang w:val="en-US" w:eastAsia="zh-CN"/>
        </w:rPr>
        <w:t>6万元，占1.00%；社会保障和就业</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19.54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3.27</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21.63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3.61</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10.11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1.69</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Times New Roman" w:hAnsi="Times New Roman" w:eastAsia="仿宋_GB2312"/>
          <w:sz w:val="32"/>
          <w:szCs w:val="32"/>
        </w:rPr>
      </w:pPr>
      <w:r>
        <w:rPr>
          <w:rFonts w:hint="eastAsia" w:ascii="仿宋_GB2312" w:hAnsi="黑体" w:eastAsia="仿宋_GB2312" w:cs="仿宋_GB2312"/>
          <w:sz w:val="32"/>
          <w:szCs w:val="32"/>
        </w:rPr>
        <w:t>1.</w:t>
      </w:r>
      <w:r>
        <w:rPr>
          <w:rFonts w:hint="eastAsia" w:ascii="Times New Roman" w:hAnsi="Times New Roman" w:eastAsia="仿宋_GB2312"/>
          <w:sz w:val="32"/>
          <w:szCs w:val="32"/>
        </w:rPr>
        <w:t>一般公共服务（类）发展与改革事务（款）行政运行（项）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163.09</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8.59</w:t>
      </w:r>
      <w:r>
        <w:rPr>
          <w:rFonts w:hint="eastAsia" w:ascii="Times New Roman" w:hAnsi="Times New Roman" w:eastAsia="仿宋_GB2312"/>
          <w:sz w:val="32"/>
          <w:szCs w:val="32"/>
        </w:rPr>
        <w:t>万元，主要是人员工资、社保、医疗、住房保障等方面的预算</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rPr>
      </w:pPr>
      <w:r>
        <w:rPr>
          <w:rFonts w:ascii="仿宋_GB2312" w:hAnsi="黑体" w:eastAsia="仿宋_GB2312"/>
          <w:sz w:val="32"/>
          <w:szCs w:val="32"/>
        </w:rPr>
        <w:t>2.</w:t>
      </w:r>
      <w:r>
        <w:rPr>
          <w:rFonts w:hint="eastAsia" w:ascii="Times New Roman" w:hAnsi="Times New Roman" w:eastAsia="仿宋_GB2312"/>
          <w:sz w:val="32"/>
          <w:szCs w:val="32"/>
        </w:rPr>
        <w:t>一般公共服务（类）发展与改革事务（款）一般行政管理事务（项）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197.00</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数减少</w:t>
      </w:r>
      <w:r>
        <w:rPr>
          <w:rFonts w:hint="eastAsia" w:ascii="Times New Roman" w:hAnsi="Times New Roman" w:eastAsia="仿宋_GB2312"/>
          <w:sz w:val="32"/>
          <w:szCs w:val="32"/>
          <w:lang w:val="en-US" w:eastAsia="zh-CN"/>
        </w:rPr>
        <w:t>8.2</w:t>
      </w:r>
      <w:r>
        <w:rPr>
          <w:rFonts w:hint="eastAsia" w:ascii="Times New Roman" w:hAnsi="Times New Roman" w:eastAsia="仿宋_GB2312"/>
          <w:sz w:val="32"/>
          <w:szCs w:val="32"/>
        </w:rPr>
        <w:t>万元，主要是</w:t>
      </w:r>
      <w:r>
        <w:rPr>
          <w:rFonts w:hint="eastAsia" w:ascii="仿宋_GB2312" w:hAnsi="黑体" w:eastAsia="仿宋_GB2312"/>
          <w:sz w:val="32"/>
          <w:szCs w:val="32"/>
          <w:lang w:eastAsia="zh-CN"/>
        </w:rPr>
        <w:t>例行节约，</w:t>
      </w:r>
      <w:r>
        <w:rPr>
          <w:rFonts w:hint="eastAsia" w:ascii="仿宋_GB2312" w:hAnsi="黑体" w:eastAsia="仿宋_GB2312"/>
          <w:sz w:val="32"/>
          <w:szCs w:val="32"/>
          <w:lang w:val="en-US" w:eastAsia="zh-CN"/>
        </w:rPr>
        <w:t>严控一般性支出</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一般公共服务（类）发展与改革事务（款）</w:t>
      </w:r>
      <w:r>
        <w:rPr>
          <w:rFonts w:hint="eastAsia" w:ascii="Times New Roman" w:hAnsi="Times New Roman" w:eastAsia="仿宋_GB2312"/>
          <w:sz w:val="32"/>
          <w:szCs w:val="32"/>
          <w:lang w:eastAsia="zh-CN"/>
        </w:rPr>
        <w:t>物价管理</w:t>
      </w:r>
      <w:r>
        <w:rPr>
          <w:rFonts w:hint="eastAsia" w:ascii="Times New Roman" w:hAnsi="Times New Roman" w:eastAsia="仿宋_GB2312"/>
          <w:sz w:val="32"/>
          <w:szCs w:val="32"/>
        </w:rPr>
        <w:t>（项）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对学校、</w:t>
      </w:r>
      <w:r>
        <w:rPr>
          <w:rFonts w:hint="eastAsia" w:ascii="Times New Roman" w:hAnsi="Times New Roman" w:eastAsia="仿宋_GB2312"/>
          <w:sz w:val="32"/>
          <w:szCs w:val="32"/>
          <w:lang w:val="en-US" w:eastAsia="zh-CN"/>
        </w:rPr>
        <w:t>养老院</w:t>
      </w:r>
      <w:r>
        <w:rPr>
          <w:rFonts w:hint="eastAsia" w:ascii="Times New Roman" w:hAnsi="Times New Roman" w:eastAsia="仿宋_GB2312"/>
          <w:sz w:val="32"/>
          <w:szCs w:val="32"/>
        </w:rPr>
        <w:t>等</w:t>
      </w:r>
      <w:r>
        <w:rPr>
          <w:rFonts w:hint="eastAsia" w:ascii="Times New Roman" w:hAnsi="Times New Roman" w:eastAsia="仿宋_GB2312"/>
          <w:sz w:val="32"/>
          <w:szCs w:val="32"/>
          <w:lang w:eastAsia="zh-CN"/>
        </w:rPr>
        <w:t>价格成本监审</w:t>
      </w:r>
      <w:r>
        <w:rPr>
          <w:rFonts w:hint="eastAsia" w:ascii="Times New Roman" w:hAnsi="Times New Roman" w:eastAsia="仿宋_GB2312"/>
          <w:sz w:val="32"/>
          <w:szCs w:val="32"/>
        </w:rPr>
        <w:t>的预算</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一般公共服务（类）发展与改革事务（款）</w:t>
      </w:r>
      <w:r>
        <w:rPr>
          <w:rFonts w:hint="eastAsia" w:ascii="Times New Roman" w:hAnsi="Times New Roman" w:eastAsia="仿宋_GB2312"/>
          <w:sz w:val="32"/>
          <w:szCs w:val="32"/>
          <w:lang w:eastAsia="zh-CN"/>
        </w:rPr>
        <w:t>其他发展与改革事务</w:t>
      </w:r>
      <w:r>
        <w:rPr>
          <w:rFonts w:hint="eastAsia" w:ascii="Times New Roman" w:hAnsi="Times New Roman" w:eastAsia="仿宋_GB2312"/>
          <w:sz w:val="32"/>
          <w:szCs w:val="32"/>
        </w:rPr>
        <w:t>（项）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 xml:space="preserve">2 </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175</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63</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lang w:eastAsia="zh-CN"/>
        </w:rPr>
        <w:t>主要是项目策划、评审等方面预算增加</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lang w:eastAsia="zh-CN"/>
        </w:rPr>
      </w:pPr>
      <w:r>
        <w:rPr>
          <w:rFonts w:hint="eastAsia" w:ascii="仿宋_GB2312" w:hAnsi="黑体" w:eastAsia="仿宋_GB2312"/>
          <w:sz w:val="32"/>
          <w:szCs w:val="32"/>
          <w:lang w:val="en-US" w:eastAsia="zh-CN"/>
        </w:rPr>
        <w:t>5</w:t>
      </w:r>
      <w:r>
        <w:rPr>
          <w:rFonts w:ascii="仿宋_GB2312" w:hAnsi="黑体" w:eastAsia="仿宋_GB2312"/>
          <w:sz w:val="32"/>
          <w:szCs w:val="32"/>
        </w:rPr>
        <w:t>.</w:t>
      </w:r>
      <w:r>
        <w:rPr>
          <w:rFonts w:hint="eastAsia" w:ascii="Times New Roman" w:hAnsi="Times New Roman" w:eastAsia="仿宋_GB2312"/>
          <w:sz w:val="32"/>
          <w:szCs w:val="32"/>
        </w:rPr>
        <w:t>科学技术（类）科学技术管理事务（款）其他科学技术管理事务（项）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与</w:t>
      </w:r>
      <w:r>
        <w:rPr>
          <w:rFonts w:hint="eastAsia" w:ascii="Times New Roman" w:hAnsi="Times New Roman" w:eastAsia="仿宋_GB2312"/>
          <w:sz w:val="32"/>
          <w:szCs w:val="32"/>
        </w:rPr>
        <w:t>上年</w:t>
      </w:r>
      <w:r>
        <w:rPr>
          <w:rFonts w:hint="eastAsia" w:ascii="Times New Roman" w:hAnsi="Times New Roman" w:eastAsia="仿宋_GB2312"/>
          <w:sz w:val="32"/>
          <w:szCs w:val="32"/>
          <w:lang w:eastAsia="zh-CN"/>
        </w:rPr>
        <w:t>预算持平。</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6</w:t>
      </w:r>
      <w:r>
        <w:rPr>
          <w:rFonts w:ascii="仿宋_GB2312" w:hAnsi="黑体" w:eastAsia="仿宋_GB2312"/>
          <w:sz w:val="32"/>
          <w:szCs w:val="32"/>
        </w:rPr>
        <w:t>.</w:t>
      </w:r>
      <w:r>
        <w:rPr>
          <w:rFonts w:hint="eastAsia" w:ascii="Times New Roman" w:hAnsi="Times New Roman" w:eastAsia="仿宋_GB2312"/>
          <w:sz w:val="32"/>
          <w:szCs w:val="32"/>
        </w:rPr>
        <w:t>社会保障和就业（类）行政事业单位养老（款）机关事业单位基本养老保险缴费（项）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19.54</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4.29</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每年社保指标调整，预算增加。</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7</w:t>
      </w:r>
      <w:r>
        <w:rPr>
          <w:rFonts w:ascii="仿宋_GB2312" w:hAnsi="黑体" w:eastAsia="仿宋_GB2312"/>
          <w:sz w:val="32"/>
          <w:szCs w:val="32"/>
        </w:rPr>
        <w:t>.</w:t>
      </w:r>
      <w:r>
        <w:rPr>
          <w:rFonts w:hint="eastAsia" w:ascii="Times New Roman" w:hAnsi="Times New Roman" w:eastAsia="仿宋_GB2312"/>
          <w:sz w:val="32"/>
          <w:szCs w:val="32"/>
        </w:rPr>
        <w:t>卫生健康（类）行政事业单位医疗（款）行政单位医疗（项）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10.38</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数增加</w:t>
      </w:r>
      <w:r>
        <w:rPr>
          <w:rFonts w:hint="eastAsia" w:ascii="Times New Roman" w:hAnsi="Times New Roman" w:eastAsia="仿宋_GB2312"/>
          <w:sz w:val="32"/>
          <w:szCs w:val="32"/>
          <w:lang w:val="en-US" w:eastAsia="zh-CN"/>
        </w:rPr>
        <w:t>1.92</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w:t>
      </w:r>
      <w:r>
        <w:rPr>
          <w:rFonts w:hint="eastAsia" w:ascii="Times New Roman" w:hAnsi="Times New Roman" w:eastAsia="仿宋_GB2312"/>
          <w:sz w:val="32"/>
          <w:szCs w:val="32"/>
          <w:lang w:eastAsia="zh-CN"/>
        </w:rPr>
        <w:t>医疗</w:t>
      </w:r>
      <w:r>
        <w:rPr>
          <w:rFonts w:hint="eastAsia" w:ascii="Times New Roman" w:hAnsi="Times New Roman" w:eastAsia="仿宋_GB2312"/>
          <w:sz w:val="32"/>
          <w:szCs w:val="32"/>
        </w:rPr>
        <w:t>指标调整，预算增加。</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8</w:t>
      </w:r>
      <w:r>
        <w:rPr>
          <w:rFonts w:ascii="仿宋_GB2312" w:hAnsi="黑体" w:eastAsia="仿宋_GB2312"/>
          <w:sz w:val="32"/>
          <w:szCs w:val="32"/>
        </w:rPr>
        <w:t>.</w:t>
      </w:r>
      <w:r>
        <w:rPr>
          <w:rFonts w:hint="eastAsia" w:ascii="Times New Roman" w:hAnsi="Times New Roman" w:eastAsia="仿宋_GB2312"/>
          <w:sz w:val="32"/>
          <w:szCs w:val="32"/>
        </w:rPr>
        <w:t>卫生健康（类）行政事业单位医疗（款）公务员医疗补助（项）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11.25</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每年公务员医疗补助指标调整，预算增加。</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9</w:t>
      </w:r>
      <w:r>
        <w:rPr>
          <w:rFonts w:ascii="仿宋_GB2312" w:hAnsi="黑体" w:eastAsia="仿宋_GB2312"/>
          <w:sz w:val="32"/>
          <w:szCs w:val="32"/>
        </w:rPr>
        <w:t>.</w:t>
      </w:r>
      <w:r>
        <w:rPr>
          <w:rFonts w:hint="eastAsia" w:ascii="Times New Roman" w:hAnsi="Times New Roman" w:eastAsia="仿宋_GB2312"/>
          <w:sz w:val="32"/>
          <w:szCs w:val="32"/>
        </w:rPr>
        <w:t>住房保障（类）住房</w:t>
      </w:r>
      <w:r>
        <w:rPr>
          <w:rFonts w:hint="eastAsia" w:ascii="Times New Roman" w:hAnsi="Times New Roman" w:eastAsia="仿宋_GB2312"/>
          <w:sz w:val="32"/>
          <w:szCs w:val="32"/>
          <w:lang w:eastAsia="zh-CN"/>
        </w:rPr>
        <w:t>改革</w:t>
      </w:r>
      <w:r>
        <w:rPr>
          <w:rFonts w:hint="eastAsia" w:ascii="Times New Roman" w:hAnsi="Times New Roman" w:eastAsia="仿宋_GB2312"/>
          <w:sz w:val="32"/>
          <w:szCs w:val="32"/>
        </w:rPr>
        <w:t>（款）住房公积金（项）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10.11</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3.25</w:t>
      </w:r>
      <w:r>
        <w:rPr>
          <w:rFonts w:hint="eastAsia" w:ascii="Times New Roman" w:hAnsi="Times New Roman" w:eastAsia="仿宋_GB2312"/>
          <w:sz w:val="32"/>
          <w:szCs w:val="32"/>
        </w:rPr>
        <w:t>万元，主要是</w:t>
      </w:r>
      <w:r>
        <w:rPr>
          <w:rFonts w:hint="eastAsia" w:ascii="仿宋_GB2312" w:hAnsi="黑体" w:eastAsia="仿宋_GB2312"/>
          <w:sz w:val="32"/>
          <w:szCs w:val="32"/>
          <w:lang w:eastAsia="zh-CN"/>
        </w:rPr>
        <w:t>按实际公积金缴纳基数测算</w:t>
      </w:r>
      <w:r>
        <w:rPr>
          <w:rFonts w:hint="eastAsia" w:ascii="仿宋_GB2312" w:hAnsi="黑体" w:eastAsia="仿宋_GB2312"/>
          <w:sz w:val="32"/>
          <w:szCs w:val="32"/>
          <w:lang w:val="en-US" w:eastAsia="zh-CN"/>
        </w:rPr>
        <w:t>缴纳公积金</w:t>
      </w:r>
      <w:r>
        <w:rPr>
          <w:rFonts w:hint="eastAsia" w:ascii="Times New Roman" w:hAnsi="Times New Roman" w:eastAsia="仿宋_GB2312"/>
          <w:sz w:val="32"/>
          <w:szCs w:val="32"/>
        </w:rPr>
        <w:t>。</w:t>
      </w:r>
    </w:p>
    <w:p>
      <w:pPr>
        <w:ind w:firstLine="640"/>
        <w:rPr>
          <w:rFonts w:hint="eastAsia"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关于三亚市吉阳区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cs="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214.37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163.77</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val="en-US" w:eastAsia="zh-CN"/>
        </w:rPr>
        <w:t>绩效工资、</w:t>
      </w:r>
      <w:r>
        <w:rPr>
          <w:rFonts w:hint="eastAsia" w:ascii="仿宋_GB2312" w:hAnsi="黑体" w:eastAsia="仿宋_GB2312"/>
          <w:sz w:val="32"/>
          <w:szCs w:val="32"/>
        </w:rPr>
        <w:t>机关事业单位基本养老保险缴费、职工基本医疗保险缴费、公务员医疗补助缴费、</w:t>
      </w:r>
      <w:r>
        <w:rPr>
          <w:rFonts w:hint="eastAsia" w:ascii="仿宋_GB2312" w:hAnsi="黑体" w:eastAsia="仿宋_GB2312"/>
          <w:sz w:val="32"/>
          <w:szCs w:val="32"/>
          <w:lang w:eastAsia="zh-CN"/>
        </w:rPr>
        <w:t>其他社会保障缴费、</w:t>
      </w:r>
      <w:r>
        <w:rPr>
          <w:rFonts w:hint="eastAsia" w:ascii="仿宋_GB2312" w:hAnsi="黑体" w:eastAsia="仿宋_GB2312"/>
          <w:sz w:val="32"/>
          <w:szCs w:val="32"/>
        </w:rPr>
        <w:t>住房公积金</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邮电费、其他交通用费</w:t>
      </w:r>
      <w:r>
        <w:rPr>
          <w:rFonts w:hint="eastAsia" w:ascii="仿宋_GB2312" w:hAnsi="黑体" w:eastAsia="仿宋_GB2312"/>
          <w:sz w:val="32"/>
          <w:szCs w:val="32"/>
          <w:lang w:eastAsia="zh-CN"/>
        </w:rPr>
        <w:t>；</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50.60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主要包括：</w:t>
      </w:r>
      <w:r>
        <w:rPr>
          <w:rFonts w:hint="eastAsia" w:ascii="仿宋_GB2312" w:hAnsi="黑体" w:eastAsia="仿宋_GB2312"/>
          <w:sz w:val="32"/>
          <w:szCs w:val="32"/>
        </w:rPr>
        <w:t>办公费、培训费、工会经费、福利费、公务用车运行维护费</w:t>
      </w:r>
      <w:r>
        <w:rPr>
          <w:rFonts w:hint="eastAsia" w:ascii="仿宋_GB2312" w:hAnsi="黑体" w:eastAsia="仿宋_GB2312"/>
          <w:sz w:val="32"/>
          <w:szCs w:val="32"/>
          <w:lang w:eastAsia="zh-CN"/>
        </w:rPr>
        <w:t>、公务用车购置费</w:t>
      </w:r>
      <w:r>
        <w:rPr>
          <w:rFonts w:hint="eastAsia" w:ascii="仿宋_GB2312" w:hAnsi="黑体" w:eastAsia="仿宋_GB2312"/>
          <w:sz w:val="32"/>
          <w:szCs w:val="32"/>
        </w:rPr>
        <w:t>。</w:t>
      </w:r>
    </w:p>
    <w:p>
      <w:pPr>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rPr>
        <w:t>2022</w:t>
      </w:r>
      <w:r>
        <w:rPr>
          <w:rFonts w:hint="eastAsia" w:ascii="黑体" w:hAnsi="黑体" w:eastAsia="黑体" w:cs="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2022年一般公共预算“三公”经费预算数为</w:t>
      </w:r>
      <w:r>
        <w:rPr>
          <w:rFonts w:hint="eastAsia" w:ascii="仿宋_GB2312" w:hAnsi="黑体" w:eastAsia="仿宋_GB2312" w:cs="仿宋_GB2312"/>
          <w:sz w:val="32"/>
          <w:szCs w:val="32"/>
          <w:lang w:val="en-US" w:eastAsia="zh-CN"/>
        </w:rPr>
        <w:t>43.51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highlight w:val="none"/>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43.51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42.71</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0.80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增长了约</w:t>
      </w:r>
      <w:r>
        <w:rPr>
          <w:rFonts w:hint="eastAsia" w:ascii="Times New Roman" w:hAnsi="Times New Roman" w:eastAsia="仿宋_GB2312" w:cs="Times New Roman"/>
          <w:sz w:val="32"/>
          <w:shd w:val="clear" w:color="auto" w:fill="FFFFFF"/>
          <w:lang w:val="en-US" w:eastAsia="zh-CN"/>
        </w:rPr>
        <w:t>22倍</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增长</w:t>
      </w:r>
      <w:r>
        <w:rPr>
          <w:rFonts w:ascii="Times New Roman" w:hAnsi="Times New Roman" w:eastAsia="仿宋_GB2312" w:cs="Times New Roman"/>
          <w:sz w:val="32"/>
        </w:rPr>
        <w:t>的</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eastAsia="zh-CN"/>
        </w:rPr>
        <w:t>是</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highlight w:val="none"/>
          <w:shd w:val="clear" w:color="auto" w:fill="FFFFFF"/>
          <w:lang w:val="en-US" w:eastAsia="zh-CN"/>
        </w:rPr>
        <w:t>我委作为吉阳区公车主管部门，负责全区公车购置工作，2022年全区预计购置3辆公车，预算增加。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cs="Times New Roman"/>
          <w:sz w:val="32"/>
          <w:shd w:val="clear" w:color="auto" w:fill="FFFFFF"/>
        </w:rPr>
      </w:pPr>
      <w:r>
        <w:rPr>
          <w:rFonts w:hint="eastAsia" w:ascii="仿宋_GB2312" w:hAnsi="黑体" w:eastAsia="仿宋_GB2312"/>
          <w:sz w:val="32"/>
          <w:szCs w:val="32"/>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科学技术支出、社会保障和就业支出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rPr>
        <w:t>2022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万元，其中：一般公共预算拨款收入</w:t>
      </w:r>
      <w:r>
        <w:rPr>
          <w:rFonts w:hint="eastAsia" w:ascii="仿宋_GB2312" w:hAnsi="黑体" w:eastAsia="仿宋_GB2312"/>
          <w:sz w:val="32"/>
          <w:szCs w:val="32"/>
          <w:lang w:val="en-US" w:eastAsia="zh-CN"/>
        </w:rPr>
        <w:t>598.37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highlight w:val="none"/>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2022</w:t>
      </w:r>
      <w:r>
        <w:rPr>
          <w:rFonts w:hint="eastAsia" w:ascii="仿宋_GB2312" w:hAnsi="黑体" w:eastAsia="仿宋_GB2312"/>
          <w:sz w:val="32"/>
          <w:szCs w:val="32"/>
          <w:highlight w:val="none"/>
        </w:rPr>
        <w:t>年支出预算</w:t>
      </w:r>
      <w:r>
        <w:rPr>
          <w:rFonts w:hint="eastAsia" w:ascii="仿宋_GB2312" w:hAnsi="黑体" w:eastAsia="仿宋_GB2312" w:cs="仿宋_GB2312"/>
          <w:sz w:val="32"/>
          <w:szCs w:val="32"/>
          <w:highlight w:val="none"/>
          <w:lang w:val="en-US" w:eastAsia="zh-CN"/>
        </w:rPr>
        <w:t>598.37</w:t>
      </w:r>
      <w:r>
        <w:rPr>
          <w:rFonts w:hint="eastAsia" w:ascii="仿宋_GB2312" w:hAnsi="黑体" w:eastAsia="仿宋_GB2312"/>
          <w:sz w:val="32"/>
          <w:szCs w:val="32"/>
          <w:highlight w:val="none"/>
        </w:rPr>
        <w:t>万元，其中：基本支出</w:t>
      </w:r>
      <w:r>
        <w:rPr>
          <w:rFonts w:hint="eastAsia" w:ascii="仿宋_GB2312" w:hAnsi="黑体" w:eastAsia="仿宋_GB2312" w:cs="仿宋_GB2312"/>
          <w:sz w:val="32"/>
          <w:szCs w:val="32"/>
          <w:highlight w:val="none"/>
          <w:lang w:val="en-US" w:eastAsia="zh-CN"/>
        </w:rPr>
        <w:t>214.37</w:t>
      </w:r>
      <w:r>
        <w:rPr>
          <w:rFonts w:hint="eastAsia" w:ascii="仿宋_GB2312" w:hAnsi="黑体" w:eastAsia="仿宋_GB2312"/>
          <w:sz w:val="32"/>
          <w:szCs w:val="32"/>
          <w:highlight w:val="none"/>
        </w:rPr>
        <w:t>元，占</w:t>
      </w:r>
      <w:r>
        <w:rPr>
          <w:rFonts w:hint="eastAsia" w:ascii="仿宋_GB2312" w:hAnsi="黑体" w:eastAsia="仿宋_GB2312" w:cs="仿宋_GB2312"/>
          <w:sz w:val="32"/>
          <w:szCs w:val="32"/>
          <w:highlight w:val="none"/>
          <w:lang w:val="en-US" w:eastAsia="zh-CN"/>
        </w:rPr>
        <w:t>35.83</w:t>
      </w:r>
      <w:r>
        <w:rPr>
          <w:rFonts w:hint="eastAsia" w:ascii="仿宋_GB2312" w:hAnsi="黑体" w:eastAsia="仿宋_GB2312"/>
          <w:sz w:val="32"/>
          <w:szCs w:val="32"/>
          <w:highlight w:val="none"/>
        </w:rPr>
        <w:t>%；项目支出</w:t>
      </w:r>
      <w:r>
        <w:rPr>
          <w:rFonts w:hint="eastAsia" w:ascii="仿宋_GB2312" w:hAnsi="黑体" w:eastAsia="仿宋_GB2312" w:cs="仿宋_GB2312"/>
          <w:sz w:val="32"/>
          <w:szCs w:val="32"/>
          <w:highlight w:val="none"/>
          <w:lang w:val="en-US" w:eastAsia="zh-CN"/>
        </w:rPr>
        <w:t>384.00</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64.17</w:t>
      </w:r>
      <w:r>
        <w:rPr>
          <w:rFonts w:hint="eastAsia" w:ascii="仿宋_GB2312" w:hAnsi="黑体" w:eastAsia="仿宋_GB2312"/>
          <w:sz w:val="32"/>
          <w:szCs w:val="32"/>
          <w:highlight w:val="none"/>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rPr>
        <w:t>部门本级的机关运行经费预算</w:t>
      </w:r>
      <w:r>
        <w:rPr>
          <w:rFonts w:hint="eastAsia" w:ascii="仿宋_GB2312" w:hAnsi="黑体" w:eastAsia="仿宋_GB2312" w:cs="仿宋_GB2312"/>
          <w:sz w:val="32"/>
          <w:szCs w:val="32"/>
          <w:lang w:val="en-US" w:eastAsia="zh-CN"/>
        </w:rPr>
        <w:t>50.60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2022</w:t>
      </w:r>
      <w:r>
        <w:rPr>
          <w:rFonts w:hint="eastAsia" w:ascii="仿宋_GB2312" w:hAnsi="黑体" w:eastAsia="仿宋_GB2312"/>
          <w:sz w:val="32"/>
          <w:szCs w:val="32"/>
          <w:highlight w:val="none"/>
        </w:rPr>
        <w:t>年</w:t>
      </w: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政府采购预算总额</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万元，其中：政府采购货物预算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万元，政府采购工程预算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万元，政府采购服务预算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截至</w:t>
      </w:r>
      <w:r>
        <w:rPr>
          <w:rFonts w:hint="eastAsia" w:ascii="仿宋_GB2312" w:hAnsi="黑体" w:eastAsia="仿宋_GB2312" w:cs="仿宋_GB2312"/>
          <w:sz w:val="32"/>
          <w:szCs w:val="32"/>
          <w:highlight w:val="none"/>
          <w:lang w:val="en-US" w:eastAsia="zh-CN"/>
        </w:rPr>
        <w:t>2021</w:t>
      </w:r>
      <w:r>
        <w:rPr>
          <w:rFonts w:hint="eastAsia" w:ascii="仿宋_GB2312" w:hAnsi="黑体" w:eastAsia="仿宋_GB2312"/>
          <w:sz w:val="32"/>
          <w:szCs w:val="32"/>
          <w:highlight w:val="none"/>
        </w:rPr>
        <w:t>年12月31日，</w:t>
      </w: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本级及下属各预算单位共有车辆</w:t>
      </w: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辆，其中，领导干部用车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辆，机要通信应急用车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辆、一般执法执勤用车</w:t>
      </w: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辆、特种专业技术用车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辆、其他用车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辆。单位价值100万元以上设备</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lang w:val="en-US" w:eastAsia="zh-CN"/>
        </w:rPr>
        <w:t>18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ˎ̥">
    <w:altName w:val="Times New Roman"/>
    <w:panose1 w:val="00000000000000000000"/>
    <w:charset w:val="00"/>
    <w:family w:val="swiss"/>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44404338">
    <w:nsid w:val="62039E72"/>
    <w:multiLevelType w:val="singleLevel"/>
    <w:tmpl w:val="62039E72"/>
    <w:lvl w:ilvl="0" w:tentative="1">
      <w:start w:val="1"/>
      <w:numFmt w:val="decimal"/>
      <w:suff w:val="nothing"/>
      <w:lvlText w:val="%1."/>
      <w:lvlJc w:val="left"/>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16444043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91251"/>
    <w:rsid w:val="0C3E3026"/>
    <w:rsid w:val="0F446BD1"/>
    <w:rsid w:val="13DA35A6"/>
    <w:rsid w:val="17BA4C94"/>
    <w:rsid w:val="208E31FA"/>
    <w:rsid w:val="2D4F729C"/>
    <w:rsid w:val="30411C09"/>
    <w:rsid w:val="33F43AD7"/>
    <w:rsid w:val="3DE44D8D"/>
    <w:rsid w:val="41606F7D"/>
    <w:rsid w:val="48B42B68"/>
    <w:rsid w:val="4AB6191C"/>
    <w:rsid w:val="4B086C09"/>
    <w:rsid w:val="4CE63189"/>
    <w:rsid w:val="4D6E13EE"/>
    <w:rsid w:val="58530556"/>
    <w:rsid w:val="614012C7"/>
    <w:rsid w:val="672120DB"/>
    <w:rsid w:val="67DA5898"/>
    <w:rsid w:val="6A12132C"/>
    <w:rsid w:val="706308D2"/>
    <w:rsid w:val="7896304A"/>
    <w:rsid w:val="7DEBCAFF"/>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2022-02-11T11:41:01Z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