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Verdana" w:hAnsi="Verdana" w:eastAsia="华文细黑" w:cs="Calibri"/>
          <w:b/>
          <w:color w:val="000000"/>
          <w:sz w:val="32"/>
        </w:rPr>
      </w:pPr>
      <w:r>
        <w:rPr>
          <w:rFonts w:ascii="Verdana" w:hAnsi="Verdana" w:eastAsia="华文细黑" w:cs="Calibri"/>
          <w:color w:val="FFFFFF"/>
        </w:rPr>
        <w:drawing>
          <wp:inline distT="0" distB="0" distL="0" distR="0">
            <wp:extent cx="1876425" cy="341630"/>
            <wp:effectExtent l="0" t="0" r="952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876425" cy="341630"/>
                    </a:xfrm>
                    <a:prstGeom prst="rect">
                      <a:avLst/>
                    </a:prstGeom>
                    <a:noFill/>
                    <a:ln>
                      <a:noFill/>
                    </a:ln>
                  </pic:spPr>
                </pic:pic>
              </a:graphicData>
            </a:graphic>
          </wp:inline>
        </w:drawing>
      </w:r>
      <w:r>
        <w:rPr>
          <w:rFonts w:ascii="Verdana" w:hAnsi="Verdana" w:eastAsia="华文细黑" w:cs="Calibri"/>
          <w:color w:val="FFFFFF"/>
        </w:rPr>
        <w:t xml:space="preserve">           </w:t>
      </w:r>
      <w:r>
        <w:rPr>
          <w:rFonts w:hint="eastAsia" w:ascii="Verdana" w:hAnsi="Verdana" w:eastAsia="华文细黑" w:cs="Calibri"/>
          <w:color w:val="FFFFFF"/>
          <w:lang w:val="en-US" w:eastAsia="zh-CN"/>
        </w:rPr>
        <w:t xml:space="preserve">                         </w:t>
      </w:r>
      <w:r>
        <w:rPr>
          <w:rFonts w:ascii="Verdana" w:hAnsi="Verdana" w:eastAsia="华文细黑" w:cs="Calibri"/>
          <w:color w:val="FFFFFF"/>
        </w:rPr>
        <w:t xml:space="preserve">  </w:t>
      </w:r>
      <w:r>
        <w:rPr>
          <w:rFonts w:ascii="Verdana" w:hAnsi="Verdana" w:eastAsia="华文细黑" w:cs="Calibri"/>
          <w:color w:val="FFFFFF"/>
        </w:rPr>
        <w:drawing>
          <wp:inline distT="0" distB="0" distL="0" distR="0">
            <wp:extent cx="683895" cy="334010"/>
            <wp:effectExtent l="0" t="0" r="1905" b="889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683895" cy="334010"/>
                    </a:xfrm>
                    <a:prstGeom prst="rect">
                      <a:avLst/>
                    </a:prstGeom>
                    <a:noFill/>
                    <a:ln>
                      <a:noFill/>
                    </a:ln>
                  </pic:spPr>
                </pic:pic>
              </a:graphicData>
            </a:graphic>
          </wp:inline>
        </w:drawing>
      </w:r>
      <w:r>
        <w:rPr>
          <w:rFonts w:ascii="Verdana" w:hAnsi="Verdana" w:eastAsia="华文细黑" w:cs="Calibri"/>
          <w:color w:val="FFFFFF"/>
        </w:rPr>
        <w:t xml:space="preserve">                                  </w:t>
      </w:r>
    </w:p>
    <w:p>
      <w:pPr>
        <w:jc w:val="center"/>
        <w:rPr>
          <w:rFonts w:ascii="Verdana" w:hAnsi="Verdana" w:eastAsia="华文细黑" w:cs="Calibri"/>
          <w:b/>
          <w:color w:val="000000"/>
          <w:sz w:val="32"/>
        </w:rPr>
      </w:pPr>
    </w:p>
    <w:p>
      <w:pPr>
        <w:jc w:val="center"/>
        <w:rPr>
          <w:rFonts w:ascii="Verdana" w:hAnsi="Verdana" w:eastAsia="华文细黑" w:cs="Calibri"/>
          <w:b/>
          <w:sz w:val="40"/>
        </w:rPr>
      </w:pPr>
    </w:p>
    <w:p>
      <w:pPr>
        <w:jc w:val="center"/>
        <w:rPr>
          <w:rFonts w:hint="eastAsia" w:ascii="Verdana" w:hAnsi="Verdana" w:eastAsia="华文细黑" w:cs="Calibri"/>
          <w:b/>
          <w:sz w:val="40"/>
          <w:lang w:val="en-US" w:eastAsia="zh-CN"/>
        </w:rPr>
      </w:pPr>
    </w:p>
    <w:p>
      <w:pPr>
        <w:jc w:val="both"/>
        <w:rPr>
          <w:rFonts w:hint="eastAsia" w:ascii="Verdana" w:hAnsi="Verdana" w:eastAsia="华文细黑" w:cs="Calibri"/>
          <w:b/>
          <w:sz w:val="40"/>
          <w:lang w:val="en-US" w:eastAsia="zh-CN"/>
        </w:rPr>
      </w:pPr>
    </w:p>
    <w:p>
      <w:pPr>
        <w:jc w:val="center"/>
        <w:rPr>
          <w:rFonts w:ascii="Verdana" w:hAnsi="Verdana" w:eastAsia="华文细黑" w:cs="Calibri"/>
          <w:b/>
          <w:sz w:val="40"/>
        </w:rPr>
      </w:pPr>
    </w:p>
    <w:p>
      <w:pPr>
        <w:jc w:val="both"/>
        <w:rPr>
          <w:rFonts w:ascii="Verdana" w:hAnsi="Verdana" w:eastAsia="华文细黑" w:cs="Calibri"/>
          <w:b/>
          <w:sz w:val="40"/>
        </w:rPr>
      </w:pPr>
    </w:p>
    <w:p>
      <w:pPr>
        <w:jc w:val="center"/>
        <w:rPr>
          <w:rFonts w:ascii="Verdana" w:hAnsi="Verdana" w:eastAsia="华文细黑" w:cs="Calibri"/>
          <w:b/>
          <w:sz w:val="32"/>
        </w:rPr>
      </w:pPr>
      <w:bookmarkStart w:id="0" w:name="_Hlk150161589"/>
      <w:bookmarkStart w:id="1" w:name="_Hlk150161664"/>
      <w:r>
        <w:rPr>
          <w:rFonts w:ascii="Verdana" w:hAnsi="Verdana" w:eastAsia="华文细黑" w:cs="Calibri"/>
          <w:b/>
          <w:sz w:val="40"/>
        </w:rPr>
        <w:t>2023年三亚市专项债券资金调剂项目</w:t>
      </w:r>
      <w:bookmarkEnd w:id="0"/>
      <w:bookmarkEnd w:id="1"/>
    </w:p>
    <w:p>
      <w:pPr>
        <w:jc w:val="center"/>
        <w:rPr>
          <w:rFonts w:ascii="Verdana" w:hAnsi="Verdana" w:eastAsia="华文细黑" w:cs="Calibri"/>
          <w:b/>
          <w:sz w:val="40"/>
          <w:szCs w:val="40"/>
        </w:rPr>
      </w:pPr>
      <w:r>
        <w:rPr>
          <w:rFonts w:ascii="Verdana" w:hAnsi="Verdana" w:eastAsia="华文细黑" w:cs="Calibri"/>
          <w:b/>
          <w:sz w:val="40"/>
          <w:szCs w:val="40"/>
        </w:rPr>
        <w:t>财务评价咨询报告</w:t>
      </w:r>
    </w:p>
    <w:p>
      <w:pPr>
        <w:jc w:val="center"/>
        <w:rPr>
          <w:rFonts w:ascii="Verdana" w:hAnsi="Verdana" w:eastAsia="华文细黑" w:cs="Calibri"/>
          <w:sz w:val="36"/>
        </w:rPr>
      </w:pPr>
    </w:p>
    <w:p>
      <w:pPr>
        <w:jc w:val="center"/>
        <w:rPr>
          <w:rFonts w:ascii="Verdana" w:hAnsi="Verdana" w:eastAsia="华文细黑" w:cs="Calibri"/>
          <w:sz w:val="36"/>
        </w:rPr>
      </w:pPr>
    </w:p>
    <w:p>
      <w:pPr>
        <w:jc w:val="both"/>
        <w:rPr>
          <w:rFonts w:ascii="Verdana" w:hAnsi="Verdana" w:eastAsia="华文细黑" w:cs="Calibri"/>
          <w:sz w:val="36"/>
        </w:rPr>
      </w:pPr>
    </w:p>
    <w:p>
      <w:pPr>
        <w:jc w:val="center"/>
        <w:rPr>
          <w:rFonts w:ascii="Verdana" w:hAnsi="Verdana" w:eastAsia="华文细黑" w:cs="Calibri"/>
          <w:sz w:val="36"/>
        </w:rPr>
      </w:pPr>
    </w:p>
    <w:p>
      <w:pPr>
        <w:jc w:val="center"/>
        <w:rPr>
          <w:rFonts w:ascii="Verdana" w:hAnsi="Verdana" w:eastAsia="华文细黑" w:cs="Calibri"/>
          <w:sz w:val="36"/>
        </w:rPr>
      </w:pPr>
    </w:p>
    <w:p>
      <w:pPr>
        <w:jc w:val="center"/>
        <w:rPr>
          <w:rFonts w:ascii="Verdana" w:hAnsi="Verdana" w:eastAsia="华文细黑" w:cs="Calibri"/>
          <w:sz w:val="36"/>
        </w:rPr>
      </w:pPr>
    </w:p>
    <w:p>
      <w:pPr>
        <w:jc w:val="center"/>
        <w:rPr>
          <w:rFonts w:ascii="Verdana" w:hAnsi="Verdana" w:eastAsia="华文细黑" w:cs="Calibri"/>
          <w:sz w:val="36"/>
        </w:rPr>
      </w:pPr>
    </w:p>
    <w:p>
      <w:pPr>
        <w:jc w:val="center"/>
        <w:rPr>
          <w:rFonts w:ascii="Verdana" w:hAnsi="Verdana" w:eastAsia="华文细黑" w:cs="Calibri"/>
          <w:sz w:val="36"/>
        </w:rPr>
      </w:pPr>
    </w:p>
    <w:p>
      <w:pPr>
        <w:jc w:val="center"/>
        <w:rPr>
          <w:rFonts w:ascii="Verdana" w:hAnsi="Verdana" w:eastAsia="华文细黑" w:cs="Calibri"/>
          <w:sz w:val="36"/>
        </w:rPr>
      </w:pPr>
    </w:p>
    <w:p>
      <w:pPr>
        <w:jc w:val="center"/>
        <w:rPr>
          <w:rFonts w:ascii="Verdana" w:hAnsi="Verdana" w:eastAsia="华文细黑" w:cs="Calibri"/>
          <w:sz w:val="36"/>
        </w:rPr>
      </w:pPr>
    </w:p>
    <w:p>
      <w:pPr>
        <w:jc w:val="center"/>
        <w:rPr>
          <w:rFonts w:ascii="Verdana" w:hAnsi="Verdana" w:eastAsia="华文细黑" w:cs="Calibri"/>
          <w:sz w:val="36"/>
        </w:rPr>
      </w:pPr>
    </w:p>
    <w:p>
      <w:pPr>
        <w:jc w:val="both"/>
        <w:rPr>
          <w:rFonts w:ascii="Verdana" w:hAnsi="Verdana" w:eastAsia="华文细黑" w:cs="Calibri"/>
          <w:sz w:val="36"/>
        </w:rPr>
      </w:pPr>
    </w:p>
    <w:p>
      <w:pPr>
        <w:jc w:val="center"/>
        <w:rPr>
          <w:rFonts w:ascii="Verdana" w:hAnsi="Verdana" w:eastAsia="华文细黑" w:cs="Calibri"/>
          <w:sz w:val="36"/>
        </w:rPr>
      </w:pPr>
    </w:p>
    <w:p>
      <w:pPr>
        <w:rPr>
          <w:rFonts w:ascii="Verdana" w:hAnsi="Verdana" w:eastAsia="华文细黑" w:cs="Calibri"/>
          <w:sz w:val="36"/>
        </w:rPr>
      </w:pPr>
    </w:p>
    <w:p>
      <w:pPr>
        <w:jc w:val="center"/>
        <w:rPr>
          <w:rFonts w:ascii="Verdana" w:hAnsi="Verdana" w:eastAsia="华文细黑" w:cs="Calibri"/>
          <w:b/>
          <w:sz w:val="32"/>
          <w:szCs w:val="28"/>
        </w:rPr>
      </w:pPr>
      <w:r>
        <w:rPr>
          <w:rFonts w:ascii="Verdana" w:hAnsi="Verdana" w:eastAsia="华文细黑" w:cs="Calibri"/>
          <w:b/>
          <w:sz w:val="32"/>
          <w:szCs w:val="28"/>
        </w:rPr>
        <w:t>德勤咨询（海南）有限公司</w:t>
      </w:r>
    </w:p>
    <w:p>
      <w:pPr>
        <w:jc w:val="center"/>
        <w:rPr>
          <w:rFonts w:ascii="Verdana" w:hAnsi="Verdana" w:eastAsia="华文细黑" w:cs="Calibri"/>
          <w:b/>
          <w:sz w:val="32"/>
          <w:szCs w:val="28"/>
        </w:rPr>
      </w:pPr>
    </w:p>
    <w:p>
      <w:pPr>
        <w:jc w:val="center"/>
        <w:rPr>
          <w:rFonts w:ascii="Verdana" w:hAnsi="Verdana" w:eastAsia="华文细黑" w:cs="Calibri"/>
          <w:b/>
          <w:sz w:val="32"/>
          <w:szCs w:val="28"/>
        </w:rPr>
      </w:pPr>
      <w:r>
        <w:rPr>
          <w:rFonts w:ascii="Verdana" w:hAnsi="Verdana" w:eastAsia="华文细黑" w:cs="Calibri"/>
          <w:b/>
          <w:sz w:val="32"/>
          <w:szCs w:val="28"/>
        </w:rPr>
        <w:t>2023年11月</w:t>
      </w:r>
    </w:p>
    <w:p>
      <w:pPr>
        <w:spacing w:after="160" w:line="259" w:lineRule="auto"/>
        <w:rPr>
          <w:rFonts w:ascii="Verdana" w:hAnsi="Verdana" w:eastAsia="华文细黑" w:cs="Calibri"/>
          <w:b/>
          <w:sz w:val="28"/>
          <w:szCs w:val="28"/>
        </w:rPr>
      </w:pPr>
      <w:r>
        <w:rPr>
          <w:rFonts w:ascii="Verdana" w:hAnsi="Verdana" w:eastAsia="华文细黑" w:cs="Calibri"/>
          <w:b/>
          <w:sz w:val="28"/>
          <w:szCs w:val="28"/>
        </w:rPr>
        <w:br w:type="page"/>
      </w:r>
    </w:p>
    <w:p>
      <w:pPr>
        <w:rPr>
          <w:rFonts w:ascii="Verdana" w:hAnsi="Verdana" w:eastAsia="华文细黑" w:cs="Calibri"/>
        </w:rPr>
      </w:pPr>
      <w:r>
        <w:rPr>
          <w:rFonts w:ascii="Verdana" w:hAnsi="Verdana" w:eastAsia="华文细黑" w:cs="Calibri"/>
        </w:rPr>
        <w:drawing>
          <wp:inline distT="0" distB="0" distL="0" distR="0">
            <wp:extent cx="1611630" cy="438150"/>
            <wp:effectExtent l="0" t="0" r="762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2"/>
                    <a:stretch>
                      <a:fillRect/>
                    </a:stretch>
                  </pic:blipFill>
                  <pic:spPr>
                    <a:xfrm>
                      <a:off x="0" y="0"/>
                      <a:ext cx="1703951" cy="463869"/>
                    </a:xfrm>
                    <a:prstGeom prst="rect">
                      <a:avLst/>
                    </a:prstGeom>
                  </pic:spPr>
                </pic:pic>
              </a:graphicData>
            </a:graphic>
          </wp:inline>
        </w:drawing>
      </w:r>
      <w:r>
        <w:rPr>
          <w:rFonts w:ascii="Verdana" w:hAnsi="Verdana" w:eastAsia="华文细黑" w:cs="Calibri"/>
        </w:rPr>
        <w:t xml:space="preserve">         </w:t>
      </w:r>
      <w:r>
        <w:rPr>
          <w:rFonts w:hint="eastAsia" w:ascii="Verdana" w:hAnsi="Verdana" w:eastAsia="华文细黑" w:cs="Calibri"/>
          <w:lang w:val="en-US" w:eastAsia="zh-CN"/>
        </w:rPr>
        <w:t xml:space="preserve">                               </w:t>
      </w:r>
      <w:r>
        <w:rPr>
          <w:rFonts w:ascii="Verdana" w:hAnsi="Verdana" w:eastAsia="华文细黑" w:cs="Calibri"/>
        </w:rPr>
        <w:t xml:space="preserve">  </w:t>
      </w:r>
      <w:r>
        <w:rPr>
          <w:rFonts w:ascii="Verdana" w:hAnsi="Verdana" w:eastAsia="华文细黑" w:cs="Calibri"/>
          <w:color w:val="FFFFFF"/>
        </w:rPr>
        <w:drawing>
          <wp:inline distT="0" distB="0" distL="0" distR="0">
            <wp:extent cx="661670" cy="323215"/>
            <wp:effectExtent l="0" t="0" r="5080" b="635"/>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699720" cy="341739"/>
                    </a:xfrm>
                    <a:prstGeom prst="rect">
                      <a:avLst/>
                    </a:prstGeom>
                    <a:noFill/>
                    <a:ln>
                      <a:noFill/>
                    </a:ln>
                  </pic:spPr>
                </pic:pic>
              </a:graphicData>
            </a:graphic>
          </wp:inline>
        </w:drawing>
      </w:r>
      <w:r>
        <w:rPr>
          <w:rFonts w:ascii="Verdana" w:hAnsi="Verdana" w:eastAsia="华文细黑" w:cs="Calibri"/>
        </w:rPr>
        <w:t xml:space="preserve">                                           </w:t>
      </w:r>
    </w:p>
    <w:p>
      <w:pPr>
        <w:rPr>
          <w:rFonts w:ascii="Verdana" w:hAnsi="Verdana" w:eastAsia="华文细黑" w:cs="Calibri"/>
          <w:b/>
        </w:rPr>
      </w:pPr>
    </w:p>
    <w:p>
      <w:pPr>
        <w:jc w:val="both"/>
        <w:rPr>
          <w:rFonts w:ascii="Verdana" w:hAnsi="Verdana" w:eastAsia="华文细黑" w:cs="Calibri"/>
          <w:b/>
        </w:rPr>
      </w:pPr>
    </w:p>
    <w:p>
      <w:pPr>
        <w:spacing w:line="360" w:lineRule="auto"/>
        <w:jc w:val="center"/>
        <w:rPr>
          <w:rFonts w:ascii="Verdana" w:hAnsi="Verdana" w:eastAsia="华文细黑"/>
          <w:b/>
          <w:color w:val="000000"/>
          <w:sz w:val="32"/>
          <w:szCs w:val="32"/>
        </w:rPr>
      </w:pPr>
      <w:r>
        <w:rPr>
          <w:rFonts w:ascii="Verdana" w:hAnsi="Verdana" w:eastAsia="华文细黑"/>
          <w:b/>
          <w:color w:val="000000"/>
          <w:sz w:val="32"/>
          <w:szCs w:val="32"/>
        </w:rPr>
        <w:t>2023年三亚市专项债券资金调剂项目</w:t>
      </w:r>
    </w:p>
    <w:p>
      <w:pPr>
        <w:spacing w:line="360" w:lineRule="auto"/>
        <w:jc w:val="center"/>
        <w:rPr>
          <w:rFonts w:ascii="Verdana" w:hAnsi="Verdana" w:eastAsia="华文细黑" w:cs="Calibri"/>
          <w:b/>
          <w:color w:val="000000"/>
          <w:sz w:val="32"/>
          <w:szCs w:val="32"/>
        </w:rPr>
      </w:pPr>
      <w:r>
        <w:rPr>
          <w:rFonts w:ascii="Verdana" w:hAnsi="Verdana" w:eastAsia="华文细黑" w:cs="Calibri"/>
          <w:b/>
          <w:color w:val="000000"/>
          <w:sz w:val="32"/>
          <w:szCs w:val="32"/>
        </w:rPr>
        <w:t>财务评价咨询报告</w:t>
      </w:r>
    </w:p>
    <w:p>
      <w:pPr>
        <w:spacing w:line="360" w:lineRule="auto"/>
        <w:jc w:val="both"/>
        <w:rPr>
          <w:rFonts w:ascii="Verdana" w:hAnsi="Verdana" w:eastAsia="华文细黑" w:cs="Calibri"/>
          <w:color w:val="000000"/>
          <w:sz w:val="20"/>
        </w:rPr>
      </w:pPr>
    </w:p>
    <w:p>
      <w:pPr>
        <w:spacing w:line="360" w:lineRule="auto"/>
        <w:jc w:val="both"/>
        <w:rPr>
          <w:rFonts w:ascii="Verdana" w:hAnsi="Verdana" w:eastAsia="华文细黑" w:cs="Calibri"/>
          <w:color w:val="000000"/>
        </w:rPr>
      </w:pPr>
      <w:r>
        <w:rPr>
          <w:rFonts w:hint="eastAsia" w:ascii="Verdana" w:hAnsi="Verdana" w:eastAsia="华文细黑" w:cs="Calibri"/>
        </w:rPr>
        <w:t>吉阳区水务局</w:t>
      </w:r>
      <w:r>
        <w:rPr>
          <w:rFonts w:ascii="Verdana" w:hAnsi="Verdana" w:eastAsia="华文细黑" w:cs="Calibri"/>
          <w:color w:val="000000"/>
        </w:rPr>
        <w:t>：</w:t>
      </w:r>
    </w:p>
    <w:p>
      <w:pPr>
        <w:spacing w:line="360" w:lineRule="auto"/>
        <w:ind w:firstLine="454"/>
        <w:jc w:val="both"/>
        <w:rPr>
          <w:rFonts w:ascii="Verdana" w:hAnsi="Verdana" w:eastAsia="华文细黑" w:cs="Calibri"/>
          <w:color w:val="000000"/>
        </w:rPr>
      </w:pPr>
      <w:r>
        <w:rPr>
          <w:rFonts w:ascii="Verdana" w:hAnsi="Verdana" w:eastAsia="华文细黑" w:cs="Calibri"/>
          <w:color w:val="000000"/>
        </w:rPr>
        <w:t>所附文件为我们按双方共同约定所签署业务约定书（“业务约定书”）向贵单位提交的咨询报告（一份）。发出本函件意味着我们已经完成业务约定书中的约定，即我们从财务角度对2023年三亚市专项债券资金调剂项目——</w:t>
      </w:r>
      <w:r>
        <w:rPr>
          <w:rFonts w:hint="eastAsia" w:ascii="Verdana" w:hAnsi="Verdana" w:eastAsia="华文细黑" w:cs="Calibri"/>
          <w:color w:val="000000"/>
        </w:rPr>
        <w:t>吉阳区新村社区饮水巩固提升工程项目</w:t>
      </w:r>
      <w:r>
        <w:rPr>
          <w:rFonts w:ascii="Verdana" w:hAnsi="Verdana" w:eastAsia="华文细黑" w:cs="Calibri"/>
          <w:color w:val="000000"/>
        </w:rPr>
        <w:t>专项债券调剂的收益和融资自求平衡情况提供财务评价咨询服务。</w:t>
      </w:r>
    </w:p>
    <w:p>
      <w:pPr>
        <w:spacing w:line="360" w:lineRule="auto"/>
        <w:ind w:firstLine="454"/>
        <w:jc w:val="both"/>
        <w:rPr>
          <w:rFonts w:ascii="Verdana" w:hAnsi="Verdana" w:eastAsia="华文细黑" w:cs="Calibri"/>
          <w:color w:val="000000"/>
        </w:rPr>
      </w:pPr>
      <w:r>
        <w:rPr>
          <w:rFonts w:ascii="Verdana" w:hAnsi="Verdana" w:eastAsia="华文细黑" w:cs="Calibri"/>
          <w:color w:val="000000"/>
        </w:rPr>
        <w:t>我们希望利用本次机会正式感谢</w:t>
      </w:r>
      <w:r>
        <w:rPr>
          <w:rFonts w:hint="eastAsia" w:ascii="Verdana" w:hAnsi="Verdana" w:eastAsia="华文细黑" w:cs="Calibri"/>
        </w:rPr>
        <w:t>吉阳区水务局</w:t>
      </w:r>
      <w:r>
        <w:rPr>
          <w:rFonts w:ascii="Verdana" w:hAnsi="Verdana" w:eastAsia="华文细黑" w:cs="Calibri"/>
          <w:color w:val="000000"/>
        </w:rPr>
        <w:t>及其他相关人员为我们的工作所提供的大力协助和配合。</w:t>
      </w:r>
    </w:p>
    <w:p>
      <w:pPr>
        <w:spacing w:line="360" w:lineRule="auto"/>
        <w:ind w:firstLine="454"/>
        <w:jc w:val="both"/>
        <w:rPr>
          <w:rFonts w:ascii="Verdana" w:hAnsi="Verdana" w:eastAsia="华文细黑" w:cs="Calibri"/>
          <w:color w:val="000000"/>
        </w:rPr>
      </w:pPr>
      <w:r>
        <w:rPr>
          <w:rFonts w:ascii="Verdana" w:hAnsi="Verdana" w:eastAsia="华文细黑" w:cs="Calibri"/>
          <w:color w:val="000000"/>
        </w:rPr>
        <w:t>我们期待着继续为贵单位提供服务。如贵单位对所附报告有任何疑问或意见，请随时与我们联系。</w:t>
      </w:r>
    </w:p>
    <w:p>
      <w:pPr>
        <w:spacing w:line="360" w:lineRule="auto"/>
        <w:jc w:val="both"/>
        <w:rPr>
          <w:rFonts w:ascii="Verdana" w:hAnsi="Verdana" w:eastAsia="华文细黑" w:cs="Calibri"/>
          <w:sz w:val="16"/>
        </w:rPr>
      </w:pPr>
    </w:p>
    <w:p>
      <w:pPr>
        <w:spacing w:line="360" w:lineRule="auto"/>
        <w:ind w:firstLine="510"/>
        <w:jc w:val="both"/>
        <w:rPr>
          <w:rFonts w:ascii="Verdana" w:hAnsi="Verdana" w:eastAsia="华文细黑" w:cs="Calibri"/>
        </w:rPr>
      </w:pPr>
      <w:r>
        <w:rPr>
          <w:rFonts w:ascii="Verdana" w:hAnsi="Verdana" w:eastAsia="华文细黑" w:cs="Calibri"/>
          <w:color w:val="000000"/>
        </w:rPr>
        <w:t>顺致</w:t>
      </w:r>
    </w:p>
    <w:p>
      <w:pPr>
        <w:spacing w:line="360" w:lineRule="auto"/>
        <w:jc w:val="both"/>
        <w:rPr>
          <w:rFonts w:ascii="Verdana" w:hAnsi="Verdana" w:eastAsia="华文细黑" w:cs="Calibri"/>
          <w:color w:val="000000"/>
          <w:sz w:val="20"/>
        </w:rPr>
      </w:pPr>
      <w:r>
        <w:rPr>
          <w:rFonts w:ascii="Verdana" w:hAnsi="Verdana" w:eastAsia="华文细黑" w:cs="Calibri"/>
          <w:color w:val="000000"/>
        </w:rPr>
        <w:t>敬意！</w:t>
      </w:r>
    </w:p>
    <w:p>
      <w:pPr>
        <w:spacing w:line="360" w:lineRule="auto"/>
        <w:jc w:val="right"/>
        <w:rPr>
          <w:rFonts w:ascii="Verdana" w:hAnsi="Verdana" w:eastAsia="华文细黑" w:cs="Calibri"/>
        </w:rPr>
      </w:pPr>
      <w:r>
        <w:rPr>
          <w:rFonts w:ascii="Verdana" w:hAnsi="Verdana" w:eastAsia="华文细黑" w:cs="Calibri"/>
          <w:color w:val="000000"/>
        </w:rPr>
        <w:t>德勤咨询（海南）有限公司</w:t>
      </w:r>
    </w:p>
    <w:p>
      <w:pPr>
        <w:spacing w:line="360" w:lineRule="auto"/>
        <w:jc w:val="right"/>
        <w:rPr>
          <w:rFonts w:ascii="Verdana" w:hAnsi="Verdana" w:eastAsia="华文细黑" w:cs="Calibri"/>
          <w:color w:val="000000"/>
        </w:rPr>
      </w:pPr>
      <w:r>
        <w:rPr>
          <w:rFonts w:ascii="Verdana" w:hAnsi="Verdana" w:eastAsia="华文细黑" w:cs="Calibri"/>
          <w:color w:val="000000"/>
        </w:rPr>
        <w:t>二零二三年十一月</w:t>
      </w:r>
    </w:p>
    <w:p>
      <w:pPr>
        <w:spacing w:line="360" w:lineRule="auto"/>
        <w:jc w:val="right"/>
        <w:rPr>
          <w:rFonts w:ascii="Verdana" w:hAnsi="Verdana" w:eastAsia="华文细黑" w:cs="Calibri"/>
        </w:rPr>
      </w:pPr>
    </w:p>
    <w:p>
      <w:pPr>
        <w:spacing w:line="360" w:lineRule="auto"/>
        <w:ind w:firstLine="480" w:firstLineChars="200"/>
        <w:jc w:val="both"/>
        <w:rPr>
          <w:rFonts w:ascii="Verdana" w:hAnsi="Verdana" w:eastAsia="华文细黑" w:cs="Calibri"/>
          <w:b/>
          <w:color w:val="000000"/>
        </w:rPr>
        <w:sectPr>
          <w:headerReference r:id="rId6" w:type="first"/>
          <w:footerReference r:id="rId9" w:type="first"/>
          <w:headerReference r:id="rId4" w:type="default"/>
          <w:footerReference r:id="rId7" w:type="default"/>
          <w:headerReference r:id="rId5" w:type="even"/>
          <w:footerReference r:id="rId8" w:type="even"/>
          <w:pgSz w:w="12240" w:h="15840"/>
          <w:pgMar w:top="1440" w:right="1800" w:bottom="1440" w:left="1800" w:header="708" w:footer="708" w:gutter="0"/>
          <w:cols w:space="720" w:num="1"/>
        </w:sectPr>
      </w:pPr>
      <w:r>
        <w:rPr>
          <w:rFonts w:ascii="Verdana" w:hAnsi="Verdana" w:eastAsia="华文细黑" w:cs="Calibri"/>
          <w:b/>
          <w:color w:val="000000"/>
        </w:rPr>
        <w:t>附件：</w:t>
      </w:r>
      <w:r>
        <w:rPr>
          <w:rFonts w:ascii="Verdana" w:hAnsi="Verdana" w:eastAsia="华文细黑" w:cs="Calibri"/>
          <w:bCs/>
          <w:color w:val="000000"/>
        </w:rPr>
        <w:t>2023</w:t>
      </w:r>
      <w:r>
        <w:rPr>
          <w:rFonts w:hint="eastAsia" w:ascii="Verdana" w:hAnsi="Verdana" w:eastAsia="华文细黑" w:cs="Calibri"/>
          <w:bCs/>
          <w:color w:val="000000"/>
        </w:rPr>
        <w:t>年三亚市专项债券资金调剂项目——</w:t>
      </w:r>
      <w:r>
        <w:rPr>
          <w:rFonts w:hint="eastAsia" w:ascii="Verdana" w:hAnsi="Verdana" w:eastAsia="华文细黑" w:cs="Calibri"/>
        </w:rPr>
        <w:t>吉阳区水务局</w:t>
      </w:r>
      <w:r>
        <w:rPr>
          <w:rFonts w:hint="eastAsia" w:ascii="Verdana" w:hAnsi="Verdana" w:eastAsia="华文细黑" w:cs="Calibri"/>
          <w:bCs/>
          <w:color w:val="000000"/>
        </w:rPr>
        <w:t>专项债券</w:t>
      </w:r>
      <w:r>
        <w:rPr>
          <w:rFonts w:ascii="Verdana" w:hAnsi="Verdana" w:eastAsia="华文细黑" w:cs="Calibri"/>
          <w:color w:val="000000"/>
        </w:rPr>
        <w:t>财务评价咨询报告</w:t>
      </w:r>
    </w:p>
    <w:sdt>
      <w:sdtPr>
        <w:rPr>
          <w:rFonts w:ascii="Verdana" w:hAnsi="Verdana" w:eastAsia="华文细黑" w:cs="Calibri"/>
          <w:color w:val="auto"/>
          <w:sz w:val="24"/>
          <w:szCs w:val="24"/>
          <w:lang w:val="en-GB" w:eastAsia="zh-CN"/>
        </w:rPr>
        <w:id w:val="-1344865810"/>
        <w:docPartObj>
          <w:docPartGallery w:val="Table of Contents"/>
          <w:docPartUnique/>
        </w:docPartObj>
      </w:sdtPr>
      <w:sdtEndPr>
        <w:rPr>
          <w:rFonts w:ascii="Verdana" w:hAnsi="Verdana" w:eastAsia="华文细黑" w:cs="Calibri"/>
          <w:color w:val="auto"/>
          <w:sz w:val="24"/>
          <w:szCs w:val="24"/>
          <w:lang w:val="en-GB" w:eastAsia="zh-CN"/>
        </w:rPr>
      </w:sdtEndPr>
      <w:sdtContent>
        <w:p>
          <w:pPr>
            <w:pStyle w:val="14"/>
            <w:spacing w:line="360" w:lineRule="auto"/>
            <w:jc w:val="center"/>
            <w:rPr>
              <w:rFonts w:ascii="Verdana" w:hAnsi="Verdana" w:eastAsia="华文细黑" w:cs="Calibri"/>
              <w:color w:val="auto"/>
              <w:lang w:eastAsia="zh-CN"/>
            </w:rPr>
          </w:pPr>
          <w:r>
            <w:rPr>
              <w:rFonts w:ascii="Verdana" w:hAnsi="Verdana" w:eastAsia="华文细黑" w:cs="Calibri"/>
              <w:b/>
              <w:color w:val="auto"/>
              <w:lang w:eastAsia="zh-CN"/>
            </w:rPr>
            <w:t>目录</w:t>
          </w:r>
        </w:p>
        <w:p>
          <w:pPr>
            <w:pStyle w:val="6"/>
            <w:spacing w:line="360" w:lineRule="auto"/>
            <w:rPr>
              <w:rFonts w:ascii="Verdana" w:hAnsi="Verdana" w:cstheme="minorBidi"/>
              <w:kern w:val="2"/>
            </w:rPr>
          </w:pPr>
          <w:r>
            <w:rPr>
              <w:rFonts w:ascii="Verdana" w:hAnsi="Verdana" w:cs="Calibri"/>
              <w:szCs w:val="20"/>
            </w:rPr>
            <w:fldChar w:fldCharType="begin"/>
          </w:r>
          <w:r>
            <w:rPr>
              <w:rFonts w:ascii="Verdana" w:hAnsi="Verdana" w:cs="Calibri"/>
              <w:szCs w:val="20"/>
            </w:rPr>
            <w:instrText xml:space="preserve"> TOC \o "1-3" \h \z \u </w:instrText>
          </w:r>
          <w:r>
            <w:rPr>
              <w:rFonts w:ascii="Verdana" w:hAnsi="Verdana" w:cs="Calibri"/>
              <w:szCs w:val="20"/>
            </w:rPr>
            <w:fldChar w:fldCharType="separate"/>
          </w:r>
          <w:r>
            <w:fldChar w:fldCharType="begin"/>
          </w:r>
          <w:r>
            <w:instrText xml:space="preserve"> HYPERLINK \l "_Toc135044137" </w:instrText>
          </w:r>
          <w:r>
            <w:fldChar w:fldCharType="separate"/>
          </w:r>
          <w:r>
            <w:rPr>
              <w:rStyle w:val="12"/>
              <w:rFonts w:ascii="Verdana" w:hAnsi="Verdana" w:cs="Calibri"/>
            </w:rPr>
            <w:t>一、地区经济情况</w:t>
          </w:r>
          <w:r>
            <w:rPr>
              <w:rFonts w:ascii="Verdana" w:hAnsi="Verdana"/>
            </w:rPr>
            <w:tab/>
          </w:r>
          <w:r>
            <w:rPr>
              <w:rFonts w:ascii="Verdana" w:hAnsi="Verdana"/>
            </w:rPr>
            <w:fldChar w:fldCharType="begin"/>
          </w:r>
          <w:r>
            <w:rPr>
              <w:rFonts w:ascii="Verdana" w:hAnsi="Verdana"/>
            </w:rPr>
            <w:instrText xml:space="preserve"> PAGEREF _Toc135044137 \h </w:instrText>
          </w:r>
          <w:r>
            <w:rPr>
              <w:rFonts w:ascii="Verdana" w:hAnsi="Verdana"/>
            </w:rPr>
            <w:fldChar w:fldCharType="separate"/>
          </w:r>
          <w:r>
            <w:rPr>
              <w:rFonts w:ascii="Verdana" w:hAnsi="Verdana"/>
            </w:rPr>
            <w:t>1</w:t>
          </w:r>
          <w:r>
            <w:rPr>
              <w:rFonts w:ascii="Verdana" w:hAnsi="Verdana"/>
            </w:rPr>
            <w:fldChar w:fldCharType="end"/>
          </w:r>
          <w:r>
            <w:rPr>
              <w:rFonts w:ascii="Verdana" w:hAnsi="Verdana"/>
            </w:rPr>
            <w:fldChar w:fldCharType="end"/>
          </w:r>
        </w:p>
        <w:p>
          <w:pPr>
            <w:pStyle w:val="8"/>
            <w:rPr>
              <w:rFonts w:ascii="Verdana" w:hAnsi="Verdana" w:eastAsia="华文细黑" w:cstheme="minorBidi"/>
              <w:b/>
              <w:kern w:val="2"/>
            </w:rPr>
          </w:pPr>
          <w:r>
            <w:fldChar w:fldCharType="begin"/>
          </w:r>
          <w:r>
            <w:instrText xml:space="preserve"> HYPERLINK \l "_Toc135044138" </w:instrText>
          </w:r>
          <w:r>
            <w:fldChar w:fldCharType="separate"/>
          </w:r>
          <w:r>
            <w:rPr>
              <w:rStyle w:val="12"/>
              <w:rFonts w:ascii="Verdana" w:hAnsi="Verdana" w:eastAsia="华文细黑" w:cs="Calibri"/>
              <w:b/>
            </w:rPr>
            <w:t>1．地区生产总值</w:t>
          </w:r>
          <w:r>
            <w:rPr>
              <w:rFonts w:ascii="Verdana" w:hAnsi="Verdana" w:eastAsia="华文细黑"/>
              <w:b/>
            </w:rPr>
            <w:tab/>
          </w:r>
          <w:r>
            <w:rPr>
              <w:rFonts w:ascii="Verdana" w:hAnsi="Verdana" w:eastAsia="华文细黑"/>
              <w:b/>
            </w:rPr>
            <w:fldChar w:fldCharType="begin"/>
          </w:r>
          <w:r>
            <w:rPr>
              <w:rFonts w:ascii="Verdana" w:hAnsi="Verdana" w:eastAsia="华文细黑"/>
              <w:b/>
            </w:rPr>
            <w:instrText xml:space="preserve"> PAGEREF _Toc135044138 \h </w:instrText>
          </w:r>
          <w:r>
            <w:rPr>
              <w:rFonts w:ascii="Verdana" w:hAnsi="Verdana" w:eastAsia="华文细黑"/>
              <w:b/>
            </w:rPr>
            <w:fldChar w:fldCharType="separate"/>
          </w:r>
          <w:r>
            <w:rPr>
              <w:rFonts w:ascii="Verdana" w:hAnsi="Verdana" w:eastAsia="华文细黑"/>
              <w:b/>
            </w:rPr>
            <w:t>1</w:t>
          </w:r>
          <w:r>
            <w:rPr>
              <w:rFonts w:ascii="Verdana" w:hAnsi="Verdana" w:eastAsia="华文细黑"/>
              <w:b/>
            </w:rPr>
            <w:fldChar w:fldCharType="end"/>
          </w:r>
          <w:r>
            <w:rPr>
              <w:rFonts w:ascii="Verdana" w:hAnsi="Verdana" w:eastAsia="华文细黑"/>
              <w:b/>
            </w:rPr>
            <w:fldChar w:fldCharType="end"/>
          </w:r>
        </w:p>
        <w:p>
          <w:pPr>
            <w:pStyle w:val="8"/>
            <w:rPr>
              <w:rFonts w:ascii="Verdana" w:hAnsi="Verdana" w:eastAsia="华文细黑" w:cstheme="minorBidi"/>
              <w:b/>
              <w:kern w:val="2"/>
            </w:rPr>
          </w:pPr>
          <w:r>
            <w:fldChar w:fldCharType="begin"/>
          </w:r>
          <w:r>
            <w:instrText xml:space="preserve"> HYPERLINK \l "_Toc135044139" </w:instrText>
          </w:r>
          <w:r>
            <w:fldChar w:fldCharType="separate"/>
          </w:r>
          <w:r>
            <w:rPr>
              <w:rStyle w:val="12"/>
              <w:rFonts w:ascii="Verdana" w:hAnsi="Verdana" w:eastAsia="华文细黑" w:cs="Calibri"/>
              <w:b/>
            </w:rPr>
            <w:t>2．地区人均年收入</w:t>
          </w:r>
          <w:r>
            <w:rPr>
              <w:rFonts w:ascii="Verdana" w:hAnsi="Verdana" w:eastAsia="华文细黑"/>
              <w:b/>
            </w:rPr>
            <w:tab/>
          </w:r>
          <w:r>
            <w:rPr>
              <w:rFonts w:ascii="Verdana" w:hAnsi="Verdana" w:eastAsia="华文细黑"/>
              <w:b/>
            </w:rPr>
            <w:fldChar w:fldCharType="begin"/>
          </w:r>
          <w:r>
            <w:rPr>
              <w:rFonts w:ascii="Verdana" w:hAnsi="Verdana" w:eastAsia="华文细黑"/>
              <w:b/>
            </w:rPr>
            <w:instrText xml:space="preserve"> PAGEREF _Toc135044139 \h </w:instrText>
          </w:r>
          <w:r>
            <w:rPr>
              <w:rFonts w:ascii="Verdana" w:hAnsi="Verdana" w:eastAsia="华文细黑"/>
              <w:b/>
            </w:rPr>
            <w:fldChar w:fldCharType="separate"/>
          </w:r>
          <w:r>
            <w:rPr>
              <w:rFonts w:ascii="Verdana" w:hAnsi="Verdana" w:eastAsia="华文细黑"/>
              <w:b/>
            </w:rPr>
            <w:t>1</w:t>
          </w:r>
          <w:r>
            <w:rPr>
              <w:rFonts w:ascii="Verdana" w:hAnsi="Verdana" w:eastAsia="华文细黑"/>
              <w:b/>
            </w:rPr>
            <w:fldChar w:fldCharType="end"/>
          </w:r>
          <w:r>
            <w:rPr>
              <w:rFonts w:ascii="Verdana" w:hAnsi="Verdana" w:eastAsia="华文细黑"/>
              <w:b/>
            </w:rPr>
            <w:fldChar w:fldCharType="end"/>
          </w:r>
        </w:p>
        <w:p>
          <w:pPr>
            <w:pStyle w:val="8"/>
            <w:rPr>
              <w:rFonts w:ascii="Verdana" w:hAnsi="Verdana" w:eastAsia="华文细黑" w:cstheme="minorBidi"/>
              <w:b/>
              <w:kern w:val="2"/>
            </w:rPr>
          </w:pPr>
          <w:r>
            <w:fldChar w:fldCharType="begin"/>
          </w:r>
          <w:r>
            <w:instrText xml:space="preserve"> HYPERLINK \l "_Toc135044140" </w:instrText>
          </w:r>
          <w:r>
            <w:fldChar w:fldCharType="separate"/>
          </w:r>
          <w:r>
            <w:rPr>
              <w:rStyle w:val="12"/>
              <w:rFonts w:ascii="Verdana" w:hAnsi="Verdana" w:eastAsia="华文细黑" w:cs="Calibri"/>
              <w:b/>
            </w:rPr>
            <w:t>3．一般公共预算收支</w:t>
          </w:r>
          <w:r>
            <w:rPr>
              <w:rFonts w:ascii="Verdana" w:hAnsi="Verdana" w:eastAsia="华文细黑"/>
              <w:b/>
            </w:rPr>
            <w:tab/>
          </w:r>
          <w:r>
            <w:rPr>
              <w:rFonts w:ascii="Verdana" w:hAnsi="Verdana" w:eastAsia="华文细黑"/>
              <w:b/>
            </w:rPr>
            <w:fldChar w:fldCharType="begin"/>
          </w:r>
          <w:r>
            <w:rPr>
              <w:rFonts w:ascii="Verdana" w:hAnsi="Verdana" w:eastAsia="华文细黑"/>
              <w:b/>
            </w:rPr>
            <w:instrText xml:space="preserve"> PAGEREF _Toc135044140 \h </w:instrText>
          </w:r>
          <w:r>
            <w:rPr>
              <w:rFonts w:ascii="Verdana" w:hAnsi="Verdana" w:eastAsia="华文细黑"/>
              <w:b/>
            </w:rPr>
            <w:fldChar w:fldCharType="separate"/>
          </w:r>
          <w:r>
            <w:rPr>
              <w:rFonts w:ascii="Verdana" w:hAnsi="Verdana" w:eastAsia="华文细黑"/>
              <w:b/>
            </w:rPr>
            <w:t>2</w:t>
          </w:r>
          <w:r>
            <w:rPr>
              <w:rFonts w:ascii="Verdana" w:hAnsi="Verdana" w:eastAsia="华文细黑"/>
              <w:b/>
            </w:rPr>
            <w:fldChar w:fldCharType="end"/>
          </w:r>
          <w:r>
            <w:rPr>
              <w:rFonts w:ascii="Verdana" w:hAnsi="Verdana" w:eastAsia="华文细黑"/>
              <w:b/>
            </w:rPr>
            <w:fldChar w:fldCharType="end"/>
          </w:r>
        </w:p>
        <w:p>
          <w:pPr>
            <w:pStyle w:val="8"/>
            <w:rPr>
              <w:rFonts w:ascii="Verdana" w:hAnsi="Verdana" w:eastAsia="华文细黑" w:cstheme="minorBidi"/>
              <w:b/>
              <w:kern w:val="2"/>
            </w:rPr>
          </w:pPr>
          <w:r>
            <w:fldChar w:fldCharType="begin"/>
          </w:r>
          <w:r>
            <w:instrText xml:space="preserve"> HYPERLINK \l "_Toc135044141" </w:instrText>
          </w:r>
          <w:r>
            <w:fldChar w:fldCharType="separate"/>
          </w:r>
          <w:r>
            <w:rPr>
              <w:rStyle w:val="12"/>
              <w:rFonts w:ascii="Verdana" w:hAnsi="Verdana" w:eastAsia="华文细黑" w:cs="Calibri"/>
              <w:b/>
            </w:rPr>
            <w:t>4．政府性基金预算收支</w:t>
          </w:r>
          <w:r>
            <w:rPr>
              <w:rFonts w:ascii="Verdana" w:hAnsi="Verdana" w:eastAsia="华文细黑"/>
              <w:b/>
            </w:rPr>
            <w:tab/>
          </w:r>
          <w:r>
            <w:rPr>
              <w:rFonts w:ascii="Verdana" w:hAnsi="Verdana" w:eastAsia="华文细黑"/>
              <w:b/>
            </w:rPr>
            <w:fldChar w:fldCharType="begin"/>
          </w:r>
          <w:r>
            <w:rPr>
              <w:rFonts w:ascii="Verdana" w:hAnsi="Verdana" w:eastAsia="华文细黑"/>
              <w:b/>
            </w:rPr>
            <w:instrText xml:space="preserve"> PAGEREF _Toc135044141 \h </w:instrText>
          </w:r>
          <w:r>
            <w:rPr>
              <w:rFonts w:ascii="Verdana" w:hAnsi="Verdana" w:eastAsia="华文细黑"/>
              <w:b/>
            </w:rPr>
            <w:fldChar w:fldCharType="separate"/>
          </w:r>
          <w:r>
            <w:rPr>
              <w:rFonts w:ascii="Verdana" w:hAnsi="Verdana" w:eastAsia="华文细黑"/>
              <w:b/>
            </w:rPr>
            <w:t>4</w:t>
          </w:r>
          <w:r>
            <w:rPr>
              <w:rFonts w:ascii="Verdana" w:hAnsi="Verdana" w:eastAsia="华文细黑"/>
              <w:b/>
            </w:rPr>
            <w:fldChar w:fldCharType="end"/>
          </w:r>
          <w:r>
            <w:rPr>
              <w:rFonts w:ascii="Verdana" w:hAnsi="Verdana" w:eastAsia="华文细黑"/>
              <w:b/>
            </w:rPr>
            <w:fldChar w:fldCharType="end"/>
          </w:r>
        </w:p>
        <w:p>
          <w:pPr>
            <w:pStyle w:val="8"/>
            <w:rPr>
              <w:rFonts w:ascii="Verdana" w:hAnsi="Verdana" w:eastAsia="华文细黑" w:cstheme="minorBidi"/>
              <w:b/>
              <w:kern w:val="2"/>
            </w:rPr>
          </w:pPr>
          <w:r>
            <w:fldChar w:fldCharType="begin"/>
          </w:r>
          <w:r>
            <w:instrText xml:space="preserve"> HYPERLINK \l "_Toc135044142" </w:instrText>
          </w:r>
          <w:r>
            <w:fldChar w:fldCharType="separate"/>
          </w:r>
          <w:r>
            <w:rPr>
              <w:rStyle w:val="12"/>
              <w:rFonts w:ascii="Verdana" w:hAnsi="Verdana" w:eastAsia="华文细黑" w:cs="Calibri"/>
              <w:b/>
            </w:rPr>
            <w:t>5．地方政府债务情况</w:t>
          </w:r>
          <w:r>
            <w:rPr>
              <w:rFonts w:ascii="Verdana" w:hAnsi="Verdana" w:eastAsia="华文细黑"/>
              <w:b/>
            </w:rPr>
            <w:tab/>
          </w:r>
          <w:r>
            <w:rPr>
              <w:rFonts w:ascii="Verdana" w:hAnsi="Verdana" w:eastAsia="华文细黑"/>
              <w:b/>
            </w:rPr>
            <w:fldChar w:fldCharType="begin"/>
          </w:r>
          <w:r>
            <w:rPr>
              <w:rFonts w:ascii="Verdana" w:hAnsi="Verdana" w:eastAsia="华文细黑"/>
              <w:b/>
            </w:rPr>
            <w:instrText xml:space="preserve"> PAGEREF _Toc135044142 \h </w:instrText>
          </w:r>
          <w:r>
            <w:rPr>
              <w:rFonts w:ascii="Verdana" w:hAnsi="Verdana" w:eastAsia="华文细黑"/>
              <w:b/>
            </w:rPr>
            <w:fldChar w:fldCharType="separate"/>
          </w:r>
          <w:r>
            <w:rPr>
              <w:rFonts w:ascii="Verdana" w:hAnsi="Verdana" w:eastAsia="华文细黑"/>
              <w:b/>
            </w:rPr>
            <w:t>5</w:t>
          </w:r>
          <w:r>
            <w:rPr>
              <w:rFonts w:ascii="Verdana" w:hAnsi="Verdana" w:eastAsia="华文细黑"/>
              <w:b/>
            </w:rPr>
            <w:fldChar w:fldCharType="end"/>
          </w:r>
          <w:r>
            <w:rPr>
              <w:rFonts w:ascii="Verdana" w:hAnsi="Verdana" w:eastAsia="华文细黑"/>
              <w:b/>
            </w:rPr>
            <w:fldChar w:fldCharType="end"/>
          </w:r>
        </w:p>
        <w:p>
          <w:pPr>
            <w:pStyle w:val="6"/>
            <w:spacing w:line="360" w:lineRule="auto"/>
            <w:rPr>
              <w:rFonts w:ascii="Verdana" w:hAnsi="Verdana" w:cstheme="minorBidi"/>
              <w:kern w:val="2"/>
            </w:rPr>
          </w:pPr>
          <w:r>
            <w:fldChar w:fldCharType="begin"/>
          </w:r>
          <w:r>
            <w:instrText xml:space="preserve"> HYPERLINK \l "_Toc135044143" </w:instrText>
          </w:r>
          <w:r>
            <w:fldChar w:fldCharType="separate"/>
          </w:r>
          <w:r>
            <w:rPr>
              <w:rStyle w:val="12"/>
              <w:rFonts w:ascii="Verdana" w:hAnsi="Verdana" w:cs="Calibri"/>
            </w:rPr>
            <w:t>二、项目概述</w:t>
          </w:r>
          <w:r>
            <w:rPr>
              <w:rFonts w:ascii="Verdana" w:hAnsi="Verdana"/>
            </w:rPr>
            <w:tab/>
          </w:r>
          <w:r>
            <w:rPr>
              <w:rFonts w:ascii="Verdana" w:hAnsi="Verdana"/>
            </w:rPr>
            <w:fldChar w:fldCharType="begin"/>
          </w:r>
          <w:r>
            <w:rPr>
              <w:rFonts w:ascii="Verdana" w:hAnsi="Verdana"/>
            </w:rPr>
            <w:instrText xml:space="preserve"> PAGEREF _Toc135044143 \h </w:instrText>
          </w:r>
          <w:r>
            <w:rPr>
              <w:rFonts w:ascii="Verdana" w:hAnsi="Verdana"/>
            </w:rPr>
            <w:fldChar w:fldCharType="separate"/>
          </w:r>
          <w:r>
            <w:rPr>
              <w:rFonts w:ascii="Verdana" w:hAnsi="Verdana"/>
            </w:rPr>
            <w:t>6</w:t>
          </w:r>
          <w:r>
            <w:rPr>
              <w:rFonts w:ascii="Verdana" w:hAnsi="Verdana"/>
            </w:rPr>
            <w:fldChar w:fldCharType="end"/>
          </w:r>
          <w:r>
            <w:rPr>
              <w:rFonts w:ascii="Verdana" w:hAnsi="Verdana"/>
            </w:rPr>
            <w:fldChar w:fldCharType="end"/>
          </w:r>
        </w:p>
        <w:p>
          <w:pPr>
            <w:pStyle w:val="6"/>
            <w:spacing w:line="360" w:lineRule="auto"/>
            <w:rPr>
              <w:rFonts w:ascii="Verdana" w:hAnsi="Verdana" w:cstheme="minorBidi"/>
              <w:kern w:val="2"/>
            </w:rPr>
          </w:pPr>
          <w:r>
            <w:fldChar w:fldCharType="begin"/>
          </w:r>
          <w:r>
            <w:instrText xml:space="preserve"> HYPERLINK \l "_Toc135044144" </w:instrText>
          </w:r>
          <w:r>
            <w:fldChar w:fldCharType="separate"/>
          </w:r>
          <w:r>
            <w:rPr>
              <w:rStyle w:val="12"/>
              <w:rFonts w:ascii="Verdana" w:hAnsi="Verdana" w:cs="Calibri"/>
            </w:rPr>
            <w:t>三、评估要素</w:t>
          </w:r>
          <w:r>
            <w:rPr>
              <w:rFonts w:ascii="Verdana" w:hAnsi="Verdana"/>
            </w:rPr>
            <w:tab/>
          </w:r>
          <w:r>
            <w:rPr>
              <w:rFonts w:ascii="Verdana" w:hAnsi="Verdana"/>
            </w:rPr>
            <w:fldChar w:fldCharType="begin"/>
          </w:r>
          <w:r>
            <w:rPr>
              <w:rFonts w:ascii="Verdana" w:hAnsi="Verdana"/>
            </w:rPr>
            <w:instrText xml:space="preserve"> PAGEREF _Toc135044144 \h </w:instrText>
          </w:r>
          <w:r>
            <w:rPr>
              <w:rFonts w:ascii="Verdana" w:hAnsi="Verdana"/>
            </w:rPr>
            <w:fldChar w:fldCharType="separate"/>
          </w:r>
          <w:r>
            <w:rPr>
              <w:rFonts w:ascii="Verdana" w:hAnsi="Verdana"/>
            </w:rPr>
            <w:t>9</w:t>
          </w:r>
          <w:r>
            <w:rPr>
              <w:rFonts w:ascii="Verdana" w:hAnsi="Verdana"/>
            </w:rPr>
            <w:fldChar w:fldCharType="end"/>
          </w:r>
          <w:r>
            <w:rPr>
              <w:rFonts w:ascii="Verdana" w:hAnsi="Verdana"/>
            </w:rPr>
            <w:fldChar w:fldCharType="end"/>
          </w:r>
        </w:p>
        <w:p>
          <w:pPr>
            <w:pStyle w:val="6"/>
            <w:spacing w:line="360" w:lineRule="auto"/>
            <w:rPr>
              <w:rFonts w:ascii="Verdana" w:hAnsi="Verdana" w:cstheme="minorBidi"/>
              <w:kern w:val="2"/>
            </w:rPr>
          </w:pPr>
          <w:r>
            <w:fldChar w:fldCharType="begin"/>
          </w:r>
          <w:r>
            <w:instrText xml:space="preserve"> HYPERLINK \l "_Toc135044145" </w:instrText>
          </w:r>
          <w:r>
            <w:fldChar w:fldCharType="separate"/>
          </w:r>
          <w:r>
            <w:rPr>
              <w:rStyle w:val="12"/>
              <w:rFonts w:ascii="Verdana" w:hAnsi="Verdana" w:cs="Calibri"/>
            </w:rPr>
            <w:t>1．资金充足性</w:t>
          </w:r>
          <w:r>
            <w:rPr>
              <w:rFonts w:ascii="Verdana" w:hAnsi="Verdana"/>
            </w:rPr>
            <w:tab/>
          </w:r>
          <w:r>
            <w:rPr>
              <w:rFonts w:ascii="Verdana" w:hAnsi="Verdana"/>
            </w:rPr>
            <w:fldChar w:fldCharType="begin"/>
          </w:r>
          <w:r>
            <w:rPr>
              <w:rFonts w:ascii="Verdana" w:hAnsi="Verdana"/>
            </w:rPr>
            <w:instrText xml:space="preserve"> PAGEREF _Toc135044145 \h </w:instrText>
          </w:r>
          <w:r>
            <w:rPr>
              <w:rFonts w:ascii="Verdana" w:hAnsi="Verdana"/>
            </w:rPr>
            <w:fldChar w:fldCharType="separate"/>
          </w:r>
          <w:r>
            <w:rPr>
              <w:rFonts w:ascii="Verdana" w:hAnsi="Verdana"/>
            </w:rPr>
            <w:t>10</w:t>
          </w:r>
          <w:r>
            <w:rPr>
              <w:rFonts w:ascii="Verdana" w:hAnsi="Verdana"/>
            </w:rPr>
            <w:fldChar w:fldCharType="end"/>
          </w:r>
          <w:r>
            <w:rPr>
              <w:rFonts w:ascii="Verdana" w:hAnsi="Verdana"/>
            </w:rPr>
            <w:fldChar w:fldCharType="end"/>
          </w:r>
        </w:p>
        <w:p>
          <w:pPr>
            <w:pStyle w:val="3"/>
            <w:tabs>
              <w:tab w:val="right" w:leader="dot" w:pos="8630"/>
            </w:tabs>
            <w:spacing w:line="360" w:lineRule="auto"/>
            <w:rPr>
              <w:rFonts w:ascii="Verdana" w:hAnsi="Verdana" w:eastAsia="华文细黑" w:cstheme="minorBidi"/>
              <w:b/>
              <w:kern w:val="2"/>
            </w:rPr>
          </w:pPr>
          <w:r>
            <w:fldChar w:fldCharType="begin"/>
          </w:r>
          <w:r>
            <w:instrText xml:space="preserve"> HYPERLINK \l "_Toc135044146" </w:instrText>
          </w:r>
          <w:r>
            <w:fldChar w:fldCharType="separate"/>
          </w:r>
          <w:r>
            <w:rPr>
              <w:rStyle w:val="12"/>
              <w:rFonts w:ascii="Verdana" w:hAnsi="Verdana" w:eastAsia="华文细黑" w:cs="Calibri"/>
              <w:b/>
            </w:rPr>
            <w:t>1.1投资估算</w:t>
          </w:r>
          <w:r>
            <w:rPr>
              <w:rFonts w:ascii="Verdana" w:hAnsi="Verdana" w:eastAsia="华文细黑"/>
              <w:b/>
            </w:rPr>
            <w:tab/>
          </w:r>
          <w:r>
            <w:rPr>
              <w:rFonts w:ascii="Verdana" w:hAnsi="Verdana" w:eastAsia="华文细黑"/>
              <w:b/>
            </w:rPr>
            <w:fldChar w:fldCharType="begin"/>
          </w:r>
          <w:r>
            <w:rPr>
              <w:rFonts w:ascii="Verdana" w:hAnsi="Verdana" w:eastAsia="华文细黑"/>
              <w:b/>
            </w:rPr>
            <w:instrText xml:space="preserve"> PAGEREF _Toc135044146 \h </w:instrText>
          </w:r>
          <w:r>
            <w:rPr>
              <w:rFonts w:ascii="Verdana" w:hAnsi="Verdana" w:eastAsia="华文细黑"/>
              <w:b/>
            </w:rPr>
            <w:fldChar w:fldCharType="separate"/>
          </w:r>
          <w:r>
            <w:rPr>
              <w:rFonts w:ascii="Verdana" w:hAnsi="Verdana" w:eastAsia="华文细黑"/>
              <w:b/>
            </w:rPr>
            <w:t>11</w:t>
          </w:r>
          <w:r>
            <w:rPr>
              <w:rFonts w:ascii="Verdana" w:hAnsi="Verdana" w:eastAsia="华文细黑"/>
              <w:b/>
            </w:rPr>
            <w:fldChar w:fldCharType="end"/>
          </w:r>
          <w:r>
            <w:rPr>
              <w:rFonts w:ascii="Verdana" w:hAnsi="Verdana" w:eastAsia="华文细黑"/>
              <w:b/>
            </w:rPr>
            <w:fldChar w:fldCharType="end"/>
          </w:r>
        </w:p>
        <w:p>
          <w:pPr>
            <w:pStyle w:val="3"/>
            <w:tabs>
              <w:tab w:val="right" w:leader="dot" w:pos="8630"/>
            </w:tabs>
            <w:spacing w:line="360" w:lineRule="auto"/>
            <w:rPr>
              <w:rFonts w:ascii="Verdana" w:hAnsi="Verdana" w:eastAsia="华文细黑" w:cstheme="minorBidi"/>
              <w:b/>
              <w:kern w:val="2"/>
            </w:rPr>
          </w:pPr>
          <w:r>
            <w:fldChar w:fldCharType="begin"/>
          </w:r>
          <w:r>
            <w:instrText xml:space="preserve"> HYPERLINK \l "_Toc135044147" </w:instrText>
          </w:r>
          <w:r>
            <w:fldChar w:fldCharType="separate"/>
          </w:r>
          <w:r>
            <w:rPr>
              <w:rStyle w:val="12"/>
              <w:rFonts w:ascii="Verdana" w:hAnsi="Verdana" w:eastAsia="华文细黑" w:cs="Calibri"/>
              <w:b/>
            </w:rPr>
            <w:t>1.2债券发行和还本付息</w:t>
          </w:r>
          <w:r>
            <w:rPr>
              <w:rFonts w:ascii="Verdana" w:hAnsi="Verdana" w:eastAsia="华文细黑"/>
              <w:b/>
            </w:rPr>
            <w:tab/>
          </w:r>
          <w:r>
            <w:rPr>
              <w:rFonts w:ascii="Verdana" w:hAnsi="Verdana" w:eastAsia="华文细黑"/>
              <w:b/>
            </w:rPr>
            <w:fldChar w:fldCharType="begin"/>
          </w:r>
          <w:r>
            <w:rPr>
              <w:rFonts w:ascii="Verdana" w:hAnsi="Verdana" w:eastAsia="华文细黑"/>
              <w:b/>
            </w:rPr>
            <w:instrText xml:space="preserve"> PAGEREF _Toc135044147 \h </w:instrText>
          </w:r>
          <w:r>
            <w:rPr>
              <w:rFonts w:ascii="Verdana" w:hAnsi="Verdana" w:eastAsia="华文细黑"/>
              <w:b/>
            </w:rPr>
            <w:fldChar w:fldCharType="separate"/>
          </w:r>
          <w:r>
            <w:rPr>
              <w:rFonts w:ascii="Verdana" w:hAnsi="Verdana" w:eastAsia="华文细黑"/>
              <w:b/>
            </w:rPr>
            <w:t>12</w:t>
          </w:r>
          <w:r>
            <w:rPr>
              <w:rFonts w:ascii="Verdana" w:hAnsi="Verdana" w:eastAsia="华文细黑"/>
              <w:b/>
            </w:rPr>
            <w:fldChar w:fldCharType="end"/>
          </w:r>
          <w:r>
            <w:rPr>
              <w:rFonts w:ascii="Verdana" w:hAnsi="Verdana" w:eastAsia="华文细黑"/>
              <w:b/>
            </w:rPr>
            <w:fldChar w:fldCharType="end"/>
          </w:r>
        </w:p>
        <w:p>
          <w:pPr>
            <w:pStyle w:val="3"/>
            <w:tabs>
              <w:tab w:val="right" w:leader="dot" w:pos="8630"/>
            </w:tabs>
            <w:spacing w:line="360" w:lineRule="auto"/>
            <w:rPr>
              <w:rFonts w:ascii="Verdana" w:hAnsi="Verdana" w:eastAsia="华文细黑" w:cstheme="minorBidi"/>
              <w:b/>
              <w:kern w:val="2"/>
            </w:rPr>
          </w:pPr>
          <w:r>
            <w:fldChar w:fldCharType="begin"/>
          </w:r>
          <w:r>
            <w:instrText xml:space="preserve"> HYPERLINK \l "_Toc135044148" </w:instrText>
          </w:r>
          <w:r>
            <w:fldChar w:fldCharType="separate"/>
          </w:r>
          <w:r>
            <w:rPr>
              <w:rStyle w:val="12"/>
              <w:rFonts w:ascii="Verdana" w:hAnsi="Verdana" w:eastAsia="华文细黑" w:cs="Calibri"/>
              <w:b/>
            </w:rPr>
            <w:t>1.3发债项目盈利能力、偿债能力和可持续性</w:t>
          </w:r>
          <w:r>
            <w:rPr>
              <w:rFonts w:ascii="Verdana" w:hAnsi="Verdana" w:eastAsia="华文细黑"/>
              <w:b/>
            </w:rPr>
            <w:tab/>
          </w:r>
          <w:r>
            <w:rPr>
              <w:rFonts w:ascii="Verdana" w:hAnsi="Verdana" w:eastAsia="华文细黑"/>
              <w:b/>
            </w:rPr>
            <w:fldChar w:fldCharType="begin"/>
          </w:r>
          <w:r>
            <w:rPr>
              <w:rFonts w:ascii="Verdana" w:hAnsi="Verdana" w:eastAsia="华文细黑"/>
              <w:b/>
            </w:rPr>
            <w:instrText xml:space="preserve"> PAGEREF _Toc135044148 \h </w:instrText>
          </w:r>
          <w:r>
            <w:rPr>
              <w:rFonts w:ascii="Verdana" w:hAnsi="Verdana" w:eastAsia="华文细黑"/>
              <w:b/>
            </w:rPr>
            <w:fldChar w:fldCharType="separate"/>
          </w:r>
          <w:r>
            <w:rPr>
              <w:rFonts w:ascii="Verdana" w:hAnsi="Verdana" w:eastAsia="华文细黑"/>
              <w:b/>
            </w:rPr>
            <w:t>13</w:t>
          </w:r>
          <w:r>
            <w:rPr>
              <w:rFonts w:ascii="Verdana" w:hAnsi="Verdana" w:eastAsia="华文细黑"/>
              <w:b/>
            </w:rPr>
            <w:fldChar w:fldCharType="end"/>
          </w:r>
          <w:r>
            <w:rPr>
              <w:rFonts w:ascii="Verdana" w:hAnsi="Verdana" w:eastAsia="华文细黑"/>
              <w:b/>
            </w:rPr>
            <w:fldChar w:fldCharType="end"/>
          </w:r>
        </w:p>
        <w:p>
          <w:pPr>
            <w:pStyle w:val="3"/>
            <w:tabs>
              <w:tab w:val="right" w:leader="dot" w:pos="8630"/>
            </w:tabs>
            <w:spacing w:line="360" w:lineRule="auto"/>
            <w:rPr>
              <w:rFonts w:ascii="Verdana" w:hAnsi="Verdana" w:eastAsia="华文细黑" w:cstheme="minorBidi"/>
              <w:b/>
              <w:kern w:val="2"/>
            </w:rPr>
          </w:pPr>
          <w:r>
            <w:fldChar w:fldCharType="begin"/>
          </w:r>
          <w:r>
            <w:instrText xml:space="preserve"> HYPERLINK \l "_Toc135044149" </w:instrText>
          </w:r>
          <w:r>
            <w:fldChar w:fldCharType="separate"/>
          </w:r>
          <w:r>
            <w:rPr>
              <w:rStyle w:val="12"/>
              <w:rFonts w:ascii="Verdana" w:hAnsi="Verdana" w:eastAsia="华文细黑" w:cs="Calibri"/>
              <w:b/>
            </w:rPr>
            <w:t>1.4小结</w:t>
          </w:r>
          <w:r>
            <w:rPr>
              <w:rFonts w:ascii="Verdana" w:hAnsi="Verdana" w:eastAsia="华文细黑"/>
              <w:b/>
            </w:rPr>
            <w:tab/>
          </w:r>
          <w:r>
            <w:rPr>
              <w:rFonts w:ascii="Verdana" w:hAnsi="Verdana" w:eastAsia="华文细黑"/>
              <w:b/>
            </w:rPr>
            <w:fldChar w:fldCharType="begin"/>
          </w:r>
          <w:r>
            <w:rPr>
              <w:rFonts w:ascii="Verdana" w:hAnsi="Verdana" w:eastAsia="华文细黑"/>
              <w:b/>
            </w:rPr>
            <w:instrText xml:space="preserve"> PAGEREF _Toc135044149 \h </w:instrText>
          </w:r>
          <w:r>
            <w:rPr>
              <w:rFonts w:ascii="Verdana" w:hAnsi="Verdana" w:eastAsia="华文细黑"/>
              <w:b/>
            </w:rPr>
            <w:fldChar w:fldCharType="separate"/>
          </w:r>
          <w:r>
            <w:rPr>
              <w:rFonts w:ascii="Verdana" w:hAnsi="Verdana" w:eastAsia="华文细黑"/>
              <w:b/>
            </w:rPr>
            <w:t>15</w:t>
          </w:r>
          <w:r>
            <w:rPr>
              <w:rFonts w:ascii="Verdana" w:hAnsi="Verdana" w:eastAsia="华文细黑"/>
              <w:b/>
            </w:rPr>
            <w:fldChar w:fldCharType="end"/>
          </w:r>
          <w:r>
            <w:rPr>
              <w:rFonts w:ascii="Verdana" w:hAnsi="Verdana" w:eastAsia="华文细黑"/>
              <w:b/>
            </w:rPr>
            <w:fldChar w:fldCharType="end"/>
          </w:r>
        </w:p>
        <w:p>
          <w:pPr>
            <w:pStyle w:val="6"/>
            <w:spacing w:line="360" w:lineRule="auto"/>
            <w:rPr>
              <w:rFonts w:ascii="Verdana" w:hAnsi="Verdana" w:cstheme="minorBidi"/>
              <w:kern w:val="2"/>
            </w:rPr>
          </w:pPr>
          <w:r>
            <w:fldChar w:fldCharType="begin"/>
          </w:r>
          <w:r>
            <w:instrText xml:space="preserve"> HYPERLINK \l "_Toc135044150" </w:instrText>
          </w:r>
          <w:r>
            <w:fldChar w:fldCharType="separate"/>
          </w:r>
          <w:r>
            <w:rPr>
              <w:rStyle w:val="12"/>
              <w:rFonts w:ascii="Verdana" w:hAnsi="Verdana" w:cs="Calibri"/>
            </w:rPr>
            <w:t>2.资金稳定性</w:t>
          </w:r>
          <w:r>
            <w:rPr>
              <w:rFonts w:ascii="Verdana" w:hAnsi="Verdana"/>
            </w:rPr>
            <w:tab/>
          </w:r>
          <w:r>
            <w:rPr>
              <w:rFonts w:ascii="Verdana" w:hAnsi="Verdana"/>
            </w:rPr>
            <w:fldChar w:fldCharType="begin"/>
          </w:r>
          <w:r>
            <w:rPr>
              <w:rFonts w:ascii="Verdana" w:hAnsi="Verdana"/>
            </w:rPr>
            <w:instrText xml:space="preserve"> PAGEREF _Toc135044150 \h </w:instrText>
          </w:r>
          <w:r>
            <w:rPr>
              <w:rFonts w:ascii="Verdana" w:hAnsi="Verdana"/>
            </w:rPr>
            <w:fldChar w:fldCharType="separate"/>
          </w:r>
          <w:r>
            <w:rPr>
              <w:rFonts w:ascii="Verdana" w:hAnsi="Verdana"/>
            </w:rPr>
            <w:t>15</w:t>
          </w:r>
          <w:r>
            <w:rPr>
              <w:rFonts w:ascii="Verdana" w:hAnsi="Verdana"/>
            </w:rPr>
            <w:fldChar w:fldCharType="end"/>
          </w:r>
          <w:r>
            <w:rPr>
              <w:rFonts w:ascii="Verdana" w:hAnsi="Verdana"/>
            </w:rPr>
            <w:fldChar w:fldCharType="end"/>
          </w:r>
        </w:p>
        <w:p>
          <w:pPr>
            <w:pStyle w:val="6"/>
            <w:spacing w:line="360" w:lineRule="auto"/>
            <w:rPr>
              <w:rFonts w:ascii="Verdana" w:hAnsi="Verdana" w:cstheme="minorBidi"/>
              <w:kern w:val="2"/>
            </w:rPr>
          </w:pPr>
          <w:r>
            <w:fldChar w:fldCharType="begin"/>
          </w:r>
          <w:r>
            <w:instrText xml:space="preserve"> HYPERLINK \l "_Toc135044151" </w:instrText>
          </w:r>
          <w:r>
            <w:fldChar w:fldCharType="separate"/>
          </w:r>
          <w:r>
            <w:rPr>
              <w:rStyle w:val="12"/>
              <w:rFonts w:ascii="Verdana" w:hAnsi="Verdana" w:cs="Calibri"/>
            </w:rPr>
            <w:t>四、风险分析</w:t>
          </w:r>
          <w:r>
            <w:rPr>
              <w:rFonts w:ascii="Verdana" w:hAnsi="Verdana"/>
            </w:rPr>
            <w:tab/>
          </w:r>
          <w:r>
            <w:rPr>
              <w:rFonts w:ascii="Verdana" w:hAnsi="Verdana"/>
            </w:rPr>
            <w:fldChar w:fldCharType="begin"/>
          </w:r>
          <w:r>
            <w:rPr>
              <w:rFonts w:ascii="Verdana" w:hAnsi="Verdana"/>
            </w:rPr>
            <w:instrText xml:space="preserve"> PAGEREF _Toc135044151 \h </w:instrText>
          </w:r>
          <w:r>
            <w:rPr>
              <w:rFonts w:ascii="Verdana" w:hAnsi="Verdana"/>
            </w:rPr>
            <w:fldChar w:fldCharType="separate"/>
          </w:r>
          <w:r>
            <w:rPr>
              <w:rFonts w:ascii="Verdana" w:hAnsi="Verdana"/>
            </w:rPr>
            <w:t>16</w:t>
          </w:r>
          <w:r>
            <w:rPr>
              <w:rFonts w:ascii="Verdana" w:hAnsi="Verdana"/>
            </w:rPr>
            <w:fldChar w:fldCharType="end"/>
          </w:r>
          <w:r>
            <w:rPr>
              <w:rFonts w:ascii="Verdana" w:hAnsi="Verdana"/>
            </w:rPr>
            <w:fldChar w:fldCharType="end"/>
          </w:r>
        </w:p>
        <w:p>
          <w:pPr>
            <w:pStyle w:val="6"/>
            <w:spacing w:line="360" w:lineRule="auto"/>
            <w:rPr>
              <w:rFonts w:ascii="Verdana" w:hAnsi="Verdana" w:cstheme="minorBidi"/>
              <w:kern w:val="2"/>
            </w:rPr>
          </w:pPr>
          <w:r>
            <w:fldChar w:fldCharType="begin"/>
          </w:r>
          <w:r>
            <w:instrText xml:space="preserve"> HYPERLINK \l "_Toc135044152" </w:instrText>
          </w:r>
          <w:r>
            <w:fldChar w:fldCharType="separate"/>
          </w:r>
          <w:r>
            <w:rPr>
              <w:rStyle w:val="12"/>
              <w:rFonts w:ascii="Verdana" w:hAnsi="Verdana" w:cs="Calibri"/>
            </w:rPr>
            <w:t>五、评估结论</w:t>
          </w:r>
          <w:r>
            <w:rPr>
              <w:rFonts w:ascii="Verdana" w:hAnsi="Verdana"/>
            </w:rPr>
            <w:tab/>
          </w:r>
          <w:r>
            <w:rPr>
              <w:rFonts w:ascii="Verdana" w:hAnsi="Verdana"/>
            </w:rPr>
            <w:fldChar w:fldCharType="begin"/>
          </w:r>
          <w:r>
            <w:rPr>
              <w:rFonts w:ascii="Verdana" w:hAnsi="Verdana"/>
            </w:rPr>
            <w:instrText xml:space="preserve"> PAGEREF _Toc135044152 \h </w:instrText>
          </w:r>
          <w:r>
            <w:rPr>
              <w:rFonts w:ascii="Verdana" w:hAnsi="Verdana"/>
            </w:rPr>
            <w:fldChar w:fldCharType="separate"/>
          </w:r>
          <w:r>
            <w:rPr>
              <w:rFonts w:ascii="Verdana" w:hAnsi="Verdana"/>
            </w:rPr>
            <w:t>16</w:t>
          </w:r>
          <w:r>
            <w:rPr>
              <w:rFonts w:ascii="Verdana" w:hAnsi="Verdana"/>
            </w:rPr>
            <w:fldChar w:fldCharType="end"/>
          </w:r>
          <w:r>
            <w:rPr>
              <w:rFonts w:ascii="Verdana" w:hAnsi="Verdana"/>
            </w:rPr>
            <w:fldChar w:fldCharType="end"/>
          </w:r>
        </w:p>
        <w:p>
          <w:pPr>
            <w:pStyle w:val="6"/>
            <w:spacing w:line="360" w:lineRule="auto"/>
            <w:rPr>
              <w:rFonts w:ascii="Verdana" w:hAnsi="Verdana" w:cstheme="minorBidi"/>
              <w:kern w:val="2"/>
            </w:rPr>
          </w:pPr>
          <w:r>
            <w:fldChar w:fldCharType="begin"/>
          </w:r>
          <w:r>
            <w:instrText xml:space="preserve"> HYPERLINK \l "_Toc135044153" </w:instrText>
          </w:r>
          <w:r>
            <w:fldChar w:fldCharType="separate"/>
          </w:r>
          <w:r>
            <w:rPr>
              <w:rStyle w:val="12"/>
              <w:rFonts w:ascii="Verdana" w:hAnsi="Verdana" w:cs="Calibri"/>
            </w:rPr>
            <w:t>附件1：预期收益及成本分析</w:t>
          </w:r>
          <w:r>
            <w:rPr>
              <w:rFonts w:ascii="Verdana" w:hAnsi="Verdana"/>
            </w:rPr>
            <w:tab/>
          </w:r>
          <w:r>
            <w:rPr>
              <w:rFonts w:ascii="Verdana" w:hAnsi="Verdana"/>
            </w:rPr>
            <w:fldChar w:fldCharType="begin"/>
          </w:r>
          <w:r>
            <w:rPr>
              <w:rFonts w:ascii="Verdana" w:hAnsi="Verdana"/>
            </w:rPr>
            <w:instrText xml:space="preserve"> PAGEREF _Toc135044153 \h </w:instrText>
          </w:r>
          <w:r>
            <w:rPr>
              <w:rFonts w:ascii="Verdana" w:hAnsi="Verdana"/>
            </w:rPr>
            <w:fldChar w:fldCharType="separate"/>
          </w:r>
          <w:r>
            <w:rPr>
              <w:rFonts w:ascii="Verdana" w:hAnsi="Verdana"/>
            </w:rPr>
            <w:t>18</w:t>
          </w:r>
          <w:r>
            <w:rPr>
              <w:rFonts w:ascii="Verdana" w:hAnsi="Verdana"/>
            </w:rPr>
            <w:fldChar w:fldCharType="end"/>
          </w:r>
          <w:r>
            <w:rPr>
              <w:rFonts w:ascii="Verdana" w:hAnsi="Verdana"/>
            </w:rPr>
            <w:fldChar w:fldCharType="end"/>
          </w:r>
        </w:p>
        <w:p>
          <w:pPr>
            <w:pStyle w:val="6"/>
            <w:spacing w:line="360" w:lineRule="auto"/>
            <w:rPr>
              <w:rFonts w:ascii="Verdana" w:hAnsi="Verdana" w:cstheme="minorBidi"/>
              <w:kern w:val="2"/>
            </w:rPr>
          </w:pPr>
          <w:r>
            <w:fldChar w:fldCharType="begin"/>
          </w:r>
          <w:r>
            <w:instrText xml:space="preserve"> HYPERLINK \l "_Toc135044154" </w:instrText>
          </w:r>
          <w:r>
            <w:fldChar w:fldCharType="separate"/>
          </w:r>
          <w:r>
            <w:rPr>
              <w:rStyle w:val="12"/>
              <w:rFonts w:ascii="Verdana" w:hAnsi="Verdana" w:cs="Calibri"/>
            </w:rPr>
            <w:t>附件2：运营收入支出表</w:t>
          </w:r>
          <w:r>
            <w:rPr>
              <w:rFonts w:ascii="Verdana" w:hAnsi="Verdana"/>
            </w:rPr>
            <w:tab/>
          </w:r>
          <w:r>
            <w:rPr>
              <w:rFonts w:ascii="Verdana" w:hAnsi="Verdana"/>
            </w:rPr>
            <w:fldChar w:fldCharType="begin"/>
          </w:r>
          <w:r>
            <w:rPr>
              <w:rFonts w:ascii="Verdana" w:hAnsi="Verdana"/>
            </w:rPr>
            <w:instrText xml:space="preserve"> PAGEREF _Toc135044154 \h </w:instrText>
          </w:r>
          <w:r>
            <w:rPr>
              <w:rFonts w:ascii="Verdana" w:hAnsi="Verdana"/>
            </w:rPr>
            <w:fldChar w:fldCharType="separate"/>
          </w:r>
          <w:r>
            <w:rPr>
              <w:rFonts w:ascii="Verdana" w:hAnsi="Verdana"/>
            </w:rPr>
            <w:t>19</w:t>
          </w:r>
          <w:r>
            <w:rPr>
              <w:rFonts w:ascii="Verdana" w:hAnsi="Verdana"/>
            </w:rPr>
            <w:fldChar w:fldCharType="end"/>
          </w:r>
          <w:r>
            <w:rPr>
              <w:rFonts w:ascii="Verdana" w:hAnsi="Verdana"/>
            </w:rPr>
            <w:fldChar w:fldCharType="end"/>
          </w:r>
        </w:p>
        <w:p>
          <w:pPr>
            <w:pStyle w:val="6"/>
            <w:spacing w:line="360" w:lineRule="auto"/>
            <w:rPr>
              <w:rFonts w:ascii="Verdana" w:hAnsi="Verdana" w:cstheme="minorBidi"/>
              <w:kern w:val="2"/>
            </w:rPr>
          </w:pPr>
          <w:r>
            <w:fldChar w:fldCharType="begin"/>
          </w:r>
          <w:r>
            <w:instrText xml:space="preserve"> HYPERLINK \l "_Toc135044155" </w:instrText>
          </w:r>
          <w:r>
            <w:fldChar w:fldCharType="separate"/>
          </w:r>
          <w:r>
            <w:rPr>
              <w:rStyle w:val="12"/>
              <w:rFonts w:ascii="Verdana" w:hAnsi="Verdana" w:cs="Calibri"/>
            </w:rPr>
            <w:t>免责声明</w:t>
          </w:r>
          <w:r>
            <w:rPr>
              <w:rFonts w:ascii="Verdana" w:hAnsi="Verdana"/>
            </w:rPr>
            <w:tab/>
          </w:r>
          <w:r>
            <w:rPr>
              <w:rFonts w:ascii="Verdana" w:hAnsi="Verdana"/>
            </w:rPr>
            <w:fldChar w:fldCharType="begin"/>
          </w:r>
          <w:r>
            <w:rPr>
              <w:rFonts w:ascii="Verdana" w:hAnsi="Verdana"/>
            </w:rPr>
            <w:instrText xml:space="preserve"> PAGEREF _Toc135044155 \h </w:instrText>
          </w:r>
          <w:r>
            <w:rPr>
              <w:rFonts w:ascii="Verdana" w:hAnsi="Verdana"/>
            </w:rPr>
            <w:fldChar w:fldCharType="separate"/>
          </w:r>
          <w:r>
            <w:rPr>
              <w:rFonts w:ascii="Verdana" w:hAnsi="Verdana"/>
            </w:rPr>
            <w:t>20</w:t>
          </w:r>
          <w:r>
            <w:rPr>
              <w:rFonts w:ascii="Verdana" w:hAnsi="Verdana"/>
            </w:rPr>
            <w:fldChar w:fldCharType="end"/>
          </w:r>
          <w:r>
            <w:rPr>
              <w:rFonts w:ascii="Verdana" w:hAnsi="Verdana"/>
            </w:rPr>
            <w:fldChar w:fldCharType="end"/>
          </w:r>
        </w:p>
        <w:p>
          <w:pPr>
            <w:spacing w:line="360" w:lineRule="auto"/>
            <w:rPr>
              <w:rFonts w:ascii="Verdana" w:hAnsi="Verdana" w:eastAsia="华文细黑" w:cs="Calibri"/>
            </w:rPr>
          </w:pPr>
          <w:r>
            <w:rPr>
              <w:rFonts w:ascii="Verdana" w:hAnsi="Verdana" w:eastAsia="华文细黑" w:cs="Calibri"/>
              <w:bCs/>
              <w:szCs w:val="20"/>
            </w:rPr>
            <w:fldChar w:fldCharType="end"/>
          </w:r>
        </w:p>
      </w:sdtContent>
    </w:sdt>
    <w:p>
      <w:pPr>
        <w:spacing w:line="360" w:lineRule="auto"/>
        <w:rPr>
          <w:rFonts w:ascii="Verdana" w:hAnsi="Verdana" w:eastAsia="华文细黑" w:cs="Calibri"/>
        </w:rPr>
        <w:sectPr>
          <w:pgSz w:w="12240" w:h="15840"/>
          <w:pgMar w:top="1440" w:right="1800" w:bottom="1440" w:left="1800" w:header="708" w:footer="708" w:gutter="0"/>
          <w:cols w:space="720" w:num="1"/>
        </w:sectPr>
      </w:pPr>
    </w:p>
    <w:p>
      <w:pPr>
        <w:spacing w:after="160"/>
        <w:rPr>
          <w:rFonts w:ascii="Verdana" w:hAnsi="Verdana" w:eastAsia="华文细黑" w:cs="Calibri"/>
        </w:rPr>
      </w:pPr>
      <w:r>
        <w:rPr>
          <w:rFonts w:ascii="Verdana" w:hAnsi="Verdana" w:eastAsia="华文细黑" w:cs="Calibri"/>
        </w:rPr>
        <w:drawing>
          <wp:inline distT="0" distB="0" distL="0" distR="0">
            <wp:extent cx="1266190" cy="344170"/>
            <wp:effectExtent l="0" t="0" r="10160" b="17780"/>
            <wp:docPr id="1030" name="Picture 8"/>
            <wp:cNvGraphicFramePr/>
            <a:graphic xmlns:a="http://schemas.openxmlformats.org/drawingml/2006/main">
              <a:graphicData uri="http://schemas.openxmlformats.org/drawingml/2006/picture">
                <pic:pic xmlns:pic="http://schemas.openxmlformats.org/drawingml/2006/picture">
                  <pic:nvPicPr>
                    <pic:cNvPr id="1030" name="Picture 8"/>
                    <pic:cNvPicPr/>
                  </pic:nvPicPr>
                  <pic:blipFill>
                    <a:blip r:embed="rId22" cstate="print"/>
                    <a:srcRect/>
                    <a:stretch>
                      <a:fillRect/>
                    </a:stretch>
                  </pic:blipFill>
                  <pic:spPr>
                    <a:xfrm>
                      <a:off x="0" y="0"/>
                      <a:ext cx="1266190" cy="344170"/>
                    </a:xfrm>
                    <a:prstGeom prst="rect">
                      <a:avLst/>
                    </a:prstGeom>
                  </pic:spPr>
                </pic:pic>
              </a:graphicData>
            </a:graphic>
          </wp:inline>
        </w:drawing>
      </w:r>
      <w:r>
        <w:rPr>
          <w:rFonts w:ascii="Verdana" w:hAnsi="Verdana" w:eastAsia="华文细黑" w:cs="Calibri"/>
        </w:rPr>
        <w:t xml:space="preserve">                                                                  </w:t>
      </w:r>
      <w:r>
        <w:rPr>
          <w:rFonts w:ascii="Verdana" w:hAnsi="Verdana" w:eastAsia="华文细黑" w:cs="Calibri"/>
          <w:color w:val="FFFFFF"/>
        </w:rPr>
        <w:drawing>
          <wp:anchor distT="0" distB="0" distL="114300" distR="114300" simplePos="0" relativeHeight="251659264" behindDoc="0" locked="0" layoutInCell="1" allowOverlap="1">
            <wp:simplePos x="0" y="0"/>
            <wp:positionH relativeFrom="margin">
              <wp:align>right</wp:align>
            </wp:positionH>
            <wp:positionV relativeFrom="margin">
              <wp:align>top</wp:align>
            </wp:positionV>
            <wp:extent cx="534670" cy="260985"/>
            <wp:effectExtent l="0" t="0" r="17780" b="5715"/>
            <wp:wrapSquare wrapText="bothSides"/>
            <wp:docPr id="1031" name="Picture 8"/>
            <wp:cNvGraphicFramePr/>
            <a:graphic xmlns:a="http://schemas.openxmlformats.org/drawingml/2006/main">
              <a:graphicData uri="http://schemas.openxmlformats.org/drawingml/2006/picture">
                <pic:pic xmlns:pic="http://schemas.openxmlformats.org/drawingml/2006/picture">
                  <pic:nvPicPr>
                    <pic:cNvPr id="1031" name="Picture 8"/>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34670" cy="260985"/>
                    </a:xfrm>
                    <a:prstGeom prst="rect">
                      <a:avLst/>
                    </a:prstGeom>
                    <a:ln>
                      <a:noFill/>
                    </a:ln>
                  </pic:spPr>
                </pic:pic>
              </a:graphicData>
            </a:graphic>
          </wp:anchor>
        </w:drawing>
      </w:r>
    </w:p>
    <w:p>
      <w:pPr>
        <w:jc w:val="center"/>
        <w:rPr>
          <w:rFonts w:ascii="Verdana" w:hAnsi="Verdana" w:eastAsia="华文细黑" w:cs="Calibri"/>
          <w:b/>
          <w:sz w:val="32"/>
          <w:szCs w:val="32"/>
        </w:rPr>
      </w:pPr>
    </w:p>
    <w:p>
      <w:pPr>
        <w:spacing w:line="360" w:lineRule="auto"/>
        <w:jc w:val="center"/>
        <w:rPr>
          <w:rFonts w:ascii="Verdana" w:hAnsi="Verdana" w:eastAsia="华文细黑"/>
          <w:b/>
          <w:sz w:val="32"/>
          <w:szCs w:val="32"/>
        </w:rPr>
      </w:pPr>
      <w:r>
        <w:rPr>
          <w:rFonts w:ascii="Verdana" w:hAnsi="Verdana" w:eastAsia="华文细黑"/>
          <w:b/>
          <w:sz w:val="32"/>
          <w:szCs w:val="32"/>
        </w:rPr>
        <w:t>2023</w:t>
      </w:r>
      <w:r>
        <w:rPr>
          <w:rFonts w:hint="eastAsia" w:ascii="Verdana" w:hAnsi="Verdana" w:eastAsia="华文细黑"/>
          <w:b/>
          <w:sz w:val="32"/>
          <w:szCs w:val="32"/>
        </w:rPr>
        <w:t>年三亚市专项债券资金调剂项目</w:t>
      </w:r>
    </w:p>
    <w:p>
      <w:pPr>
        <w:spacing w:line="360" w:lineRule="auto"/>
        <w:jc w:val="center"/>
        <w:rPr>
          <w:rFonts w:ascii="Verdana" w:hAnsi="Verdana" w:eastAsia="华文细黑" w:cs="Calibri"/>
          <w:b/>
          <w:sz w:val="32"/>
          <w:szCs w:val="32"/>
        </w:rPr>
      </w:pPr>
      <w:r>
        <w:rPr>
          <w:rFonts w:ascii="Verdana" w:hAnsi="Verdana" w:eastAsia="华文细黑" w:cs="Calibri"/>
          <w:b/>
          <w:color w:val="000000"/>
          <w:sz w:val="32"/>
          <w:szCs w:val="32"/>
        </w:rPr>
        <w:t>财务评价咨询报告</w:t>
      </w:r>
    </w:p>
    <w:p>
      <w:pPr>
        <w:spacing w:before="120" w:after="120" w:line="360" w:lineRule="auto"/>
        <w:ind w:firstLine="641" w:firstLineChars="200"/>
        <w:jc w:val="both"/>
        <w:outlineLvl w:val="0"/>
        <w:rPr>
          <w:rFonts w:ascii="Verdana" w:hAnsi="Verdana" w:eastAsia="华文细黑" w:cs="Calibri"/>
          <w:b/>
        </w:rPr>
      </w:pPr>
      <w:bookmarkStart w:id="2" w:name="_Toc135044137"/>
      <w:r>
        <w:rPr>
          <w:rFonts w:ascii="Verdana" w:hAnsi="Verdana" w:eastAsia="华文细黑" w:cs="Calibri"/>
          <w:b/>
          <w:sz w:val="32"/>
          <w:szCs w:val="32"/>
        </w:rPr>
        <w:t>一、地区经济情况</w:t>
      </w:r>
      <w:bookmarkEnd w:id="2"/>
    </w:p>
    <w:p>
      <w:pPr>
        <w:spacing w:before="120" w:after="120" w:line="360" w:lineRule="auto"/>
        <w:ind w:firstLine="561" w:firstLineChars="200"/>
        <w:outlineLvl w:val="0"/>
        <w:rPr>
          <w:rFonts w:ascii="Verdana" w:hAnsi="Verdana" w:eastAsia="华文细黑" w:cs="Calibri"/>
          <w:b/>
          <w:sz w:val="28"/>
        </w:rPr>
      </w:pPr>
      <w:bookmarkStart w:id="3" w:name="_Toc28675796"/>
      <w:bookmarkStart w:id="4" w:name="_Toc4762883"/>
      <w:bookmarkStart w:id="5" w:name="_Toc38898997"/>
      <w:bookmarkStart w:id="6" w:name="_Toc39093417"/>
      <w:bookmarkStart w:id="7" w:name="_Toc4763009"/>
      <w:bookmarkStart w:id="8" w:name="_Toc25162473"/>
      <w:bookmarkStart w:id="9" w:name="_Toc38921586"/>
      <w:bookmarkStart w:id="10" w:name="_Toc135044138"/>
      <w:r>
        <w:rPr>
          <w:rFonts w:ascii="Verdana" w:hAnsi="Verdana" w:eastAsia="华文细黑" w:cs="Calibri"/>
          <w:b/>
          <w:sz w:val="28"/>
        </w:rPr>
        <w:t>1．地区生产总值</w:t>
      </w:r>
      <w:bookmarkEnd w:id="3"/>
      <w:bookmarkEnd w:id="4"/>
      <w:bookmarkEnd w:id="5"/>
      <w:bookmarkEnd w:id="6"/>
      <w:bookmarkEnd w:id="7"/>
      <w:bookmarkEnd w:id="8"/>
      <w:bookmarkEnd w:id="9"/>
      <w:bookmarkEnd w:id="10"/>
    </w:p>
    <w:p>
      <w:pPr>
        <w:spacing w:before="120" w:after="120" w:line="360" w:lineRule="auto"/>
        <w:ind w:firstLine="454"/>
        <w:jc w:val="both"/>
        <w:rPr>
          <w:rFonts w:ascii="Verdana" w:hAnsi="Verdana" w:eastAsia="华文细黑" w:cs="Calibri"/>
          <w:lang w:val="en-GB"/>
        </w:rPr>
      </w:pPr>
      <w:bookmarkStart w:id="11" w:name="_Toc25162474"/>
      <w:bookmarkStart w:id="12" w:name="_Toc4763010"/>
      <w:bookmarkStart w:id="13" w:name="_Toc4762884"/>
      <w:r>
        <w:rPr>
          <w:rFonts w:ascii="Verdana" w:hAnsi="Verdana" w:eastAsia="华文细黑" w:cs="Calibri"/>
          <w:lang w:val="en-GB"/>
        </w:rPr>
        <w:t>2019年，三亚市全年生产总值（GDP）677.86亿元，按可比价格计算，比上年增长6.4%。其中，第一产业增加值71.51亿元，增长3.7%；第二产业增加值112.37亿元，增长3.1%；第三产业增加值493.98亿元，增长7.6%。三次产业结构调整为10.5:16.6:72.9。</w:t>
      </w:r>
    </w:p>
    <w:p>
      <w:pPr>
        <w:spacing w:before="120" w:after="120" w:line="360" w:lineRule="auto"/>
        <w:ind w:firstLine="454"/>
        <w:jc w:val="both"/>
        <w:rPr>
          <w:rFonts w:ascii="Verdana" w:hAnsi="Verdana" w:eastAsia="华文细黑" w:cs="Calibri"/>
          <w:lang w:val="en-GB"/>
        </w:rPr>
      </w:pPr>
      <w:r>
        <w:rPr>
          <w:rFonts w:ascii="Verdana" w:hAnsi="Verdana" w:eastAsia="华文细黑" w:cs="Calibri"/>
          <w:lang w:val="en-GB"/>
        </w:rPr>
        <w:t>2020年，三亚市全年全市生产总值（GDP）695.41亿元，按可比价格计算，比上年增长3.1%。其中，第一产业增加值79.16亿元，增长2.2%；第二产业增加值113.30亿元，增长3.0%；第三产业增加值502.95亿元，增长3.2%。三次产业结构调整为11.4:16.3:72.3。</w:t>
      </w:r>
    </w:p>
    <w:p>
      <w:pPr>
        <w:spacing w:before="120" w:after="120" w:line="360" w:lineRule="auto"/>
        <w:ind w:firstLine="454"/>
        <w:jc w:val="both"/>
        <w:rPr>
          <w:rFonts w:ascii="Verdana" w:hAnsi="Verdana" w:eastAsia="华文细黑" w:cs="Calibri"/>
          <w:lang w:val="en-GB"/>
        </w:rPr>
      </w:pPr>
      <w:r>
        <w:rPr>
          <w:rFonts w:ascii="Verdana" w:hAnsi="Verdana" w:eastAsia="华文细黑" w:cs="Calibri"/>
          <w:lang w:val="en-GB"/>
        </w:rPr>
        <w:t>2021年全市地区生产总值（GDP）835.37亿元，按可比价格计算，比上年增长12.1%。其中，第一产业增加值93.79亿元，增长3.8%；第二产业增加值124.72亿元，增长0.1%；第三产业增加值616.86亿元，增长16.1%。三次产业结构调整为11.2:14.9:73.9。</w:t>
      </w:r>
    </w:p>
    <w:p>
      <w:pPr>
        <w:spacing w:before="120" w:after="120" w:line="360" w:lineRule="auto"/>
        <w:ind w:firstLine="454"/>
        <w:jc w:val="both"/>
        <w:rPr>
          <w:rFonts w:ascii="Verdana" w:hAnsi="Verdana" w:eastAsia="华文细黑" w:cs="Calibri"/>
          <w:lang w:val="en-GB"/>
        </w:rPr>
      </w:pPr>
      <w:r>
        <w:rPr>
          <w:rFonts w:ascii="Verdana" w:hAnsi="Verdana" w:eastAsia="华文细黑" w:cs="Calibri"/>
          <w:lang w:val="en-GB"/>
        </w:rPr>
        <w:t>2022年全市地区生产总值（GDP）847.11亿元，按不变价计算，同比下降4.5%，占全省地区生产总值的比重为12.4%。其中，第一产业增加值110.33亿元，同比增长1.1%；第二产业增加值114.77亿元，同比下降10.0%；第三产业增加值622.01亿元，同比下降4.2%。三次产业结构调整为13.0:13.6:73.4。</w:t>
      </w:r>
    </w:p>
    <w:p>
      <w:pPr>
        <w:spacing w:before="120" w:after="120" w:line="360" w:lineRule="auto"/>
        <w:ind w:firstLine="561" w:firstLineChars="200"/>
        <w:outlineLvl w:val="0"/>
        <w:rPr>
          <w:rFonts w:ascii="Verdana" w:hAnsi="Verdana" w:eastAsia="华文细黑" w:cs="Calibri"/>
          <w:b/>
          <w:sz w:val="28"/>
        </w:rPr>
      </w:pPr>
      <w:bookmarkStart w:id="14" w:name="_Toc28675797"/>
      <w:bookmarkStart w:id="15" w:name="_Toc38921587"/>
      <w:bookmarkStart w:id="16" w:name="_Toc38898998"/>
      <w:bookmarkStart w:id="17" w:name="_Toc135044139"/>
      <w:bookmarkStart w:id="18" w:name="_Toc39093418"/>
      <w:r>
        <w:rPr>
          <w:rFonts w:ascii="Verdana" w:hAnsi="Verdana" w:eastAsia="华文细黑" w:cs="Calibri"/>
          <w:b/>
          <w:sz w:val="28"/>
        </w:rPr>
        <w:t>2．地区人均年收入</w:t>
      </w:r>
      <w:bookmarkEnd w:id="11"/>
      <w:bookmarkEnd w:id="12"/>
      <w:bookmarkEnd w:id="13"/>
      <w:bookmarkEnd w:id="14"/>
      <w:bookmarkEnd w:id="15"/>
      <w:bookmarkEnd w:id="16"/>
      <w:bookmarkEnd w:id="17"/>
      <w:bookmarkEnd w:id="18"/>
    </w:p>
    <w:p>
      <w:pPr>
        <w:spacing w:before="120" w:after="120" w:line="360" w:lineRule="auto"/>
        <w:ind w:firstLine="454"/>
        <w:jc w:val="both"/>
        <w:rPr>
          <w:rFonts w:ascii="Verdana" w:hAnsi="Verdana" w:eastAsia="华文细黑" w:cs="Calibri"/>
          <w:lang w:val="en-GB"/>
        </w:rPr>
      </w:pPr>
      <w:bookmarkStart w:id="19" w:name="_Toc25162475"/>
      <w:bookmarkStart w:id="20" w:name="_Toc4762885"/>
      <w:bookmarkStart w:id="21" w:name="_Toc4763011"/>
      <w:r>
        <w:rPr>
          <w:rFonts w:ascii="Verdana" w:hAnsi="Verdana" w:eastAsia="华文细黑" w:cs="Calibri"/>
          <w:lang w:val="en-GB"/>
        </w:rPr>
        <w:t>2019年，三亚市全年城乡居民人均可支配收入33,130元，比上年增长8.7%。从收入来源看，工资性收入19,458元，增长9.0%；经营净收入6,223元，增长6.1%；财产净收入3,636元，增长8.9%；转移净收入3,815元，增长11.3%。按常住地分，城镇常住居民人均可支配收入39,308元，增长7.9%。其中，工资性收入24,273元，增长7.9%；经营净收入5,847元，增长6.5%；财产净收入4,631元，增长7.8%；转移净收入4,557元，增长10.2%。农村常住居民人均可支配收入17,027元，增长8.0%。其中，工资性收入6,905元，增长8.9%；经营净收入7,202元，增长5.9%；财产净收入1,041元，增长8.2%；转移净收入1,879元，增长12.4%。</w:t>
      </w:r>
    </w:p>
    <w:p>
      <w:pPr>
        <w:spacing w:before="120" w:after="120" w:line="360" w:lineRule="auto"/>
        <w:ind w:firstLine="454"/>
        <w:jc w:val="both"/>
        <w:rPr>
          <w:rFonts w:ascii="Verdana" w:hAnsi="Verdana" w:eastAsia="华文细黑" w:cs="Calibri"/>
          <w:lang w:val="en-GB"/>
        </w:rPr>
      </w:pPr>
      <w:r>
        <w:rPr>
          <w:rFonts w:ascii="Verdana" w:hAnsi="Verdana" w:eastAsia="华文细黑" w:cs="Calibri"/>
          <w:lang w:val="en-GB"/>
        </w:rPr>
        <w:t>2020年，三亚市全年城乡居民人均可支配收入34,642元，比上年增长4.6%。从收入来源看，工资性收入20,596元，增长5.0%；经营净收入5,664元，下降6.3%；财产净收入4,022元，增长10.0%；转移净收入4,361元，增长14.3%。按常住地分，城镇常住居民人均可支配收入40,547元，增长3.2%。其中，工资性收入25,285元，增长3.5%；经营净收入5,113元，下降10.9%；财产净收入5,017元，增长8.2%；转移净收入5,132元，增长13.9%。农村常住居民人均可支配收入18,389元，增长8.0%。其中，工资性收入7,689元，增长8.7%；经营净收入7,180元，增长5.0%；财产净收入1,282元，增长15.9%；转移净收入2,238元，增长11.3%。</w:t>
      </w:r>
    </w:p>
    <w:p>
      <w:pPr>
        <w:spacing w:before="120" w:after="120" w:line="360" w:lineRule="auto"/>
        <w:ind w:firstLine="454"/>
        <w:jc w:val="both"/>
        <w:rPr>
          <w:rFonts w:ascii="Verdana" w:hAnsi="Verdana" w:eastAsia="华文细黑" w:cs="Calibri"/>
          <w:lang w:val="en-GB"/>
        </w:rPr>
      </w:pPr>
      <w:r>
        <w:rPr>
          <w:rFonts w:ascii="Verdana" w:hAnsi="Verdana" w:eastAsia="华文细黑" w:cs="Calibri"/>
          <w:lang w:val="en-GB"/>
        </w:rPr>
        <w:t>2021年，三亚市全年城乡居民人均可支配收入37,762元，增长9.0%。按常住地分，城镇常住居民人均可支配收入44,199元，增长9.0%；农村常住居民人均可支配收入20,413元，增长11.0%。</w:t>
      </w:r>
    </w:p>
    <w:p>
      <w:pPr>
        <w:spacing w:before="120" w:after="120" w:line="360" w:lineRule="auto"/>
        <w:ind w:firstLine="454"/>
        <w:jc w:val="both"/>
        <w:rPr>
          <w:rFonts w:ascii="Verdana" w:hAnsi="Verdana" w:eastAsia="华文细黑" w:cs="Calibri"/>
          <w:lang w:val="en-GB"/>
        </w:rPr>
      </w:pPr>
      <w:r>
        <w:rPr>
          <w:rFonts w:ascii="Verdana" w:hAnsi="Verdana" w:eastAsia="华文细黑" w:cs="Calibri"/>
          <w:lang w:val="en-GB"/>
        </w:rPr>
        <w:t>2022年，三亚市城乡居民人均可支配收入37,504元，比上年下降0.7%。按常住地分，城镇常住居民人均可支配收入43403元，下降1.8%。农村常住居民人均可支配收入21189元，增长3.8%。</w:t>
      </w:r>
    </w:p>
    <w:p>
      <w:pPr>
        <w:spacing w:before="120" w:after="120" w:line="360" w:lineRule="auto"/>
        <w:ind w:firstLine="561" w:firstLineChars="200"/>
        <w:outlineLvl w:val="0"/>
        <w:rPr>
          <w:rFonts w:ascii="Verdana" w:hAnsi="Verdana" w:eastAsia="华文细黑" w:cs="Calibri"/>
          <w:b/>
          <w:sz w:val="28"/>
        </w:rPr>
      </w:pPr>
      <w:bookmarkStart w:id="22" w:name="_Toc28675798"/>
      <w:bookmarkStart w:id="23" w:name="_Toc38898999"/>
      <w:bookmarkStart w:id="24" w:name="_Toc135044140"/>
      <w:bookmarkStart w:id="25" w:name="_Toc39093419"/>
      <w:bookmarkStart w:id="26" w:name="_Toc38921588"/>
      <w:r>
        <w:rPr>
          <w:rFonts w:ascii="Verdana" w:hAnsi="Verdana" w:eastAsia="华文细黑" w:cs="Calibri"/>
          <w:b/>
          <w:sz w:val="28"/>
        </w:rPr>
        <w:t>3．一般公共预算收支</w:t>
      </w:r>
      <w:bookmarkEnd w:id="19"/>
      <w:bookmarkEnd w:id="20"/>
      <w:bookmarkEnd w:id="21"/>
      <w:bookmarkEnd w:id="22"/>
      <w:bookmarkEnd w:id="23"/>
      <w:bookmarkEnd w:id="24"/>
      <w:bookmarkEnd w:id="25"/>
      <w:bookmarkEnd w:id="26"/>
    </w:p>
    <w:p>
      <w:pPr>
        <w:spacing w:before="120" w:after="120" w:line="360" w:lineRule="auto"/>
        <w:ind w:firstLine="454"/>
        <w:jc w:val="both"/>
        <w:rPr>
          <w:rFonts w:ascii="Verdana" w:hAnsi="Verdana" w:eastAsia="华文细黑" w:cs="Calibri"/>
          <w:lang w:val="en-GB"/>
        </w:rPr>
      </w:pPr>
      <w:r>
        <w:rPr>
          <w:rFonts w:ascii="Verdana" w:hAnsi="Verdana" w:eastAsia="华文细黑" w:cs="Calibri"/>
          <w:lang w:val="en-GB"/>
        </w:rPr>
        <w:t>2019年，三亚市实现地方一般公共预算收入109.10亿元，比上年增长8.6%。其中，税收收入76.42亿元，增长0.3%；非税收收入32.68亿元，增长34.7%。税收收入中，增值税17.99亿元，下降19.5%；企业所得税14.04亿元，下降9.9%；土地增值税19.07亿元，增长39.3%；契税5.12亿元，增长34.4%；房产税6.19亿元，下降10.2%；城镇土地使用税3.50亿元，下降17.8%；城市维护建设税3.10亿元，下降17.7%；个人所得税2.58亿元，下降28.2%。三亚市地方一般公共预算支出215.39亿元，比上年增长20.5%。与民生相关的支出中，住房保障支出30.12亿元，增长33.1%；城乡社区事务31.96亿元，增长20.3%；节能环保8.41亿元，增长6.0%；教育22.41亿元，增长6.1%；卫生健康11.88亿元，增长21.5%。</w:t>
      </w:r>
    </w:p>
    <w:p>
      <w:pPr>
        <w:spacing w:before="120" w:after="120" w:line="360" w:lineRule="auto"/>
        <w:ind w:firstLine="454"/>
        <w:jc w:val="both"/>
        <w:rPr>
          <w:rFonts w:ascii="Verdana" w:hAnsi="Verdana" w:eastAsia="华文细黑" w:cs="Calibri"/>
          <w:lang w:val="en-GB"/>
        </w:rPr>
      </w:pPr>
      <w:r>
        <w:rPr>
          <w:rFonts w:ascii="Verdana" w:hAnsi="Verdana" w:eastAsia="华文细黑" w:cs="Calibri"/>
          <w:lang w:val="en-GB"/>
        </w:rPr>
        <w:t>2020年，三亚市实现地方一般公共预算收入110.41亿元，比上年增长1.2%。其中，税收收入62.03亿元，下降18.8%；非税收收入48.39亿元，增长48.1%。税收收入中，增值税16.31亿元，下降9.3%；企业所得税12.73亿元，下降9.4%；土地增值税14.49亿元，下降24.0%；契税4.37亿元，下降14.8%；房产税4.21亿元，下降32.0%；城镇土地使用税2.63亿元，下降24.8%；城市维护建设税2.83亿元，下降8.5%；个人所得税2.06亿元，下降20.2%。全市地方一般公共预算支出199.68亿元，比上年下降7.3%。与民生相关的支出中，卫生健康支出17.83亿元，增长50.1%；教育支出23.71亿元，增长5.8%；节能环保支出8.54亿元，增长1.6%；城乡社区支出32.12亿元，增长0.5%。</w:t>
      </w:r>
    </w:p>
    <w:p>
      <w:pPr>
        <w:spacing w:before="120" w:after="120" w:line="360" w:lineRule="auto"/>
        <w:ind w:firstLine="454"/>
        <w:jc w:val="both"/>
        <w:rPr>
          <w:rFonts w:ascii="Verdana" w:hAnsi="Verdana" w:eastAsia="华文细黑" w:cs="Calibri"/>
          <w:lang w:val="en-GB"/>
        </w:rPr>
      </w:pPr>
      <w:r>
        <w:rPr>
          <w:rFonts w:ascii="Verdana" w:hAnsi="Verdana" w:eastAsia="华文细黑" w:cs="Calibri"/>
          <w:lang w:val="en-GB"/>
        </w:rPr>
        <w:t>2021年，全市实现地方一般公共预算收入117.14亿元，比上年增长6.1%。其中，税收收入83.56亿元，增长34.7%；非税收收入33.58亿元，下降30.6%。税收收入中，增值税21.67亿元，增长32.8%；企业所得税18.37亿元，增长44.3%；土地增值税15.98亿元，增长10.3%；契税5.25亿元，增长20.3%；房产税6.68亿元，增长58.7%；城镇土地使用税3.39亿元，增长28.9%；城市维护建设税4.00亿元，增长41.1%；个人所得税5.97亿元，增长189.6%。全市地方一般公共预算支出202.38亿元，比上年增长1.4%。其中，卫生健康支出12.12亿元，下降32.0%；教育支出24.23亿元，增长2.2%；节能环保支出8.58亿元，增长0.4%；城乡社区支出43.19亿元，增长34.5%。</w:t>
      </w:r>
    </w:p>
    <w:p>
      <w:pPr>
        <w:spacing w:before="120" w:after="120" w:line="360" w:lineRule="auto"/>
        <w:ind w:firstLine="454"/>
        <w:jc w:val="both"/>
        <w:rPr>
          <w:rFonts w:ascii="Verdana" w:hAnsi="Verdana" w:eastAsia="华文细黑" w:cs="Calibri"/>
          <w:lang w:val="en-GB"/>
        </w:rPr>
      </w:pPr>
      <w:r>
        <w:rPr>
          <w:rFonts w:ascii="Verdana" w:hAnsi="Verdana" w:eastAsia="华文细黑" w:cs="Calibri"/>
          <w:lang w:val="en-GB"/>
        </w:rPr>
        <w:t>2022年，全市实现地方一般公共预算收入98.02亿元，比上年下降（同口径计算，下同）14.1%。其中，税收收入59.74亿元，下降25.3%；非税收收入38.27亿元，增长14.0%。税收收入中，增值税8.58亿元，下降47.1%；企业所得税13.73亿元，下降25.3%；土地增值税12.37亿元，下降22.6%；契税3.36亿元，下降36.0%；房产税5.25亿元，下降21.3%；城镇土地使用税3.03亿元，下降10.6%；城市维护建设税2.96亿元，下降26.0%；个人所得税6.92亿元，增长16.0%。全市地方一般公共预算支出228.95亿元，比上年增长13.1%。其中，卫生健康支出34.34亿元，增长1.8倍；教育支出24.68亿元，增长1.8%；节能环保支出7.44亿元，下降13.2%；社会保障和就业支出14.72亿元，增长10.2%；城乡社区支出43.99亿元，增长1.8%。</w:t>
      </w:r>
    </w:p>
    <w:p>
      <w:pPr>
        <w:spacing w:before="120" w:after="120" w:line="360" w:lineRule="auto"/>
        <w:ind w:firstLine="561" w:firstLineChars="200"/>
        <w:outlineLvl w:val="0"/>
        <w:rPr>
          <w:rFonts w:ascii="Verdana" w:hAnsi="Verdana" w:eastAsia="华文细黑" w:cs="Calibri"/>
          <w:b/>
          <w:sz w:val="28"/>
        </w:rPr>
      </w:pPr>
      <w:bookmarkStart w:id="27" w:name="_Toc28675799"/>
      <w:bookmarkStart w:id="28" w:name="_Toc25162476"/>
      <w:bookmarkStart w:id="29" w:name="_Toc4762886"/>
      <w:bookmarkStart w:id="30" w:name="_Toc4763012"/>
      <w:bookmarkStart w:id="31" w:name="_Toc38921589"/>
      <w:bookmarkStart w:id="32" w:name="_Toc135044141"/>
      <w:bookmarkStart w:id="33" w:name="_Toc39093420"/>
      <w:bookmarkStart w:id="34" w:name="_Toc38899000"/>
      <w:r>
        <w:rPr>
          <w:rFonts w:ascii="Verdana" w:hAnsi="Verdana" w:eastAsia="华文细黑" w:cs="Calibri"/>
          <w:b/>
          <w:sz w:val="28"/>
        </w:rPr>
        <w:t>4．政府性基金预算收支</w:t>
      </w:r>
      <w:bookmarkEnd w:id="27"/>
      <w:bookmarkEnd w:id="28"/>
      <w:bookmarkEnd w:id="29"/>
      <w:bookmarkEnd w:id="30"/>
      <w:bookmarkEnd w:id="31"/>
      <w:bookmarkEnd w:id="32"/>
      <w:bookmarkEnd w:id="33"/>
      <w:bookmarkEnd w:id="34"/>
    </w:p>
    <w:p>
      <w:pPr>
        <w:spacing w:before="120" w:after="120" w:line="360" w:lineRule="auto"/>
        <w:ind w:firstLine="454"/>
        <w:jc w:val="both"/>
        <w:rPr>
          <w:rFonts w:ascii="Verdana" w:hAnsi="Verdana" w:eastAsia="华文细黑" w:cs="Calibri"/>
          <w:lang w:val="en-GB"/>
        </w:rPr>
      </w:pPr>
      <w:r>
        <w:rPr>
          <w:rFonts w:ascii="Verdana" w:hAnsi="Verdana" w:eastAsia="华文细黑" w:cs="Calibri"/>
          <w:lang w:val="en-GB"/>
        </w:rPr>
        <w:t>2019年，三亚市地方政府性基金预算收入102.08亿元，完成预算100.7%，增收50.26亿元，增长97.0%，加上省代理地方政府发行新增债券收入43亿元、再融资债券收入7.8亿元、转移性收入0.63亿元和上年结余结转收入0.72亿元，三亚市地方政府性基金预算总收入154.23亿元，增收72.09亿元，增长87.8%。三亚市地方政府性基金预算支出132.66亿元，完成预算98.6%，增支51.55亿元，增长63.6%，加上中央和省代理地方政府发行债券还本支出10.15亿元、调出资金8.06亿元，三亚市地方政府性基金预算总支出150.87亿元，增支69.44亿元，增长85.3%。收支相抵，年终结余3.36亿元。</w:t>
      </w:r>
    </w:p>
    <w:p>
      <w:pPr>
        <w:spacing w:before="120" w:after="120" w:line="360" w:lineRule="auto"/>
        <w:ind w:firstLine="454"/>
        <w:jc w:val="both"/>
        <w:rPr>
          <w:rFonts w:ascii="Verdana" w:hAnsi="Verdana" w:eastAsia="华文细黑" w:cs="Calibri"/>
          <w:lang w:val="en-GB"/>
        </w:rPr>
      </w:pPr>
      <w:r>
        <w:rPr>
          <w:rFonts w:ascii="Verdana" w:hAnsi="Verdana" w:eastAsia="华文细黑" w:cs="Calibri"/>
          <w:lang w:val="en-GB"/>
        </w:rPr>
        <w:t>2020年，三亚市地方政府性基金预算收入110.2亿元，增收8.1亿元，增长8.0%，加上省代理地方政府发行新增专项债券收入62.4亿元、抗疫特别国债收入22.5亿元、再融资债券收入8.0亿元、转移性收入0.9亿元和上年结余结转收入3.4亿元，全市地方政府性基金预算总收入207.4亿元，增收53.2亿元，增长34.5%。全市地方政府性基金预算支出189.7亿元，增支57.0亿元，增长43.0%，加上中央和省代理地方政府发行债券还本支出9.3亿元、调出资金2.6亿元，全市地方政府性基金预算总支出201.6亿元，增支50.8亿元，增长33.7%。收支相抵，年终结余5.8亿元。</w:t>
      </w:r>
    </w:p>
    <w:p>
      <w:pPr>
        <w:spacing w:before="120" w:after="120" w:line="360" w:lineRule="auto"/>
        <w:ind w:firstLine="454"/>
        <w:jc w:val="both"/>
        <w:rPr>
          <w:rFonts w:ascii="Verdana" w:hAnsi="Verdana" w:eastAsia="华文细黑" w:cs="Calibri"/>
          <w:lang w:val="en-GB"/>
        </w:rPr>
      </w:pPr>
      <w:r>
        <w:rPr>
          <w:rFonts w:ascii="Verdana" w:hAnsi="Verdana" w:eastAsia="华文细黑" w:cs="Calibri"/>
          <w:lang w:val="en-GB"/>
        </w:rPr>
        <w:t>2021年，三亚市地方政府性基金预算收入97.1亿元，下降11.9%，加上新增专项债券收入85.1亿元、再融资债券收入6.9亿元、上级补助收入17.4亿元和上年结余收入5.8亿元，全市地方政府性基金预算总收入212.3亿元。全市地方政府性基金预算支出170.8亿元，下降10.0%，加上调出资金0.7亿元、地方政府债券还本支出23.0亿元，全市地方政府性基金预算总支出194.5亿元。收支相抵，年终结余结转17.8亿元。</w:t>
      </w:r>
    </w:p>
    <w:p>
      <w:pPr>
        <w:spacing w:before="120" w:after="120" w:line="360" w:lineRule="auto"/>
        <w:ind w:firstLine="454"/>
        <w:jc w:val="both"/>
        <w:rPr>
          <w:rFonts w:ascii="Verdana" w:hAnsi="Verdana" w:eastAsia="华文细黑" w:cs="Calibri"/>
          <w:lang w:val="en-GB"/>
        </w:rPr>
      </w:pPr>
      <w:r>
        <w:rPr>
          <w:rFonts w:ascii="Verdana" w:hAnsi="Verdana" w:eastAsia="华文细黑" w:cs="Calibri"/>
          <w:lang w:val="en-GB"/>
        </w:rPr>
        <w:t>2022年，三亚市地方政府性基金预算收入136.0亿元，增长40.0%，加上上级补助收入3.5亿元、再融资债券收入21.4亿元和上年结余收入17.8亿元，全市地方政府性基金预算总收入178.7亿元。全市地方政府性基金预算支出152.9亿元，下降10.5%，加上地方政府债券还本支出25.3亿元，全市地方政府性基金预算总支出178.2亿元。收支相抵，年终结余结转0.5亿元。</w:t>
      </w:r>
    </w:p>
    <w:p>
      <w:pPr>
        <w:spacing w:before="120" w:after="120" w:line="360" w:lineRule="auto"/>
        <w:ind w:firstLine="561" w:firstLineChars="200"/>
        <w:outlineLvl w:val="0"/>
        <w:rPr>
          <w:rFonts w:ascii="Verdana" w:hAnsi="Verdana" w:eastAsia="华文细黑" w:cs="Calibri"/>
          <w:b/>
          <w:sz w:val="28"/>
        </w:rPr>
      </w:pPr>
      <w:bookmarkStart w:id="35" w:name="_Toc67236217"/>
      <w:bookmarkStart w:id="36" w:name="_Toc48670854"/>
      <w:bookmarkStart w:id="37" w:name="_Toc135044142"/>
      <w:bookmarkStart w:id="38" w:name="_Toc44234642"/>
      <w:bookmarkStart w:id="39" w:name="_Toc67288041"/>
      <w:bookmarkStart w:id="40" w:name="_Toc86675295"/>
      <w:bookmarkStart w:id="41" w:name="_Toc67291438"/>
      <w:r>
        <w:rPr>
          <w:rFonts w:ascii="Verdana" w:hAnsi="Verdana" w:eastAsia="华文细黑" w:cs="Calibri"/>
          <w:b/>
          <w:sz w:val="28"/>
        </w:rPr>
        <w:t>5．地方政府债务情况</w:t>
      </w:r>
      <w:bookmarkEnd w:id="35"/>
      <w:bookmarkEnd w:id="36"/>
      <w:bookmarkEnd w:id="37"/>
      <w:bookmarkEnd w:id="38"/>
      <w:bookmarkEnd w:id="39"/>
      <w:bookmarkEnd w:id="40"/>
      <w:bookmarkEnd w:id="41"/>
    </w:p>
    <w:p>
      <w:pPr>
        <w:spacing w:before="120" w:after="120" w:line="360" w:lineRule="auto"/>
        <w:ind w:firstLine="454"/>
        <w:jc w:val="both"/>
        <w:rPr>
          <w:rFonts w:ascii="Verdana" w:hAnsi="Verdana" w:eastAsia="华文细黑" w:cs="Calibri"/>
          <w:lang w:val="en-GB"/>
        </w:rPr>
      </w:pPr>
      <w:r>
        <w:rPr>
          <w:rFonts w:ascii="Verdana" w:hAnsi="Verdana" w:eastAsia="华文细黑" w:cs="Calibri"/>
          <w:lang w:val="en-GB"/>
        </w:rPr>
        <w:t>2019年，海南省财政厅下达给三亚市的债务限额为285.17亿元，其中，一般债务限额124.51亿元，专项债券限额160.67亿元。2019年底三亚市债务余额282.69亿元，其中一般债务余额124.38亿元，专项债务余额158.31亿元。</w:t>
      </w:r>
    </w:p>
    <w:p>
      <w:pPr>
        <w:spacing w:before="120" w:after="120" w:line="360" w:lineRule="auto"/>
        <w:ind w:firstLine="454"/>
        <w:jc w:val="both"/>
        <w:rPr>
          <w:rFonts w:ascii="Verdana" w:hAnsi="Verdana" w:eastAsia="华文细黑" w:cs="Calibri"/>
          <w:lang w:val="en-GB"/>
        </w:rPr>
      </w:pPr>
      <w:r>
        <w:rPr>
          <w:rFonts w:ascii="Verdana" w:hAnsi="Verdana" w:eastAsia="华文细黑" w:cs="Calibri"/>
          <w:lang w:val="en-GB"/>
        </w:rPr>
        <w:t>2020年，海南省财政厅下达给三亚市的债务限额为353.69亿元，其中，一般债务限额132.98亿元，专项债券限额220.71亿元。2020年底三亚市债务余额351.76亿元，其中一般债务余额132.41亿元，专项债务余额219.35亿元。</w:t>
      </w:r>
    </w:p>
    <w:p>
      <w:pPr>
        <w:spacing w:before="120" w:after="120" w:line="360" w:lineRule="auto"/>
        <w:ind w:firstLine="454"/>
        <w:jc w:val="both"/>
        <w:rPr>
          <w:rFonts w:ascii="Verdana" w:hAnsi="Verdana" w:eastAsia="华文细黑" w:cs="Calibri"/>
          <w:lang w:val="en-GB"/>
        </w:rPr>
      </w:pPr>
      <w:r>
        <w:rPr>
          <w:rFonts w:ascii="Verdana" w:hAnsi="Verdana" w:eastAsia="华文细黑" w:cs="Calibri"/>
          <w:lang w:val="en-GB"/>
        </w:rPr>
        <w:t>2021年，海南省财政厅下达给三亚市的债务限额为430.97亿元，其中，一般限额142.69亿元，专项限额288.28亿元。2021年底三亚市债务余额417.54亿元，其中一般债务余额138.74亿元，专项债务余额278.80亿元。</w:t>
      </w:r>
    </w:p>
    <w:p>
      <w:pPr>
        <w:spacing w:before="120" w:after="120" w:line="360" w:lineRule="auto"/>
        <w:ind w:firstLine="454"/>
        <w:jc w:val="both"/>
        <w:rPr>
          <w:rFonts w:ascii="Verdana" w:hAnsi="Verdana" w:eastAsia="华文细黑" w:cs="Calibri"/>
        </w:rPr>
      </w:pPr>
      <w:r>
        <w:rPr>
          <w:rFonts w:ascii="Verdana" w:hAnsi="Verdana" w:eastAsia="华文细黑" w:cs="Calibri"/>
          <w:lang w:val="en-GB"/>
        </w:rPr>
        <w:t>2022年，海南省财政厅下达给三亚市的债务限额为513.75亿元，其中，一般限额148.46亿元，专项限额365.28亿元。</w:t>
      </w:r>
    </w:p>
    <w:p>
      <w:pPr>
        <w:spacing w:before="120" w:after="120" w:line="360" w:lineRule="auto"/>
        <w:ind w:firstLine="641" w:firstLineChars="200"/>
        <w:jc w:val="both"/>
        <w:outlineLvl w:val="0"/>
        <w:rPr>
          <w:rFonts w:ascii="Verdana" w:hAnsi="Verdana" w:eastAsia="华文细黑" w:cs="Calibri"/>
          <w:b/>
          <w:sz w:val="32"/>
          <w:szCs w:val="32"/>
        </w:rPr>
      </w:pPr>
      <w:bookmarkStart w:id="42" w:name="_Toc135044143"/>
      <w:r>
        <w:rPr>
          <w:rFonts w:ascii="Verdana" w:hAnsi="Verdana" w:eastAsia="华文细黑" w:cs="Calibri"/>
          <w:b/>
          <w:sz w:val="32"/>
          <w:szCs w:val="32"/>
        </w:rPr>
        <w:t>二、项目概述</w:t>
      </w:r>
      <w:bookmarkEnd w:id="42"/>
    </w:p>
    <w:p>
      <w:pPr>
        <w:spacing w:before="120" w:after="120" w:line="360" w:lineRule="auto"/>
        <w:ind w:firstLine="454"/>
        <w:jc w:val="both"/>
        <w:rPr>
          <w:rFonts w:ascii="Verdana" w:hAnsi="Verdana" w:eastAsia="华文细黑" w:cs="Calibri"/>
          <w:lang w:val="en-GB"/>
        </w:rPr>
      </w:pPr>
      <w:r>
        <w:rPr>
          <w:rFonts w:ascii="Verdana" w:hAnsi="Verdana" w:eastAsia="华文细黑" w:cs="Calibri"/>
          <w:lang w:val="en-GB"/>
        </w:rPr>
        <w:t>三亚又称“鹿城”，位于海南岛南端，东邻陵水县，西接乐东县，北毗保亭县，南临南海。1984年5月，经国务院批准撤销崖县设立县级三亚市，1987年三亚升格为地级市。2014年2月，国务院批复三亚市撤六镇新设四区，2015年1月，三亚市新设立的四个区正式挂牌成立。全市辖海棠、吉阳、天涯、崖州4个行政区，陆地总面积1,921平方公里，海域面积3,226平方公里，共有居委会57个，村委会92个，自然村491个。海岸线263公里，有19个港湾、10个主要岛屿、11条独流入海的河流。城区建成区面积53.67平方公里。</w:t>
      </w:r>
    </w:p>
    <w:p>
      <w:pPr>
        <w:spacing w:before="120" w:after="120" w:line="360" w:lineRule="auto"/>
        <w:ind w:firstLine="454"/>
        <w:jc w:val="both"/>
        <w:rPr>
          <w:rFonts w:ascii="Verdana" w:hAnsi="Verdana" w:eastAsia="华文细黑" w:cs="Calibri"/>
          <w:lang w:val="en-GB"/>
        </w:rPr>
      </w:pPr>
      <w:r>
        <w:rPr>
          <w:rFonts w:ascii="Verdana" w:hAnsi="Verdana" w:eastAsia="华文细黑" w:cs="Calibri"/>
          <w:lang w:val="en-GB"/>
        </w:rPr>
        <w:t>2023年三亚市专项债券资金调剂项目——</w:t>
      </w:r>
      <w:r>
        <w:rPr>
          <w:rFonts w:hint="eastAsia" w:ascii="Verdana" w:hAnsi="Verdana" w:eastAsia="华文细黑" w:cs="Calibri"/>
          <w:lang w:val="en-GB"/>
        </w:rPr>
        <w:t>吉阳区新村社区饮水巩固提升工程</w:t>
      </w:r>
      <w:r>
        <w:rPr>
          <w:rFonts w:ascii="Verdana" w:hAnsi="Verdana" w:eastAsia="华文细黑" w:cs="Calibri"/>
          <w:lang w:val="en-GB"/>
        </w:rPr>
        <w:t>（以下简称“本项目”）符合国家政策和三亚市基础设施事业的发展，此次调剂共涉及</w:t>
      </w:r>
      <w:r>
        <w:rPr>
          <w:rFonts w:ascii="Verdana" w:hAnsi="Verdana" w:eastAsia="华文细黑" w:cs="Calibri"/>
        </w:rPr>
        <w:t>1</w:t>
      </w:r>
      <w:r>
        <w:rPr>
          <w:rFonts w:ascii="Verdana" w:hAnsi="Verdana" w:eastAsia="华文细黑" w:cs="Calibri"/>
          <w:lang w:val="en-GB"/>
        </w:rPr>
        <w:t>个项目。</w:t>
      </w:r>
    </w:p>
    <w:p>
      <w:pPr>
        <w:pStyle w:val="15"/>
        <w:numPr>
          <w:numId w:val="0"/>
        </w:numPr>
        <w:spacing w:before="120" w:after="120" w:line="360" w:lineRule="auto"/>
        <w:ind w:leftChars="0" w:firstLine="280" w:firstLineChars="100"/>
        <w:outlineLvl w:val="0"/>
        <w:rPr>
          <w:rFonts w:ascii="Verdana" w:hAnsi="Verdana" w:eastAsia="华文细黑" w:cs="Calibri"/>
          <w:b/>
          <w:sz w:val="28"/>
        </w:rPr>
      </w:pPr>
      <w:r>
        <w:rPr>
          <w:rFonts w:hint="eastAsia" w:ascii="Verdana" w:hAnsi="Verdana" w:eastAsia="华文细黑" w:cs="Calibri"/>
          <w:b/>
          <w:sz w:val="28"/>
          <w:lang w:val="en-US" w:eastAsia="zh-CN"/>
        </w:rPr>
        <w:t>1.</w:t>
      </w:r>
      <w:r>
        <w:rPr>
          <w:rFonts w:ascii="Verdana" w:hAnsi="Verdana" w:eastAsia="华文细黑" w:cs="Calibri"/>
          <w:b/>
          <w:sz w:val="28"/>
        </w:rPr>
        <w:t>项目基本情况如下：</w:t>
      </w:r>
    </w:p>
    <w:tbl>
      <w:tblPr>
        <w:tblStyle w:val="10"/>
        <w:tblW w:w="8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1968"/>
        <w:gridCol w:w="5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blHeader/>
        </w:trPr>
        <w:tc>
          <w:tcPr>
            <w:tcW w:w="731" w:type="dxa"/>
            <w:shd w:val="clear" w:color="auto" w:fill="0070C0"/>
            <w:vAlign w:val="center"/>
          </w:tcPr>
          <w:p>
            <w:pPr>
              <w:widowControl w:val="0"/>
              <w:snapToGrid w:val="0"/>
              <w:jc w:val="center"/>
              <w:rPr>
                <w:rFonts w:ascii="Verdana" w:hAnsi="Verdana" w:eastAsia="华文细黑" w:cs="仿宋_GB2312"/>
                <w:b/>
                <w:bCs/>
                <w:color w:val="FFFFFF" w:themeColor="background1"/>
                <w:sz w:val="20"/>
                <w:szCs w:val="20"/>
                <w14:textFill>
                  <w14:solidFill>
                    <w14:schemeClr w14:val="bg1"/>
                  </w14:solidFill>
                </w14:textFill>
              </w:rPr>
            </w:pPr>
            <w:r>
              <w:rPr>
                <w:rFonts w:ascii="Verdana" w:hAnsi="Verdana" w:eastAsia="华文细黑" w:cs="仿宋_GB2312"/>
                <w:b/>
                <w:bCs/>
                <w:color w:val="FFFFFF" w:themeColor="background1"/>
                <w:sz w:val="20"/>
                <w:szCs w:val="20"/>
                <w14:textFill>
                  <w14:solidFill>
                    <w14:schemeClr w14:val="bg1"/>
                  </w14:solidFill>
                </w14:textFill>
              </w:rPr>
              <w:t>序号</w:t>
            </w:r>
          </w:p>
        </w:tc>
        <w:tc>
          <w:tcPr>
            <w:tcW w:w="1968" w:type="dxa"/>
            <w:shd w:val="clear" w:color="auto" w:fill="0070C0"/>
            <w:vAlign w:val="center"/>
          </w:tcPr>
          <w:p>
            <w:pPr>
              <w:widowControl w:val="0"/>
              <w:snapToGrid w:val="0"/>
              <w:jc w:val="center"/>
              <w:rPr>
                <w:rFonts w:ascii="Verdana" w:hAnsi="Verdana" w:eastAsia="华文细黑" w:cs="仿宋_GB2312"/>
                <w:b/>
                <w:bCs/>
                <w:color w:val="FFFFFF" w:themeColor="background1"/>
                <w:sz w:val="20"/>
                <w:szCs w:val="20"/>
                <w14:textFill>
                  <w14:solidFill>
                    <w14:schemeClr w14:val="bg1"/>
                  </w14:solidFill>
                </w14:textFill>
              </w:rPr>
            </w:pPr>
            <w:r>
              <w:rPr>
                <w:rFonts w:ascii="Verdana" w:hAnsi="Verdana" w:eastAsia="华文细黑" w:cs="仿宋_GB2312"/>
                <w:b/>
                <w:bCs/>
                <w:color w:val="FFFFFF" w:themeColor="background1"/>
                <w:sz w:val="20"/>
                <w:szCs w:val="20"/>
                <w14:textFill>
                  <w14:solidFill>
                    <w14:schemeClr w14:val="bg1"/>
                  </w14:solidFill>
                </w14:textFill>
              </w:rPr>
              <w:t>项目名称</w:t>
            </w:r>
          </w:p>
        </w:tc>
        <w:tc>
          <w:tcPr>
            <w:tcW w:w="5931" w:type="dxa"/>
            <w:shd w:val="clear" w:color="auto" w:fill="0070C0"/>
            <w:vAlign w:val="center"/>
          </w:tcPr>
          <w:p>
            <w:pPr>
              <w:widowControl w:val="0"/>
              <w:snapToGrid w:val="0"/>
              <w:jc w:val="center"/>
              <w:rPr>
                <w:rFonts w:ascii="Verdana" w:hAnsi="Verdana" w:eastAsia="华文细黑" w:cs="仿宋_GB2312"/>
                <w:b/>
                <w:bCs/>
                <w:color w:val="FFFFFF" w:themeColor="background1"/>
                <w:sz w:val="20"/>
                <w:szCs w:val="20"/>
                <w14:textFill>
                  <w14:solidFill>
                    <w14:schemeClr w14:val="bg1"/>
                  </w14:solidFill>
                </w14:textFill>
              </w:rPr>
            </w:pPr>
            <w:r>
              <w:rPr>
                <w:rFonts w:ascii="Verdana" w:hAnsi="Verdana" w:eastAsia="华文细黑" w:cs="仿宋_GB2312"/>
                <w:b/>
                <w:color w:val="FFFFFF" w:themeColor="background1"/>
                <w:sz w:val="20"/>
                <w:szCs w:val="20"/>
                <w14:textFill>
                  <w14:solidFill>
                    <w14:schemeClr w14:val="bg1"/>
                  </w14:solidFill>
                </w14:textFill>
              </w:rPr>
              <w:t>主要建设内容及建设规模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70" w:hRule="atLeast"/>
        </w:trPr>
        <w:tc>
          <w:tcPr>
            <w:tcW w:w="731" w:type="dxa"/>
            <w:shd w:val="clear" w:color="auto" w:fill="auto"/>
            <w:vAlign w:val="center"/>
          </w:tcPr>
          <w:p>
            <w:pPr>
              <w:widowControl w:val="0"/>
              <w:snapToGrid w:val="0"/>
              <w:jc w:val="center"/>
              <w:rPr>
                <w:rFonts w:ascii="Verdana" w:hAnsi="Verdana" w:eastAsia="华文细黑" w:cs="仿宋"/>
                <w:sz w:val="20"/>
                <w:szCs w:val="20"/>
              </w:rPr>
            </w:pPr>
            <w:r>
              <w:rPr>
                <w:rFonts w:ascii="Verdana" w:hAnsi="Verdana" w:eastAsia="华文细黑" w:cs="仿宋"/>
                <w:sz w:val="20"/>
                <w:szCs w:val="20"/>
              </w:rPr>
              <w:t>1</w:t>
            </w:r>
          </w:p>
        </w:tc>
        <w:tc>
          <w:tcPr>
            <w:tcW w:w="1968" w:type="dxa"/>
            <w:shd w:val="clear" w:color="auto" w:fill="auto"/>
            <w:vAlign w:val="center"/>
          </w:tcPr>
          <w:p>
            <w:pPr>
              <w:jc w:val="center"/>
              <w:rPr>
                <w:rFonts w:ascii="Verdana" w:hAnsi="Verdana" w:eastAsia="华文细黑" w:cs="仿宋"/>
                <w:sz w:val="20"/>
                <w:szCs w:val="20"/>
                <w:lang w:eastAsia="zh-Hans"/>
              </w:rPr>
            </w:pPr>
            <w:r>
              <w:rPr>
                <w:rFonts w:hint="eastAsia" w:ascii="华文细黑" w:hAnsi="华文细黑" w:eastAsia="华文细黑" w:cs="Calibri"/>
                <w:sz w:val="20"/>
                <w:szCs w:val="20"/>
              </w:rPr>
              <w:t>吉阳区新村社区饮水巩固提升工程</w:t>
            </w:r>
          </w:p>
        </w:tc>
        <w:tc>
          <w:tcPr>
            <w:tcW w:w="5931" w:type="dxa"/>
            <w:shd w:val="clear" w:color="auto" w:fill="auto"/>
            <w:vAlign w:val="center"/>
          </w:tcPr>
          <w:p>
            <w:pPr>
              <w:widowControl w:val="0"/>
              <w:snapToGrid w:val="0"/>
              <w:jc w:val="both"/>
              <w:rPr>
                <w:rFonts w:ascii="Verdana" w:hAnsi="Verdana" w:eastAsia="华文细黑" w:cs="宋体"/>
                <w:sz w:val="20"/>
                <w:szCs w:val="20"/>
              </w:rPr>
            </w:pPr>
            <w:r>
              <w:rPr>
                <w:rFonts w:hint="eastAsia" w:ascii="Verdana" w:hAnsi="Verdana" w:eastAsia="华文细黑" w:cs="宋体"/>
                <w:sz w:val="20"/>
                <w:szCs w:val="20"/>
              </w:rPr>
              <w:t>主要建设内容为新建</w:t>
            </w:r>
            <w:r>
              <w:rPr>
                <w:rFonts w:ascii="Verdana" w:hAnsi="Verdana" w:eastAsia="华文细黑" w:cs="宋体"/>
                <w:sz w:val="20"/>
                <w:szCs w:val="20"/>
              </w:rPr>
              <w:t xml:space="preserve"> DN300 </w:t>
            </w:r>
            <w:r>
              <w:rPr>
                <w:rFonts w:hint="eastAsia" w:ascii="Verdana" w:hAnsi="Verdana" w:eastAsia="华文细黑" w:cs="宋体"/>
                <w:sz w:val="20"/>
                <w:szCs w:val="20"/>
              </w:rPr>
              <w:t>球墨</w:t>
            </w:r>
            <w:r>
              <w:rPr>
                <w:rFonts w:ascii="Verdana" w:hAnsi="Verdana" w:eastAsia="华文细黑" w:cs="宋体"/>
                <w:sz w:val="20"/>
                <w:szCs w:val="20"/>
              </w:rPr>
              <w:t xml:space="preserve">  </w:t>
            </w:r>
            <w:r>
              <w:rPr>
                <w:rFonts w:hint="eastAsia" w:ascii="Verdana" w:hAnsi="Verdana" w:eastAsia="华文细黑" w:cs="宋体"/>
                <w:sz w:val="20"/>
                <w:szCs w:val="20"/>
              </w:rPr>
              <w:t>铸铁管</w:t>
            </w:r>
            <w:r>
              <w:rPr>
                <w:rFonts w:ascii="Verdana" w:hAnsi="Verdana" w:eastAsia="华文细黑" w:cs="宋体"/>
                <w:sz w:val="20"/>
                <w:szCs w:val="20"/>
              </w:rPr>
              <w:t>727m</w:t>
            </w:r>
            <w:r>
              <w:rPr>
                <w:rFonts w:hint="eastAsia" w:ascii="Verdana" w:hAnsi="Verdana" w:eastAsia="华文细黑" w:cs="宋体"/>
                <w:sz w:val="20"/>
                <w:szCs w:val="20"/>
              </w:rPr>
              <w:t>、</w:t>
            </w:r>
            <w:r>
              <w:rPr>
                <w:rFonts w:ascii="Verdana" w:hAnsi="Verdana" w:eastAsia="华文细黑" w:cs="宋体"/>
                <w:sz w:val="20"/>
                <w:szCs w:val="20"/>
              </w:rPr>
              <w:t>DN250</w:t>
            </w:r>
            <w:r>
              <w:rPr>
                <w:rFonts w:hint="eastAsia" w:ascii="Verdana" w:hAnsi="Verdana" w:eastAsia="华文细黑" w:cs="宋体"/>
                <w:sz w:val="20"/>
                <w:szCs w:val="20"/>
              </w:rPr>
              <w:t>球墨铸铁管</w:t>
            </w:r>
            <w:r>
              <w:rPr>
                <w:rFonts w:ascii="Verdana" w:hAnsi="Verdana" w:eastAsia="华文细黑" w:cs="宋体"/>
                <w:sz w:val="20"/>
                <w:szCs w:val="20"/>
              </w:rPr>
              <w:t>683m</w:t>
            </w:r>
            <w:r>
              <w:rPr>
                <w:rFonts w:hint="eastAsia" w:ascii="Verdana" w:hAnsi="Verdana" w:eastAsia="华文细黑" w:cs="宋体"/>
                <w:sz w:val="20"/>
                <w:szCs w:val="20"/>
              </w:rPr>
              <w:t>、</w:t>
            </w:r>
            <w:r>
              <w:rPr>
                <w:rFonts w:ascii="Verdana" w:hAnsi="Verdana" w:eastAsia="华文细黑" w:cs="宋体"/>
                <w:sz w:val="20"/>
                <w:szCs w:val="20"/>
              </w:rPr>
              <w:t>DN200</w:t>
            </w:r>
            <w:r>
              <w:rPr>
                <w:rFonts w:hint="eastAsia" w:ascii="Verdana" w:hAnsi="Verdana" w:eastAsia="华文细黑" w:cs="宋体"/>
                <w:sz w:val="20"/>
                <w:szCs w:val="20"/>
              </w:rPr>
              <w:t>球墨铸铁管</w:t>
            </w:r>
            <w:r>
              <w:rPr>
                <w:rFonts w:ascii="Verdana" w:hAnsi="Verdana" w:eastAsia="华文细黑" w:cs="宋体"/>
                <w:sz w:val="20"/>
                <w:szCs w:val="20"/>
              </w:rPr>
              <w:t>373m</w:t>
            </w:r>
            <w:r>
              <w:rPr>
                <w:rFonts w:hint="eastAsia" w:ascii="Verdana" w:hAnsi="Verdana" w:eastAsia="华文细黑" w:cs="宋体"/>
                <w:sz w:val="20"/>
                <w:szCs w:val="20"/>
              </w:rPr>
              <w:t>、</w:t>
            </w:r>
            <w:r>
              <w:rPr>
                <w:rFonts w:ascii="Verdana" w:hAnsi="Verdana" w:eastAsia="华文细黑" w:cs="宋体"/>
                <w:sz w:val="20"/>
                <w:szCs w:val="20"/>
              </w:rPr>
              <w:t xml:space="preserve"> DN150 </w:t>
            </w:r>
            <w:r>
              <w:rPr>
                <w:rFonts w:hint="eastAsia" w:ascii="Verdana" w:hAnsi="Verdana" w:eastAsia="华文细黑" w:cs="宋体"/>
                <w:sz w:val="20"/>
                <w:szCs w:val="20"/>
              </w:rPr>
              <w:t>球墨铸铁管</w:t>
            </w:r>
            <w:r>
              <w:rPr>
                <w:rFonts w:ascii="Verdana" w:hAnsi="Verdana" w:eastAsia="华文细黑" w:cs="宋体"/>
                <w:sz w:val="20"/>
                <w:szCs w:val="20"/>
              </w:rPr>
              <w:t xml:space="preserve">1073m </w:t>
            </w:r>
            <w:r>
              <w:rPr>
                <w:rFonts w:hint="eastAsia" w:ascii="Verdana" w:hAnsi="Verdana" w:eastAsia="华文细黑" w:cs="宋体"/>
                <w:sz w:val="20"/>
                <w:szCs w:val="20"/>
              </w:rPr>
              <w:t>、</w:t>
            </w:r>
            <w:r>
              <w:rPr>
                <w:rFonts w:ascii="Verdana" w:hAnsi="Verdana" w:eastAsia="华文细黑" w:cs="宋体"/>
                <w:sz w:val="20"/>
                <w:szCs w:val="20"/>
              </w:rPr>
              <w:t xml:space="preserve">DN100 </w:t>
            </w:r>
            <w:r>
              <w:rPr>
                <w:rFonts w:hint="eastAsia" w:ascii="Verdana" w:hAnsi="Verdana" w:eastAsia="华文细黑" w:cs="宋体"/>
                <w:sz w:val="20"/>
                <w:szCs w:val="20"/>
              </w:rPr>
              <w:t>钢塑管</w:t>
            </w:r>
            <w:r>
              <w:rPr>
                <w:rFonts w:ascii="Verdana" w:hAnsi="Verdana" w:eastAsia="华文细黑" w:cs="宋体"/>
                <w:sz w:val="20"/>
                <w:szCs w:val="20"/>
              </w:rPr>
              <w:t xml:space="preserve">917m </w:t>
            </w:r>
            <w:r>
              <w:rPr>
                <w:rFonts w:hint="eastAsia" w:ascii="Verdana" w:hAnsi="Verdana" w:eastAsia="华文细黑" w:cs="宋体"/>
                <w:sz w:val="20"/>
                <w:szCs w:val="20"/>
              </w:rPr>
              <w:t>、</w:t>
            </w:r>
            <w:r>
              <w:rPr>
                <w:rFonts w:ascii="Verdana" w:hAnsi="Verdana" w:eastAsia="华文细黑" w:cs="宋体"/>
                <w:sz w:val="20"/>
                <w:szCs w:val="20"/>
              </w:rPr>
              <w:t xml:space="preserve">DN80 </w:t>
            </w:r>
            <w:r>
              <w:rPr>
                <w:rFonts w:hint="eastAsia" w:ascii="Verdana" w:hAnsi="Verdana" w:eastAsia="华文细黑" w:cs="宋体"/>
                <w:sz w:val="20"/>
                <w:szCs w:val="20"/>
              </w:rPr>
              <w:t>钢塑管</w:t>
            </w:r>
            <w:r>
              <w:rPr>
                <w:rFonts w:ascii="Verdana" w:hAnsi="Verdana" w:eastAsia="华文细黑" w:cs="宋体"/>
                <w:sz w:val="20"/>
                <w:szCs w:val="20"/>
              </w:rPr>
              <w:t xml:space="preserve">   4293m</w:t>
            </w:r>
            <w:r>
              <w:rPr>
                <w:rFonts w:hint="eastAsia" w:ascii="Verdana" w:hAnsi="Verdana" w:eastAsia="华文细黑" w:cs="宋体"/>
                <w:sz w:val="20"/>
                <w:szCs w:val="20"/>
              </w:rPr>
              <w:t>、</w:t>
            </w:r>
            <w:r>
              <w:rPr>
                <w:rFonts w:ascii="Verdana" w:hAnsi="Verdana" w:eastAsia="华文细黑" w:cs="宋体"/>
                <w:sz w:val="20"/>
                <w:szCs w:val="20"/>
              </w:rPr>
              <w:t xml:space="preserve">DN65 </w:t>
            </w:r>
            <w:r>
              <w:rPr>
                <w:rFonts w:hint="eastAsia" w:ascii="Verdana" w:hAnsi="Verdana" w:eastAsia="华文细黑" w:cs="宋体"/>
                <w:sz w:val="20"/>
                <w:szCs w:val="20"/>
              </w:rPr>
              <w:t>钢塑管</w:t>
            </w:r>
            <w:r>
              <w:rPr>
                <w:rFonts w:ascii="Verdana" w:hAnsi="Verdana" w:eastAsia="华文细黑" w:cs="宋体"/>
                <w:sz w:val="20"/>
                <w:szCs w:val="20"/>
              </w:rPr>
              <w:t xml:space="preserve">2796m </w:t>
            </w:r>
            <w:r>
              <w:rPr>
                <w:rFonts w:hint="eastAsia" w:ascii="Verdana" w:hAnsi="Verdana" w:eastAsia="华文细黑" w:cs="宋体"/>
                <w:sz w:val="20"/>
                <w:szCs w:val="20"/>
              </w:rPr>
              <w:t>、</w:t>
            </w:r>
            <w:r>
              <w:rPr>
                <w:rFonts w:ascii="Verdana" w:hAnsi="Verdana" w:eastAsia="华文细黑" w:cs="宋体"/>
                <w:sz w:val="20"/>
                <w:szCs w:val="20"/>
              </w:rPr>
              <w:t>DN50</w:t>
            </w:r>
            <w:r>
              <w:rPr>
                <w:rFonts w:hint="eastAsia" w:ascii="Verdana" w:hAnsi="Verdana" w:eastAsia="华文细黑" w:cs="宋体"/>
                <w:sz w:val="20"/>
                <w:szCs w:val="20"/>
              </w:rPr>
              <w:t>钢塑管</w:t>
            </w:r>
            <w:r>
              <w:rPr>
                <w:rFonts w:ascii="Verdana" w:hAnsi="Verdana" w:eastAsia="华文细黑" w:cs="宋体"/>
                <w:sz w:val="20"/>
                <w:szCs w:val="20"/>
              </w:rPr>
              <w:t xml:space="preserve">4931m </w:t>
            </w:r>
            <w:r>
              <w:rPr>
                <w:rFonts w:hint="eastAsia" w:ascii="Verdana" w:hAnsi="Verdana" w:eastAsia="华文细黑" w:cs="宋体"/>
                <w:sz w:val="20"/>
                <w:szCs w:val="20"/>
              </w:rPr>
              <w:t>、</w:t>
            </w:r>
            <w:r>
              <w:rPr>
                <w:rFonts w:ascii="Verdana" w:hAnsi="Verdana" w:eastAsia="华文细黑" w:cs="宋体"/>
                <w:sz w:val="20"/>
                <w:szCs w:val="20"/>
              </w:rPr>
              <w:t xml:space="preserve">DN40 </w:t>
            </w:r>
            <w:r>
              <w:rPr>
                <w:rFonts w:hint="eastAsia" w:ascii="Verdana" w:hAnsi="Verdana" w:eastAsia="华文细黑" w:cs="宋体"/>
                <w:sz w:val="20"/>
                <w:szCs w:val="20"/>
              </w:rPr>
              <w:t>钢塑</w:t>
            </w:r>
            <w:r>
              <w:rPr>
                <w:rFonts w:ascii="Verdana" w:hAnsi="Verdana" w:eastAsia="华文细黑" w:cs="宋体"/>
                <w:sz w:val="20"/>
                <w:szCs w:val="20"/>
              </w:rPr>
              <w:t xml:space="preserve">  </w:t>
            </w:r>
            <w:r>
              <w:rPr>
                <w:rFonts w:hint="eastAsia" w:ascii="Verdana" w:hAnsi="Verdana" w:eastAsia="华文细黑" w:cs="宋体"/>
                <w:sz w:val="20"/>
                <w:szCs w:val="20"/>
              </w:rPr>
              <w:t>管</w:t>
            </w:r>
            <w:r>
              <w:rPr>
                <w:rFonts w:ascii="Verdana" w:hAnsi="Verdana" w:eastAsia="华文细黑" w:cs="宋体"/>
                <w:sz w:val="20"/>
                <w:szCs w:val="20"/>
              </w:rPr>
              <w:t>1158m</w:t>
            </w:r>
            <w:r>
              <w:rPr>
                <w:rFonts w:hint="eastAsia" w:ascii="Verdana" w:hAnsi="Verdana" w:eastAsia="华文细黑" w:cs="宋体"/>
                <w:sz w:val="20"/>
                <w:szCs w:val="20"/>
              </w:rPr>
              <w:t>、</w:t>
            </w:r>
            <w:r>
              <w:rPr>
                <w:rFonts w:ascii="Verdana" w:hAnsi="Verdana" w:eastAsia="华文细黑" w:cs="宋体"/>
                <w:sz w:val="20"/>
                <w:szCs w:val="20"/>
              </w:rPr>
              <w:t>DN20</w:t>
            </w:r>
            <w:r>
              <w:rPr>
                <w:rFonts w:hint="eastAsia" w:ascii="Verdana" w:hAnsi="Verdana" w:eastAsia="华文细黑" w:cs="宋体"/>
                <w:sz w:val="20"/>
                <w:szCs w:val="20"/>
              </w:rPr>
              <w:t>入户钢塑管</w:t>
            </w:r>
            <w:r>
              <w:rPr>
                <w:rFonts w:ascii="Verdana" w:hAnsi="Verdana" w:eastAsia="华文细黑" w:cs="宋体"/>
                <w:sz w:val="20"/>
                <w:szCs w:val="20"/>
              </w:rPr>
              <w:t>67,425m</w:t>
            </w:r>
            <w:r>
              <w:rPr>
                <w:rFonts w:hint="eastAsia" w:ascii="Verdana" w:hAnsi="Verdana" w:eastAsia="华文细黑" w:cs="宋体"/>
                <w:sz w:val="20"/>
                <w:szCs w:val="20"/>
              </w:rPr>
              <w:t>、</w:t>
            </w:r>
            <w:r>
              <w:rPr>
                <w:rFonts w:ascii="Verdana" w:hAnsi="Verdana" w:eastAsia="华文细黑" w:cs="宋体"/>
                <w:sz w:val="20"/>
                <w:szCs w:val="20"/>
              </w:rPr>
              <w:t>PE100</w:t>
            </w:r>
            <w:r>
              <w:rPr>
                <w:rFonts w:hint="eastAsia" w:ascii="Verdana" w:hAnsi="Verdana" w:eastAsia="华文细黑" w:cs="宋体"/>
                <w:sz w:val="20"/>
                <w:szCs w:val="20"/>
              </w:rPr>
              <w:t>聚乙烯给水管</w:t>
            </w:r>
            <w:r>
              <w:rPr>
                <w:rFonts w:ascii="Verdana" w:hAnsi="Verdana" w:eastAsia="华文细黑" w:cs="宋体"/>
                <w:sz w:val="20"/>
                <w:szCs w:val="20"/>
              </w:rPr>
              <w:t xml:space="preserve">DN300   </w:t>
            </w:r>
            <w:r>
              <w:rPr>
                <w:rFonts w:hint="eastAsia" w:ascii="Verdana" w:hAnsi="Verdana" w:eastAsia="华文细黑" w:cs="宋体"/>
                <w:sz w:val="20"/>
                <w:szCs w:val="20"/>
              </w:rPr>
              <w:t>共</w:t>
            </w:r>
            <w:r>
              <w:rPr>
                <w:rFonts w:ascii="Verdana" w:hAnsi="Verdana" w:eastAsia="华文细黑" w:cs="宋体"/>
                <w:sz w:val="20"/>
                <w:szCs w:val="20"/>
              </w:rPr>
              <w:t>95m</w:t>
            </w:r>
            <w:r>
              <w:rPr>
                <w:rFonts w:hint="eastAsia" w:ascii="Verdana" w:hAnsi="Verdana" w:eastAsia="华文细黑" w:cs="宋体"/>
                <w:sz w:val="20"/>
                <w:szCs w:val="20"/>
              </w:rPr>
              <w:t>、</w:t>
            </w:r>
            <w:r>
              <w:rPr>
                <w:rFonts w:ascii="Verdana" w:hAnsi="Verdana" w:eastAsia="华文细黑" w:cs="宋体"/>
                <w:sz w:val="20"/>
                <w:szCs w:val="20"/>
              </w:rPr>
              <w:t>DN200</w:t>
            </w:r>
            <w:r>
              <w:rPr>
                <w:rFonts w:hint="eastAsia" w:ascii="Verdana" w:hAnsi="Verdana" w:eastAsia="华文细黑" w:cs="宋体"/>
                <w:sz w:val="20"/>
                <w:szCs w:val="20"/>
              </w:rPr>
              <w:t>过路钢套管</w:t>
            </w:r>
            <w:r>
              <w:rPr>
                <w:rFonts w:ascii="Verdana" w:hAnsi="Verdana" w:eastAsia="华文细黑" w:cs="宋体"/>
                <w:sz w:val="20"/>
                <w:szCs w:val="20"/>
              </w:rPr>
              <w:t>30m</w:t>
            </w:r>
            <w:r>
              <w:rPr>
                <w:rFonts w:hint="eastAsia" w:ascii="Verdana" w:hAnsi="Verdana" w:eastAsia="华文细黑" w:cs="宋体"/>
                <w:sz w:val="20"/>
                <w:szCs w:val="20"/>
              </w:rPr>
              <w:t>、</w:t>
            </w:r>
            <w:r>
              <w:rPr>
                <w:rFonts w:ascii="Verdana" w:hAnsi="Verdana" w:eastAsia="华文细黑" w:cs="宋体"/>
                <w:sz w:val="20"/>
                <w:szCs w:val="20"/>
              </w:rPr>
              <w:t>DN150</w:t>
            </w:r>
            <w:r>
              <w:rPr>
                <w:rFonts w:hint="eastAsia" w:ascii="Verdana" w:hAnsi="Verdana" w:eastAsia="华文细黑" w:cs="宋体"/>
                <w:sz w:val="20"/>
                <w:szCs w:val="20"/>
              </w:rPr>
              <w:t>过路钢套管</w:t>
            </w:r>
            <w:r>
              <w:rPr>
                <w:rFonts w:ascii="Verdana" w:hAnsi="Verdana" w:eastAsia="华文细黑" w:cs="宋体"/>
                <w:sz w:val="20"/>
                <w:szCs w:val="20"/>
              </w:rPr>
              <w:t>144m</w:t>
            </w:r>
            <w:r>
              <w:rPr>
                <w:rFonts w:hint="eastAsia" w:ascii="Verdana" w:hAnsi="Verdana" w:eastAsia="华文细黑" w:cs="宋体"/>
                <w:sz w:val="20"/>
                <w:szCs w:val="20"/>
              </w:rPr>
              <w:t>、</w:t>
            </w:r>
            <w:r>
              <w:rPr>
                <w:rFonts w:ascii="Verdana" w:hAnsi="Verdana" w:eastAsia="华文细黑" w:cs="宋体"/>
                <w:sz w:val="20"/>
                <w:szCs w:val="20"/>
              </w:rPr>
              <w:t xml:space="preserve">DN100 </w:t>
            </w:r>
            <w:r>
              <w:rPr>
                <w:rFonts w:hint="eastAsia" w:ascii="Verdana" w:hAnsi="Verdana" w:eastAsia="华文细黑" w:cs="宋体"/>
                <w:sz w:val="20"/>
                <w:szCs w:val="20"/>
              </w:rPr>
              <w:t>过路钢套管</w:t>
            </w:r>
            <w:r>
              <w:rPr>
                <w:rFonts w:ascii="Verdana" w:hAnsi="Verdana" w:eastAsia="华文细黑" w:cs="宋体"/>
                <w:sz w:val="20"/>
                <w:szCs w:val="20"/>
              </w:rPr>
              <w:t>673m</w:t>
            </w:r>
            <w:r>
              <w:rPr>
                <w:rFonts w:hint="eastAsia" w:ascii="Verdana" w:hAnsi="Verdana" w:eastAsia="华文细黑" w:cs="宋体"/>
                <w:sz w:val="20"/>
                <w:szCs w:val="20"/>
              </w:rPr>
              <w:t>、用户水表组安装</w:t>
            </w:r>
            <w:r>
              <w:rPr>
                <w:rFonts w:ascii="Verdana" w:hAnsi="Verdana" w:eastAsia="华文细黑" w:cs="宋体"/>
                <w:sz w:val="20"/>
                <w:szCs w:val="20"/>
              </w:rPr>
              <w:t>2,697</w:t>
            </w:r>
            <w:r>
              <w:rPr>
                <w:rFonts w:hint="eastAsia" w:ascii="Verdana" w:hAnsi="Verdana" w:eastAsia="华文细黑" w:cs="宋体"/>
                <w:sz w:val="20"/>
                <w:szCs w:val="20"/>
              </w:rPr>
              <w:t>户，压力等级为</w:t>
            </w:r>
            <w:r>
              <w:rPr>
                <w:rFonts w:ascii="Verdana" w:hAnsi="Verdana" w:eastAsia="华文细黑" w:cs="宋体"/>
                <w:sz w:val="20"/>
                <w:szCs w:val="20"/>
              </w:rPr>
              <w:t>1.0MPa</w:t>
            </w:r>
            <w:r>
              <w:rPr>
                <w:rFonts w:hint="eastAsia" w:ascii="Verdana" w:hAnsi="Verdana" w:eastAsia="华文细黑" w:cs="宋体"/>
                <w:sz w:val="20"/>
                <w:szCs w:val="20"/>
              </w:rPr>
              <w:t>等。</w:t>
            </w:r>
          </w:p>
        </w:tc>
      </w:tr>
    </w:tbl>
    <w:p>
      <w:pPr>
        <w:widowControl w:val="0"/>
        <w:snapToGrid w:val="0"/>
        <w:spacing w:line="520" w:lineRule="exact"/>
        <w:ind w:firstLine="480" w:firstLineChars="200"/>
        <w:jc w:val="both"/>
        <w:rPr>
          <w:rFonts w:ascii="Verdana" w:hAnsi="Verdana" w:eastAsia="华文细黑" w:cs="仿宋"/>
        </w:rPr>
      </w:pPr>
      <w:r>
        <w:rPr>
          <w:rFonts w:ascii="Verdana" w:hAnsi="Verdana" w:eastAsia="华文细黑" w:cs="仿宋"/>
        </w:rPr>
        <w:t>本次调剂具体情况请见下表1:</w:t>
      </w:r>
    </w:p>
    <w:p>
      <w:pPr>
        <w:jc w:val="center"/>
        <w:rPr>
          <w:rFonts w:eastAsia="华文细黑" w:asciiTheme="minorHAnsi" w:hAnsiTheme="minorHAnsi"/>
          <w:b/>
          <w:color w:val="000000"/>
        </w:rPr>
      </w:pPr>
    </w:p>
    <w:p>
      <w:pPr>
        <w:jc w:val="center"/>
        <w:rPr>
          <w:rFonts w:eastAsia="华文细黑" w:asciiTheme="minorHAnsi" w:hAnsiTheme="minorHAnsi"/>
          <w:b/>
          <w:color w:val="000000"/>
        </w:rPr>
      </w:pPr>
      <w:r>
        <w:rPr>
          <w:rFonts w:hint="eastAsia" w:eastAsia="华文细黑" w:asciiTheme="minorHAnsi" w:hAnsiTheme="minorHAnsi"/>
          <w:b/>
          <w:color w:val="000000"/>
        </w:rPr>
        <w:t>表1</w:t>
      </w:r>
      <w:r>
        <w:rPr>
          <w:rFonts w:eastAsia="华文细黑" w:asciiTheme="minorHAnsi" w:hAnsiTheme="minorHAnsi"/>
          <w:b/>
          <w:color w:val="000000"/>
        </w:rPr>
        <w:t>-1</w:t>
      </w:r>
      <w:r>
        <w:rPr>
          <w:rFonts w:hint="eastAsia" w:eastAsia="华文细黑" w:asciiTheme="minorHAnsi" w:hAnsiTheme="minorHAnsi"/>
          <w:b/>
          <w:color w:val="000000"/>
        </w:rPr>
        <w:t>：本期项目调增额度项目情况表</w:t>
      </w:r>
    </w:p>
    <w:p>
      <w:pPr>
        <w:jc w:val="right"/>
        <w:rPr>
          <w:rFonts w:eastAsia="华文细黑" w:asciiTheme="minorHAnsi" w:hAnsiTheme="minorHAnsi"/>
          <w:color w:val="000000"/>
          <w:sz w:val="20"/>
          <w:szCs w:val="22"/>
        </w:rPr>
      </w:pPr>
      <w:r>
        <w:rPr>
          <w:rFonts w:hint="eastAsia" w:eastAsia="华文细黑" w:asciiTheme="minorHAnsi" w:hAnsiTheme="minorHAnsi"/>
          <w:color w:val="000000"/>
          <w:sz w:val="20"/>
          <w:szCs w:val="22"/>
        </w:rPr>
        <w:t>单位：人民币万元</w:t>
      </w:r>
    </w:p>
    <w:tbl>
      <w:tblPr>
        <w:tblStyle w:val="9"/>
        <w:tblW w:w="8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5825"/>
        <w:gridCol w:w="1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22" w:type="dxa"/>
            <w:shd w:val="clear" w:color="auto" w:fill="0070C0"/>
            <w:noWrap/>
            <w:vAlign w:val="center"/>
          </w:tcPr>
          <w:p>
            <w:pPr>
              <w:jc w:val="center"/>
              <w:rPr>
                <w:rFonts w:ascii="华文细黑" w:hAnsi="华文细黑" w:eastAsia="华文细黑"/>
                <w:sz w:val="20"/>
                <w:szCs w:val="20"/>
              </w:rPr>
            </w:pPr>
            <w:r>
              <w:rPr>
                <w:rFonts w:hint="eastAsia" w:ascii="华文细黑" w:hAnsi="华文细黑" w:eastAsia="华文细黑" w:cs="宋体"/>
                <w:b/>
                <w:bCs/>
                <w:color w:val="FFFFFF"/>
                <w:sz w:val="20"/>
                <w:szCs w:val="20"/>
              </w:rPr>
              <w:t>序号</w:t>
            </w:r>
          </w:p>
        </w:tc>
        <w:tc>
          <w:tcPr>
            <w:tcW w:w="5825" w:type="dxa"/>
            <w:shd w:val="clear" w:color="auto" w:fill="0070C0"/>
            <w:noWrap/>
            <w:vAlign w:val="center"/>
          </w:tcPr>
          <w:p>
            <w:pPr>
              <w:jc w:val="center"/>
              <w:rPr>
                <w:rFonts w:ascii="华文细黑" w:hAnsi="华文细黑" w:eastAsia="华文细黑" w:cs="Calibri"/>
                <w:b/>
                <w:bCs/>
                <w:sz w:val="20"/>
                <w:szCs w:val="20"/>
              </w:rPr>
            </w:pPr>
            <w:r>
              <w:rPr>
                <w:rFonts w:hint="eastAsia" w:ascii="华文细黑" w:hAnsi="华文细黑" w:eastAsia="华文细黑" w:cs="宋体"/>
                <w:b/>
                <w:bCs/>
                <w:color w:val="FFFFFF"/>
                <w:sz w:val="20"/>
                <w:szCs w:val="20"/>
              </w:rPr>
              <w:t>项目名称</w:t>
            </w:r>
          </w:p>
        </w:tc>
        <w:tc>
          <w:tcPr>
            <w:tcW w:w="1783" w:type="dxa"/>
            <w:shd w:val="clear" w:color="auto" w:fill="0070C0"/>
            <w:noWrap/>
            <w:vAlign w:val="center"/>
          </w:tcPr>
          <w:p>
            <w:pPr>
              <w:jc w:val="center"/>
              <w:rPr>
                <w:rFonts w:ascii="华文细黑" w:hAnsi="华文细黑" w:eastAsia="华文细黑" w:cs="Calibri"/>
                <w:b/>
                <w:bCs/>
                <w:sz w:val="20"/>
                <w:szCs w:val="20"/>
              </w:rPr>
            </w:pPr>
            <w:r>
              <w:rPr>
                <w:rFonts w:hint="eastAsia" w:ascii="华文细黑" w:hAnsi="华文细黑" w:eastAsia="华文细黑" w:cs="宋体"/>
                <w:b/>
                <w:bCs/>
                <w:color w:val="FFFFFF"/>
                <w:sz w:val="20"/>
                <w:szCs w:val="20"/>
              </w:rPr>
              <w:t>调增额度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22" w:type="dxa"/>
            <w:shd w:val="clear" w:color="auto" w:fill="auto"/>
            <w:noWrap/>
            <w:vAlign w:val="center"/>
          </w:tcPr>
          <w:p>
            <w:pPr>
              <w:jc w:val="center"/>
              <w:rPr>
                <w:rFonts w:eastAsia="华文细黑" w:asciiTheme="minorHAnsi" w:hAnsiTheme="minorHAnsi"/>
                <w:sz w:val="20"/>
                <w:szCs w:val="20"/>
              </w:rPr>
            </w:pPr>
            <w:bookmarkStart w:id="43" w:name="_Hlk150179033"/>
            <w:r>
              <w:rPr>
                <w:rFonts w:eastAsia="华文细黑" w:cs="Calibri" w:asciiTheme="minorHAnsi" w:hAnsiTheme="minorHAnsi"/>
                <w:sz w:val="20"/>
                <w:szCs w:val="20"/>
              </w:rPr>
              <w:t>1</w:t>
            </w:r>
          </w:p>
        </w:tc>
        <w:tc>
          <w:tcPr>
            <w:tcW w:w="5825" w:type="dxa"/>
            <w:shd w:val="clear" w:color="auto" w:fill="auto"/>
            <w:noWrap/>
            <w:vAlign w:val="center"/>
          </w:tcPr>
          <w:p>
            <w:pPr>
              <w:rPr>
                <w:rFonts w:ascii="华文细黑" w:hAnsi="华文细黑" w:eastAsia="华文细黑" w:cs="Calibri"/>
                <w:b/>
                <w:bCs/>
                <w:sz w:val="20"/>
                <w:szCs w:val="20"/>
              </w:rPr>
            </w:pPr>
            <w:r>
              <w:rPr>
                <w:rFonts w:hint="eastAsia" w:ascii="华文细黑" w:hAnsi="华文细黑" w:eastAsia="华文细黑" w:cs="Calibri"/>
                <w:sz w:val="20"/>
                <w:szCs w:val="20"/>
              </w:rPr>
              <w:t>吉阳区新村社区饮水巩固提升工程</w:t>
            </w:r>
          </w:p>
        </w:tc>
        <w:tc>
          <w:tcPr>
            <w:tcW w:w="1783" w:type="dxa"/>
            <w:shd w:val="clear" w:color="auto" w:fill="auto"/>
            <w:noWrap/>
            <w:vAlign w:val="center"/>
          </w:tcPr>
          <w:p>
            <w:pPr>
              <w:jc w:val="right"/>
              <w:rPr>
                <w:rFonts w:eastAsia="华文细黑" w:cs="Calibri" w:asciiTheme="minorHAnsi" w:hAnsiTheme="minorHAnsi"/>
                <w:b/>
                <w:bCs/>
                <w:sz w:val="20"/>
                <w:szCs w:val="20"/>
              </w:rPr>
            </w:pPr>
            <w:r>
              <w:rPr>
                <w:rFonts w:eastAsia="华文细黑" w:cs="Calibri" w:asciiTheme="minorHAnsi" w:hAnsiTheme="minorHAnsi"/>
                <w:sz w:val="20"/>
                <w:szCs w:val="20"/>
              </w:rPr>
              <w:t>500</w:t>
            </w:r>
          </w:p>
        </w:tc>
      </w:tr>
      <w:bookmarkEnd w:id="4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22" w:type="dxa"/>
            <w:shd w:val="clear" w:color="auto" w:fill="auto"/>
            <w:noWrap/>
            <w:vAlign w:val="center"/>
          </w:tcPr>
          <w:p>
            <w:pPr>
              <w:jc w:val="center"/>
              <w:rPr>
                <w:rFonts w:ascii="华文细黑" w:hAnsi="华文细黑" w:eastAsia="华文细黑" w:cs="Calibri"/>
                <w:sz w:val="20"/>
                <w:szCs w:val="20"/>
              </w:rPr>
            </w:pPr>
          </w:p>
        </w:tc>
        <w:tc>
          <w:tcPr>
            <w:tcW w:w="5825" w:type="dxa"/>
            <w:shd w:val="clear" w:color="auto" w:fill="auto"/>
            <w:noWrap/>
            <w:vAlign w:val="center"/>
          </w:tcPr>
          <w:p>
            <w:pPr>
              <w:jc w:val="center"/>
              <w:rPr>
                <w:rFonts w:ascii="华文细黑" w:hAnsi="华文细黑" w:eastAsia="华文细黑" w:cs="Calibri"/>
                <w:b/>
                <w:bCs/>
                <w:sz w:val="20"/>
                <w:szCs w:val="20"/>
              </w:rPr>
            </w:pPr>
            <w:r>
              <w:rPr>
                <w:rFonts w:hint="eastAsia" w:ascii="华文细黑" w:hAnsi="华文细黑" w:eastAsia="华文细黑" w:cs="Calibri"/>
                <w:b/>
                <w:bCs/>
                <w:sz w:val="20"/>
                <w:szCs w:val="20"/>
              </w:rPr>
              <w:t>合计</w:t>
            </w:r>
          </w:p>
        </w:tc>
        <w:tc>
          <w:tcPr>
            <w:tcW w:w="1783" w:type="dxa"/>
            <w:shd w:val="clear" w:color="auto" w:fill="auto"/>
            <w:noWrap/>
            <w:vAlign w:val="center"/>
          </w:tcPr>
          <w:p>
            <w:pPr>
              <w:jc w:val="right"/>
              <w:rPr>
                <w:rFonts w:eastAsia="华文细黑" w:cs="Calibri" w:asciiTheme="minorHAnsi" w:hAnsiTheme="minorHAnsi"/>
                <w:b/>
                <w:bCs/>
                <w:sz w:val="20"/>
                <w:szCs w:val="20"/>
              </w:rPr>
            </w:pPr>
            <w:r>
              <w:rPr>
                <w:rFonts w:eastAsia="华文细黑" w:cs="Calibri" w:asciiTheme="minorHAnsi" w:hAnsiTheme="minorHAnsi"/>
                <w:b/>
                <w:bCs/>
                <w:sz w:val="20"/>
                <w:szCs w:val="20"/>
              </w:rPr>
              <w:t>500</w:t>
            </w:r>
          </w:p>
        </w:tc>
      </w:tr>
    </w:tbl>
    <w:p>
      <w:pPr>
        <w:spacing w:before="240" w:beforeLines="100"/>
        <w:rPr>
          <w:rFonts w:eastAsia="华文细黑" w:asciiTheme="minorHAnsi" w:hAnsiTheme="minorHAnsi"/>
          <w:b/>
          <w:color w:val="000000"/>
        </w:rPr>
      </w:pPr>
    </w:p>
    <w:p>
      <w:pPr>
        <w:spacing w:before="240" w:beforeLines="100"/>
        <w:jc w:val="center"/>
        <w:rPr>
          <w:rFonts w:eastAsia="华文细黑" w:asciiTheme="minorHAnsi" w:hAnsiTheme="minorHAnsi"/>
          <w:b/>
          <w:color w:val="000000"/>
        </w:rPr>
      </w:pPr>
      <w:r>
        <w:rPr>
          <w:rFonts w:hint="eastAsia" w:eastAsia="华文细黑" w:asciiTheme="minorHAnsi" w:hAnsiTheme="minorHAnsi"/>
          <w:b/>
          <w:color w:val="000000"/>
        </w:rPr>
        <w:t>表1</w:t>
      </w:r>
      <w:r>
        <w:rPr>
          <w:rFonts w:eastAsia="华文细黑" w:asciiTheme="minorHAnsi" w:hAnsiTheme="minorHAnsi"/>
          <w:b/>
          <w:color w:val="000000"/>
        </w:rPr>
        <w:t>-2</w:t>
      </w:r>
      <w:r>
        <w:rPr>
          <w:rFonts w:hint="eastAsia" w:eastAsia="华文细黑" w:asciiTheme="minorHAnsi" w:hAnsiTheme="minorHAnsi"/>
          <w:b/>
          <w:color w:val="000000"/>
        </w:rPr>
        <w:t>：</w:t>
      </w:r>
      <w:bookmarkStart w:id="44" w:name="_Hlk150179619"/>
      <w:r>
        <w:rPr>
          <w:rFonts w:hint="eastAsia" w:eastAsia="华文细黑" w:asciiTheme="minorHAnsi" w:hAnsiTheme="minorHAnsi"/>
          <w:b/>
          <w:color w:val="000000"/>
        </w:rPr>
        <w:t>本期调增项目原发行项目情况表</w:t>
      </w:r>
      <w:bookmarkEnd w:id="44"/>
    </w:p>
    <w:p>
      <w:pPr>
        <w:jc w:val="right"/>
        <w:rPr>
          <w:rFonts w:eastAsia="华文细黑" w:asciiTheme="minorHAnsi" w:hAnsiTheme="minorHAnsi"/>
          <w:color w:val="000000"/>
          <w:sz w:val="20"/>
          <w:szCs w:val="22"/>
        </w:rPr>
      </w:pPr>
      <w:r>
        <w:rPr>
          <w:rFonts w:hint="eastAsia" w:eastAsia="华文细黑" w:asciiTheme="minorHAnsi" w:hAnsiTheme="minorHAnsi"/>
          <w:color w:val="000000"/>
          <w:sz w:val="20"/>
          <w:szCs w:val="22"/>
        </w:rPr>
        <w:t>单位：人民币万元</w:t>
      </w:r>
    </w:p>
    <w:tbl>
      <w:tblPr>
        <w:tblStyle w:val="9"/>
        <w:tblW w:w="93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3261"/>
        <w:gridCol w:w="2126"/>
        <w:gridCol w:w="1134"/>
        <w:gridCol w:w="1094"/>
        <w:gridCol w:w="1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09" w:type="dxa"/>
            <w:shd w:val="clear" w:color="auto" w:fill="0070C0"/>
            <w:vAlign w:val="center"/>
          </w:tcPr>
          <w:p>
            <w:pPr>
              <w:jc w:val="center"/>
              <w:rPr>
                <w:rFonts w:ascii="华文细黑" w:hAnsi="华文细黑" w:eastAsia="华文细黑" w:cs="宋体"/>
                <w:b/>
                <w:bCs/>
                <w:color w:val="FFFFFF"/>
                <w:sz w:val="20"/>
                <w:szCs w:val="20"/>
              </w:rPr>
            </w:pPr>
            <w:bookmarkStart w:id="45" w:name="_Hlk150179628"/>
            <w:r>
              <w:rPr>
                <w:rFonts w:hint="eastAsia" w:ascii="华文细黑" w:hAnsi="华文细黑" w:eastAsia="华文细黑" w:cs="宋体"/>
                <w:b/>
                <w:bCs/>
                <w:color w:val="FFFFFF"/>
                <w:sz w:val="20"/>
                <w:szCs w:val="20"/>
              </w:rPr>
              <w:t>序号</w:t>
            </w:r>
          </w:p>
        </w:tc>
        <w:tc>
          <w:tcPr>
            <w:tcW w:w="3261" w:type="dxa"/>
            <w:shd w:val="clear" w:color="auto" w:fill="0070C0"/>
            <w:noWrap/>
            <w:vAlign w:val="center"/>
          </w:tcPr>
          <w:p>
            <w:pPr>
              <w:jc w:val="center"/>
              <w:rPr>
                <w:rFonts w:ascii="华文细黑" w:hAnsi="华文细黑" w:eastAsia="华文细黑" w:cs="宋体"/>
                <w:b/>
                <w:bCs/>
                <w:color w:val="FFFFFF"/>
                <w:sz w:val="20"/>
                <w:szCs w:val="20"/>
              </w:rPr>
            </w:pPr>
            <w:r>
              <w:rPr>
                <w:rFonts w:hint="eastAsia" w:ascii="华文细黑" w:hAnsi="华文细黑" w:eastAsia="华文细黑" w:cs="宋体"/>
                <w:b/>
                <w:bCs/>
                <w:color w:val="FFFFFF"/>
                <w:sz w:val="20"/>
                <w:szCs w:val="20"/>
              </w:rPr>
              <w:t>调减项目</w:t>
            </w:r>
          </w:p>
        </w:tc>
        <w:tc>
          <w:tcPr>
            <w:tcW w:w="2126" w:type="dxa"/>
            <w:shd w:val="clear" w:color="auto" w:fill="0070C0"/>
            <w:vAlign w:val="center"/>
          </w:tcPr>
          <w:p>
            <w:pPr>
              <w:jc w:val="center"/>
              <w:rPr>
                <w:rFonts w:ascii="华文细黑" w:hAnsi="华文细黑" w:eastAsia="华文细黑" w:cs="宋体"/>
                <w:b/>
                <w:bCs/>
                <w:color w:val="FFFFFF"/>
                <w:sz w:val="20"/>
                <w:szCs w:val="20"/>
              </w:rPr>
            </w:pPr>
            <w:r>
              <w:rPr>
                <w:rFonts w:hint="eastAsia" w:ascii="华文细黑" w:hAnsi="华文细黑" w:eastAsia="华文细黑" w:cs="宋体"/>
                <w:b/>
                <w:bCs/>
                <w:color w:val="FFFFFF"/>
                <w:sz w:val="20"/>
                <w:szCs w:val="20"/>
              </w:rPr>
              <w:t>债券名称</w:t>
            </w:r>
          </w:p>
        </w:tc>
        <w:tc>
          <w:tcPr>
            <w:tcW w:w="1134" w:type="dxa"/>
            <w:shd w:val="clear" w:color="auto" w:fill="0070C0"/>
            <w:vAlign w:val="center"/>
          </w:tcPr>
          <w:p>
            <w:pPr>
              <w:jc w:val="center"/>
              <w:rPr>
                <w:rFonts w:ascii="华文细黑" w:hAnsi="华文细黑" w:eastAsia="华文细黑" w:cs="宋体"/>
                <w:b/>
                <w:bCs/>
                <w:color w:val="FFFFFF"/>
                <w:sz w:val="20"/>
                <w:szCs w:val="20"/>
              </w:rPr>
            </w:pPr>
            <w:r>
              <w:rPr>
                <w:rFonts w:hint="eastAsia" w:ascii="华文细黑" w:hAnsi="华文细黑" w:eastAsia="华文细黑" w:cs="宋体"/>
                <w:b/>
                <w:bCs/>
                <w:color w:val="FFFFFF"/>
                <w:sz w:val="20"/>
                <w:szCs w:val="20"/>
              </w:rPr>
              <w:t>债券期限</w:t>
            </w:r>
          </w:p>
        </w:tc>
        <w:tc>
          <w:tcPr>
            <w:tcW w:w="1094" w:type="dxa"/>
            <w:shd w:val="clear" w:color="auto" w:fill="0070C0"/>
            <w:vAlign w:val="center"/>
          </w:tcPr>
          <w:p>
            <w:pPr>
              <w:jc w:val="center"/>
              <w:rPr>
                <w:rFonts w:ascii="华文细黑" w:hAnsi="华文细黑" w:eastAsia="华文细黑" w:cs="宋体"/>
                <w:b/>
                <w:bCs/>
                <w:color w:val="FFFFFF"/>
                <w:sz w:val="20"/>
                <w:szCs w:val="20"/>
              </w:rPr>
            </w:pPr>
            <w:r>
              <w:rPr>
                <w:rFonts w:hint="eastAsia" w:ascii="华文细黑" w:hAnsi="华文细黑" w:eastAsia="华文细黑" w:cs="宋体"/>
                <w:b/>
                <w:bCs/>
                <w:color w:val="FFFFFF"/>
                <w:sz w:val="20"/>
                <w:szCs w:val="20"/>
              </w:rPr>
              <w:t>债券利率</w:t>
            </w:r>
          </w:p>
        </w:tc>
        <w:tc>
          <w:tcPr>
            <w:tcW w:w="1020" w:type="dxa"/>
            <w:shd w:val="clear" w:color="auto" w:fill="0070C0"/>
            <w:noWrap/>
            <w:vAlign w:val="center"/>
          </w:tcPr>
          <w:p>
            <w:pPr>
              <w:jc w:val="center"/>
              <w:rPr>
                <w:rFonts w:ascii="华文细黑" w:hAnsi="华文细黑" w:eastAsia="华文细黑" w:cs="宋体"/>
                <w:b/>
                <w:bCs/>
                <w:color w:val="FFFFFF"/>
                <w:sz w:val="20"/>
                <w:szCs w:val="20"/>
              </w:rPr>
            </w:pPr>
            <w:r>
              <w:rPr>
                <w:rFonts w:hint="eastAsia" w:ascii="华文细黑" w:hAnsi="华文细黑" w:eastAsia="华文细黑" w:cs="宋体"/>
                <w:b/>
                <w:bCs/>
                <w:color w:val="FFFFFF"/>
                <w:sz w:val="20"/>
                <w:szCs w:val="20"/>
              </w:rPr>
              <w:t>调减额度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09" w:type="dxa"/>
            <w:vAlign w:val="center"/>
          </w:tcPr>
          <w:p>
            <w:pPr>
              <w:jc w:val="center"/>
              <w:rPr>
                <w:rFonts w:eastAsia="华文细黑" w:cs="Calibri" w:asciiTheme="minorHAnsi" w:hAnsiTheme="minorHAnsi"/>
                <w:sz w:val="20"/>
                <w:szCs w:val="20"/>
              </w:rPr>
            </w:pPr>
            <w:r>
              <w:rPr>
                <w:rFonts w:hint="eastAsia" w:eastAsia="华文细黑" w:cs="Calibri" w:asciiTheme="minorHAnsi" w:hAnsiTheme="minorHAnsi"/>
                <w:sz w:val="20"/>
                <w:szCs w:val="20"/>
              </w:rPr>
              <w:t>1</w:t>
            </w:r>
          </w:p>
        </w:tc>
        <w:tc>
          <w:tcPr>
            <w:tcW w:w="3261" w:type="dxa"/>
            <w:shd w:val="clear" w:color="auto" w:fill="auto"/>
            <w:noWrap/>
            <w:vAlign w:val="center"/>
          </w:tcPr>
          <w:p>
            <w:pPr>
              <w:rPr>
                <w:rFonts w:ascii="华文细黑" w:hAnsi="华文细黑" w:eastAsia="华文细黑" w:cs="Calibri"/>
                <w:sz w:val="20"/>
                <w:szCs w:val="20"/>
              </w:rPr>
            </w:pPr>
            <w:r>
              <w:rPr>
                <w:rFonts w:hint="eastAsia" w:ascii="华文细黑" w:hAnsi="华文细黑" w:eastAsia="华文细黑" w:cs="Calibri"/>
                <w:sz w:val="20"/>
                <w:szCs w:val="20"/>
              </w:rPr>
              <w:t>三亚崖州湾科技城全球生物谷（三亚）污水处理及再生水管道工程</w:t>
            </w:r>
          </w:p>
        </w:tc>
        <w:tc>
          <w:tcPr>
            <w:tcW w:w="2126" w:type="dxa"/>
            <w:vAlign w:val="center"/>
          </w:tcPr>
          <w:p>
            <w:pPr>
              <w:jc w:val="center"/>
              <w:rPr>
                <w:rFonts w:ascii="Verdana" w:hAnsi="Verdana" w:eastAsia="等线"/>
                <w:sz w:val="20"/>
                <w:szCs w:val="20"/>
              </w:rPr>
            </w:pPr>
            <w:r>
              <w:rPr>
                <w:rFonts w:eastAsia="华文细黑" w:cs="Calibri" w:asciiTheme="minorHAnsi" w:hAnsiTheme="minorHAnsi"/>
                <w:sz w:val="20"/>
                <w:szCs w:val="20"/>
              </w:rPr>
              <w:t>2023</w:t>
            </w:r>
            <w:r>
              <w:rPr>
                <w:rFonts w:hint="eastAsia" w:eastAsia="华文细黑" w:cs="Calibri" w:asciiTheme="minorHAnsi" w:hAnsiTheme="minorHAnsi"/>
                <w:sz w:val="20"/>
                <w:szCs w:val="20"/>
              </w:rPr>
              <w:t>年三亚市人民政府蓝色债券</w:t>
            </w:r>
          </w:p>
        </w:tc>
        <w:tc>
          <w:tcPr>
            <w:tcW w:w="1134" w:type="dxa"/>
            <w:vAlign w:val="center"/>
          </w:tcPr>
          <w:p>
            <w:pPr>
              <w:jc w:val="right"/>
              <w:rPr>
                <w:rFonts w:ascii="Verdana" w:hAnsi="Verdana" w:eastAsia="等线"/>
                <w:sz w:val="20"/>
                <w:szCs w:val="20"/>
              </w:rPr>
            </w:pPr>
            <w:r>
              <w:rPr>
                <w:rFonts w:hint="eastAsia" w:eastAsia="华文细黑" w:cs="Calibri" w:asciiTheme="minorHAnsi" w:hAnsiTheme="minorHAnsi"/>
                <w:sz w:val="20"/>
                <w:szCs w:val="20"/>
              </w:rPr>
              <w:t>5年</w:t>
            </w:r>
          </w:p>
        </w:tc>
        <w:tc>
          <w:tcPr>
            <w:tcW w:w="1094" w:type="dxa"/>
            <w:vAlign w:val="center"/>
          </w:tcPr>
          <w:p>
            <w:pPr>
              <w:jc w:val="right"/>
              <w:rPr>
                <w:rFonts w:ascii="Verdana" w:hAnsi="Verdana" w:eastAsia="等线"/>
                <w:sz w:val="20"/>
                <w:szCs w:val="20"/>
              </w:rPr>
            </w:pPr>
            <w:r>
              <w:rPr>
                <w:rFonts w:hint="eastAsia" w:eastAsia="华文细黑" w:cs="Calibri" w:asciiTheme="minorHAnsi" w:hAnsiTheme="minorHAnsi"/>
                <w:sz w:val="20"/>
                <w:szCs w:val="20"/>
              </w:rPr>
              <w:t>2</w:t>
            </w:r>
            <w:r>
              <w:rPr>
                <w:rFonts w:eastAsia="华文细黑" w:cs="Calibri" w:asciiTheme="minorHAnsi" w:hAnsiTheme="minorHAnsi"/>
                <w:sz w:val="20"/>
                <w:szCs w:val="20"/>
              </w:rPr>
              <w:t>.</w:t>
            </w:r>
            <w:r>
              <w:rPr>
                <w:rFonts w:hint="eastAsia" w:eastAsia="华文细黑" w:cs="Calibri" w:asciiTheme="minorHAnsi" w:hAnsiTheme="minorHAnsi"/>
                <w:sz w:val="20"/>
                <w:szCs w:val="20"/>
              </w:rPr>
              <w:t>70</w:t>
            </w:r>
            <w:r>
              <w:rPr>
                <w:rFonts w:eastAsia="华文细黑" w:cs="Calibri" w:asciiTheme="minorHAnsi" w:hAnsiTheme="minorHAnsi"/>
                <w:sz w:val="20"/>
                <w:szCs w:val="20"/>
              </w:rPr>
              <w:t>%</w:t>
            </w:r>
          </w:p>
        </w:tc>
        <w:tc>
          <w:tcPr>
            <w:tcW w:w="1020" w:type="dxa"/>
            <w:shd w:val="clear" w:color="auto" w:fill="auto"/>
            <w:noWrap/>
            <w:vAlign w:val="center"/>
          </w:tcPr>
          <w:p>
            <w:pPr>
              <w:jc w:val="right"/>
              <w:rPr>
                <w:rFonts w:eastAsia="华文细黑" w:cs="Calibri" w:asciiTheme="minorHAnsi" w:hAnsiTheme="minorHAnsi"/>
                <w:sz w:val="20"/>
                <w:szCs w:val="20"/>
              </w:rPr>
            </w:pPr>
            <w:r>
              <w:rPr>
                <w:rFonts w:ascii="Verdana" w:hAnsi="Verdana" w:eastAsia="等线"/>
                <w:sz w:val="20"/>
                <w:szCs w:val="20"/>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09" w:type="dxa"/>
            <w:vAlign w:val="center"/>
          </w:tcPr>
          <w:p>
            <w:pPr>
              <w:jc w:val="center"/>
              <w:rPr>
                <w:rFonts w:ascii="华文细黑" w:hAnsi="华文细黑" w:eastAsia="华文细黑" w:cs="宋体"/>
                <w:b/>
                <w:bCs/>
                <w:color w:val="000000"/>
                <w:sz w:val="20"/>
                <w:szCs w:val="20"/>
              </w:rPr>
            </w:pPr>
          </w:p>
        </w:tc>
        <w:tc>
          <w:tcPr>
            <w:tcW w:w="3261" w:type="dxa"/>
            <w:shd w:val="clear" w:color="auto" w:fill="auto"/>
            <w:noWrap/>
            <w:vAlign w:val="center"/>
          </w:tcPr>
          <w:p>
            <w:pPr>
              <w:jc w:val="center"/>
              <w:rPr>
                <w:rFonts w:ascii="华文细黑" w:hAnsi="华文细黑" w:eastAsia="华文细黑" w:cs="Calibri"/>
                <w:b/>
                <w:sz w:val="20"/>
                <w:szCs w:val="20"/>
              </w:rPr>
            </w:pPr>
            <w:r>
              <w:rPr>
                <w:rFonts w:hint="eastAsia" w:ascii="华文细黑" w:hAnsi="华文细黑" w:eastAsia="华文细黑" w:cs="Calibri"/>
                <w:b/>
                <w:sz w:val="20"/>
                <w:szCs w:val="20"/>
              </w:rPr>
              <w:t>合计</w:t>
            </w:r>
          </w:p>
        </w:tc>
        <w:tc>
          <w:tcPr>
            <w:tcW w:w="2126" w:type="dxa"/>
          </w:tcPr>
          <w:p>
            <w:pPr>
              <w:jc w:val="right"/>
              <w:rPr>
                <w:rFonts w:eastAsia="华文细黑" w:cs="Calibri" w:asciiTheme="minorHAnsi" w:hAnsiTheme="minorHAnsi"/>
                <w:b/>
                <w:bCs/>
                <w:sz w:val="20"/>
                <w:szCs w:val="20"/>
              </w:rPr>
            </w:pPr>
          </w:p>
        </w:tc>
        <w:tc>
          <w:tcPr>
            <w:tcW w:w="1134" w:type="dxa"/>
            <w:shd w:val="clear" w:color="auto" w:fill="FFFFFF" w:themeFill="background1"/>
          </w:tcPr>
          <w:p>
            <w:pPr>
              <w:jc w:val="right"/>
              <w:rPr>
                <w:rFonts w:eastAsia="华文细黑" w:cs="Calibri" w:asciiTheme="minorHAnsi" w:hAnsiTheme="minorHAnsi"/>
                <w:b/>
                <w:bCs/>
                <w:sz w:val="20"/>
                <w:szCs w:val="20"/>
              </w:rPr>
            </w:pPr>
          </w:p>
        </w:tc>
        <w:tc>
          <w:tcPr>
            <w:tcW w:w="1094" w:type="dxa"/>
            <w:shd w:val="clear" w:color="auto" w:fill="FFFFFF" w:themeFill="background1"/>
          </w:tcPr>
          <w:p>
            <w:pPr>
              <w:jc w:val="right"/>
              <w:rPr>
                <w:rFonts w:eastAsia="华文细黑" w:cs="Calibri" w:asciiTheme="minorHAnsi" w:hAnsiTheme="minorHAnsi"/>
                <w:b/>
                <w:bCs/>
                <w:sz w:val="20"/>
                <w:szCs w:val="20"/>
              </w:rPr>
            </w:pPr>
          </w:p>
        </w:tc>
        <w:tc>
          <w:tcPr>
            <w:tcW w:w="1020" w:type="dxa"/>
            <w:shd w:val="clear" w:color="auto" w:fill="FFFFFF" w:themeFill="background1"/>
            <w:noWrap/>
            <w:vAlign w:val="center"/>
          </w:tcPr>
          <w:p>
            <w:pPr>
              <w:jc w:val="right"/>
              <w:rPr>
                <w:rFonts w:eastAsia="华文细黑" w:cs="Calibri" w:asciiTheme="minorHAnsi" w:hAnsiTheme="minorHAnsi"/>
                <w:b/>
                <w:bCs/>
                <w:sz w:val="20"/>
                <w:szCs w:val="20"/>
              </w:rPr>
            </w:pPr>
            <w:r>
              <w:rPr>
                <w:rFonts w:eastAsia="华文细黑" w:cs="Calibri" w:asciiTheme="minorHAnsi" w:hAnsiTheme="minorHAnsi"/>
                <w:b/>
                <w:bCs/>
                <w:sz w:val="20"/>
                <w:szCs w:val="20"/>
              </w:rPr>
              <w:t>500</w:t>
            </w:r>
          </w:p>
        </w:tc>
      </w:tr>
      <w:bookmarkEnd w:id="45"/>
    </w:tbl>
    <w:p>
      <w:pPr>
        <w:jc w:val="center"/>
        <w:rPr>
          <w:rFonts w:eastAsia="华文细黑" w:asciiTheme="minorHAnsi" w:hAnsiTheme="minorHAnsi"/>
          <w:b/>
          <w:color w:val="000000"/>
        </w:rPr>
      </w:pPr>
    </w:p>
    <w:p>
      <w:pPr>
        <w:jc w:val="right"/>
        <w:rPr>
          <w:rFonts w:eastAsia="华文细黑" w:asciiTheme="minorHAnsi" w:hAnsiTheme="minorHAnsi"/>
          <w:color w:val="000000"/>
          <w:sz w:val="20"/>
          <w:szCs w:val="22"/>
        </w:rPr>
      </w:pPr>
    </w:p>
    <w:p>
      <w:pPr>
        <w:widowControl w:val="0"/>
        <w:snapToGrid w:val="0"/>
        <w:spacing w:line="520" w:lineRule="exact"/>
        <w:ind w:firstLine="480" w:firstLineChars="200"/>
        <w:jc w:val="both"/>
        <w:rPr>
          <w:rFonts w:ascii="Verdana" w:hAnsi="Verdana" w:eastAsia="华文细黑" w:cs="仿宋"/>
        </w:rPr>
      </w:pPr>
      <w:bookmarkStart w:id="46" w:name="_Hlk150179732"/>
      <w:r>
        <w:rPr>
          <w:rFonts w:hint="eastAsia" w:ascii="Verdana" w:hAnsi="Verdana" w:eastAsia="华文细黑" w:cs="仿宋"/>
        </w:rPr>
        <w:t>为保障本项目合理融资需求，按照《中华人民共和国预算法》（</w:t>
      </w:r>
      <w:r>
        <w:rPr>
          <w:rFonts w:ascii="Verdana" w:hAnsi="Verdana" w:eastAsia="华文细黑" w:cs="仿宋"/>
        </w:rPr>
        <w:t>2018</w:t>
      </w:r>
      <w:r>
        <w:rPr>
          <w:rFonts w:hint="eastAsia" w:ascii="Verdana" w:hAnsi="Verdana" w:eastAsia="华文细黑" w:cs="仿宋"/>
        </w:rPr>
        <w:t>年修订）、《国务院关于加强地方政府性债务管理的意见》（国发〔</w:t>
      </w:r>
      <w:r>
        <w:rPr>
          <w:rFonts w:ascii="Verdana" w:hAnsi="Verdana" w:eastAsia="华文细黑" w:cs="仿宋"/>
        </w:rPr>
        <w:t>2014</w:t>
      </w:r>
      <w:r>
        <w:rPr>
          <w:rFonts w:hint="eastAsia" w:ascii="Verdana" w:hAnsi="Verdana" w:eastAsia="华文细黑" w:cs="仿宋"/>
        </w:rPr>
        <w:t>〕</w:t>
      </w:r>
      <w:r>
        <w:rPr>
          <w:rFonts w:ascii="Verdana" w:hAnsi="Verdana" w:eastAsia="华文细黑" w:cs="仿宋"/>
        </w:rPr>
        <w:t>43</w:t>
      </w:r>
      <w:r>
        <w:rPr>
          <w:rFonts w:hint="eastAsia" w:ascii="Verdana" w:hAnsi="Verdana" w:eastAsia="华文细黑" w:cs="仿宋"/>
        </w:rPr>
        <w:t>号）、《关于做好</w:t>
      </w:r>
      <w:r>
        <w:rPr>
          <w:rFonts w:ascii="Verdana" w:hAnsi="Verdana" w:eastAsia="华文细黑" w:cs="仿宋"/>
        </w:rPr>
        <w:t>2018</w:t>
      </w:r>
      <w:r>
        <w:rPr>
          <w:rFonts w:hint="eastAsia" w:ascii="Verdana" w:hAnsi="Verdana" w:eastAsia="华文细黑" w:cs="仿宋"/>
        </w:rPr>
        <w:t>年地方政府债券发行工作的意见》（财库〔</w:t>
      </w:r>
      <w:r>
        <w:rPr>
          <w:rFonts w:ascii="Verdana" w:hAnsi="Verdana" w:eastAsia="华文细黑" w:cs="仿宋"/>
        </w:rPr>
        <w:t>2018</w:t>
      </w:r>
      <w:r>
        <w:rPr>
          <w:rFonts w:hint="eastAsia" w:ascii="Verdana" w:hAnsi="Verdana" w:eastAsia="华文细黑" w:cs="仿宋"/>
        </w:rPr>
        <w:t>〕</w:t>
      </w:r>
      <w:r>
        <w:rPr>
          <w:rFonts w:ascii="Verdana" w:hAnsi="Verdana" w:eastAsia="华文细黑" w:cs="仿宋"/>
        </w:rPr>
        <w:t>61</w:t>
      </w:r>
      <w:r>
        <w:rPr>
          <w:rFonts w:hint="eastAsia" w:ascii="Verdana" w:hAnsi="Verdana" w:eastAsia="华文细黑" w:cs="仿宋"/>
        </w:rPr>
        <w:t>号）等文件精神，结合本项目建设计划和三亚市</w:t>
      </w:r>
      <w:r>
        <w:rPr>
          <w:rFonts w:ascii="Verdana" w:hAnsi="Verdana" w:eastAsia="华文细黑" w:cs="仿宋"/>
        </w:rPr>
        <w:t>2023</w:t>
      </w:r>
      <w:r>
        <w:rPr>
          <w:rFonts w:hint="eastAsia" w:ascii="Verdana" w:hAnsi="Verdana" w:eastAsia="华文细黑" w:cs="仿宋"/>
        </w:rPr>
        <w:t>年发债计划，三亚市政府决定调剂地方政府专项债券，以满足三亚市基础设施建设的融资需求。</w:t>
      </w:r>
    </w:p>
    <w:bookmarkEnd w:id="46"/>
    <w:p>
      <w:pPr>
        <w:rPr>
          <w:rFonts w:ascii="Verdana" w:hAnsi="Verdana" w:eastAsia="华文细黑" w:cs="仿宋"/>
        </w:rPr>
      </w:pPr>
    </w:p>
    <w:p>
      <w:pPr>
        <w:spacing w:before="120" w:after="120" w:line="360" w:lineRule="auto"/>
        <w:ind w:firstLine="641" w:firstLineChars="200"/>
        <w:jc w:val="both"/>
        <w:outlineLvl w:val="0"/>
        <w:rPr>
          <w:rFonts w:ascii="Verdana" w:hAnsi="Verdana" w:eastAsia="华文细黑" w:cs="Calibri"/>
          <w:b/>
          <w:sz w:val="32"/>
          <w:szCs w:val="32"/>
        </w:rPr>
      </w:pPr>
      <w:bookmarkStart w:id="47" w:name="_Toc523219305"/>
      <w:bookmarkEnd w:id="47"/>
      <w:bookmarkStart w:id="48" w:name="_Toc523219212"/>
      <w:bookmarkEnd w:id="48"/>
      <w:bookmarkStart w:id="49" w:name="_Toc522562161"/>
      <w:bookmarkEnd w:id="49"/>
      <w:bookmarkStart w:id="50" w:name="_Toc523219216"/>
      <w:bookmarkEnd w:id="50"/>
      <w:bookmarkStart w:id="51" w:name="_Toc522983417"/>
      <w:bookmarkEnd w:id="51"/>
      <w:bookmarkStart w:id="52" w:name="_Toc522562113"/>
      <w:bookmarkEnd w:id="52"/>
      <w:bookmarkStart w:id="53" w:name="_Toc522983414"/>
      <w:bookmarkEnd w:id="53"/>
      <w:bookmarkStart w:id="54" w:name="_Toc523219301"/>
      <w:bookmarkEnd w:id="54"/>
      <w:bookmarkStart w:id="55" w:name="_Toc522562164"/>
      <w:bookmarkEnd w:id="55"/>
      <w:bookmarkStart w:id="56" w:name="_Toc522562110"/>
      <w:bookmarkEnd w:id="56"/>
      <w:bookmarkStart w:id="57" w:name="_Toc523219303"/>
      <w:bookmarkEnd w:id="57"/>
      <w:bookmarkStart w:id="58" w:name="_Toc523219214"/>
      <w:bookmarkEnd w:id="58"/>
      <w:bookmarkStart w:id="59" w:name="_Toc135044144"/>
      <w:r>
        <w:rPr>
          <w:rFonts w:ascii="Verdana" w:hAnsi="Verdana" w:eastAsia="华文细黑" w:cs="Calibri"/>
          <w:b/>
          <w:sz w:val="32"/>
          <w:szCs w:val="32"/>
        </w:rPr>
        <w:t>三、评估要素</w:t>
      </w:r>
      <w:bookmarkEnd w:id="59"/>
    </w:p>
    <w:p>
      <w:pPr>
        <w:spacing w:before="120" w:after="120" w:line="360" w:lineRule="auto"/>
        <w:ind w:firstLine="510"/>
        <w:jc w:val="both"/>
        <w:rPr>
          <w:rFonts w:ascii="Verdana" w:hAnsi="Verdana" w:eastAsia="华文细黑" w:cs="Calibri"/>
          <w:color w:val="000000"/>
        </w:rPr>
      </w:pPr>
      <w:r>
        <w:rPr>
          <w:rFonts w:ascii="Verdana" w:hAnsi="Verdana" w:eastAsia="华文细黑" w:cs="Calibri"/>
          <w:color w:val="000000"/>
        </w:rPr>
        <w:t>2017年财政部公布《关于试点发展项目收益与融资自求平衡的地方政府专项债券品种的通知》（财预〔2017〕89号），提出在法定专项债务限额内，各地方按照本地区政府性基金收入项目分类发行专项债券，着力发展实现项目收益与融资自求平衡的专项债券品种。2018年财政部公布《关于做好2018年地方政府债务管理工作的通知》（财预〔2018〕34号），鼓励有条件的地方试点发展项目收益与融资自求平衡的专项债券，优先在重大区域发展以及乡村振兴、生态环保、保障性住房、公立医院、公立高校、交通、水利、市政基础设施等领域选择符合条件的项目，积极探索试点发行项目收益专项债券，以对应的政府性基金或专项收入偿还。</w:t>
      </w:r>
    </w:p>
    <w:p>
      <w:pPr>
        <w:spacing w:before="120" w:after="120" w:line="360" w:lineRule="auto"/>
        <w:ind w:firstLine="510"/>
        <w:jc w:val="both"/>
        <w:rPr>
          <w:rFonts w:ascii="Verdana" w:hAnsi="Verdana" w:eastAsia="华文细黑" w:cs="Calibri"/>
          <w:color w:val="000000"/>
        </w:rPr>
      </w:pPr>
      <w:r>
        <w:rPr>
          <w:rFonts w:ascii="Verdana" w:hAnsi="Verdana" w:eastAsia="华文细黑" w:cs="Calibri"/>
          <w:color w:val="000000"/>
        </w:rPr>
        <w:t>根据财预〔2017〕89号文件的要求，分类发行专项债券建设的项目，应当能够产生持续稳定的反映为政府性基金收入或专项收入的现金流收入，且现金流收入应当能够完全覆盖专项债券还本付息的规模。</w:t>
      </w:r>
    </w:p>
    <w:p>
      <w:pPr>
        <w:spacing w:before="120" w:after="120" w:line="360" w:lineRule="auto"/>
        <w:ind w:firstLine="510"/>
        <w:jc w:val="both"/>
        <w:rPr>
          <w:rFonts w:ascii="Verdana" w:hAnsi="Verdana" w:eastAsia="华文细黑" w:cs="Calibri"/>
          <w:color w:val="000000"/>
        </w:rPr>
      </w:pPr>
      <w:r>
        <w:rPr>
          <w:rFonts w:ascii="Verdana" w:hAnsi="Verdana" w:eastAsia="华文细黑" w:cs="Calibri"/>
          <w:color w:val="000000"/>
        </w:rPr>
        <w:t>此外，根据文件相关要求，地方政府发行专项债券，需要在满足法定专项债务限额的前提下，充分考虑资金筹措的充足性和稳定性。</w:t>
      </w:r>
    </w:p>
    <w:p>
      <w:pPr>
        <w:spacing w:before="120" w:after="120" w:line="360" w:lineRule="auto"/>
        <w:ind w:firstLine="510"/>
        <w:jc w:val="both"/>
        <w:rPr>
          <w:rFonts w:ascii="Verdana" w:hAnsi="Verdana" w:eastAsia="华文细黑" w:cs="Calibri"/>
          <w:color w:val="000000"/>
        </w:rPr>
      </w:pPr>
      <w:r>
        <w:rPr>
          <w:rFonts w:ascii="Verdana" w:hAnsi="Verdana" w:eastAsia="华文细黑" w:cs="Calibri"/>
          <w:color w:val="000000"/>
        </w:rPr>
        <w:t>我们根据国家、地方相关政策文件，以真实、客观、可行、独立为原则，对本项目专项债券分析评价如下：</w:t>
      </w:r>
    </w:p>
    <w:p>
      <w:pPr>
        <w:spacing w:before="120" w:after="120" w:line="360" w:lineRule="auto"/>
        <w:ind w:firstLine="561" w:firstLineChars="200"/>
        <w:outlineLvl w:val="0"/>
        <w:rPr>
          <w:rFonts w:ascii="Verdana" w:hAnsi="Verdana" w:eastAsia="华文细黑" w:cs="Calibri"/>
          <w:b/>
          <w:sz w:val="28"/>
        </w:rPr>
      </w:pPr>
      <w:bookmarkStart w:id="60" w:name="_Toc135044145"/>
      <w:r>
        <w:rPr>
          <w:rFonts w:ascii="Verdana" w:hAnsi="Verdana" w:eastAsia="华文细黑" w:cs="Calibri"/>
          <w:b/>
          <w:sz w:val="28"/>
        </w:rPr>
        <w:t>1．资金充足性</w:t>
      </w:r>
      <w:bookmarkEnd w:id="60"/>
    </w:p>
    <w:p>
      <w:pPr>
        <w:spacing w:before="120" w:after="120" w:line="360" w:lineRule="auto"/>
        <w:ind w:firstLine="510"/>
        <w:jc w:val="both"/>
        <w:rPr>
          <w:rFonts w:ascii="Verdana" w:hAnsi="Verdana" w:eastAsia="华文细黑" w:cs="Calibri"/>
          <w:color w:val="000000"/>
        </w:rPr>
      </w:pPr>
      <w:r>
        <w:rPr>
          <w:rFonts w:ascii="Verdana" w:hAnsi="Verdana" w:eastAsia="华文细黑" w:cs="Calibri"/>
          <w:color w:val="000000"/>
        </w:rPr>
        <w:t>本次债券发行涉及的项目</w:t>
      </w:r>
      <w:bookmarkStart w:id="61" w:name="_Hlk150179804"/>
      <w:r>
        <w:rPr>
          <w:rFonts w:ascii="Verdana" w:hAnsi="Verdana" w:eastAsia="华文细黑" w:cs="Calibri"/>
          <w:color w:val="000000"/>
        </w:rPr>
        <w:t>本期</w:t>
      </w:r>
      <w:r>
        <w:rPr>
          <w:rFonts w:hint="eastAsia" w:ascii="Verdana" w:hAnsi="Verdana" w:eastAsia="华文细黑" w:cs="Calibri"/>
          <w:color w:val="000000"/>
        </w:rPr>
        <w:t>调增</w:t>
      </w:r>
      <w:r>
        <w:rPr>
          <w:rFonts w:ascii="Verdana" w:hAnsi="Verdana" w:eastAsia="华文细黑" w:cs="Calibri"/>
          <w:color w:val="000000"/>
        </w:rPr>
        <w:t>专项债券500.00</w:t>
      </w:r>
      <w:bookmarkEnd w:id="61"/>
      <w:r>
        <w:rPr>
          <w:rFonts w:ascii="Verdana" w:hAnsi="Verdana" w:eastAsia="华文细黑" w:cs="Calibri"/>
          <w:color w:val="000000"/>
        </w:rPr>
        <w:t>万元，其中，</w:t>
      </w:r>
      <w:bookmarkStart w:id="62" w:name="_Hlk150180715"/>
      <w:bookmarkStart w:id="63" w:name="_Hlk150179840"/>
      <w:r>
        <w:rPr>
          <w:rFonts w:hint="eastAsia" w:ascii="Verdana" w:hAnsi="Verdana" w:eastAsia="华文细黑" w:cs="Calibri"/>
          <w:color w:val="000000"/>
        </w:rPr>
        <w:t>吉阳区新村社区饮水巩固提升工程</w:t>
      </w:r>
      <w:r>
        <w:rPr>
          <w:rFonts w:ascii="Verdana" w:hAnsi="Verdana" w:eastAsia="华文细黑" w:cs="Calibri"/>
          <w:color w:val="000000"/>
        </w:rPr>
        <w:t>调增债券资金500.00万元，调入存量债券资金为2023</w:t>
      </w:r>
      <w:r>
        <w:rPr>
          <w:rFonts w:hint="eastAsia" w:ascii="Verdana" w:hAnsi="Verdana" w:eastAsia="华文细黑" w:cs="Calibri"/>
          <w:color w:val="000000"/>
        </w:rPr>
        <w:t>年三亚市人民政府蓝色债券</w:t>
      </w:r>
      <w:r>
        <w:rPr>
          <w:rFonts w:ascii="Verdana" w:hAnsi="Verdana" w:eastAsia="华文细黑" w:cs="Calibri"/>
          <w:color w:val="000000"/>
        </w:rPr>
        <w:t>利用</w:t>
      </w:r>
      <w:r>
        <w:rPr>
          <w:rFonts w:hint="eastAsia" w:ascii="Verdana" w:hAnsi="Verdana" w:eastAsia="华文细黑" w:cs="Calibri"/>
          <w:color w:val="000000"/>
        </w:rPr>
        <w:t>三亚崖州湾科技城全球生物谷（三亚）污水处理及再生水管道工程</w:t>
      </w:r>
      <w:r>
        <w:rPr>
          <w:rFonts w:ascii="Verdana" w:hAnsi="Verdana" w:eastAsia="华文细黑" w:cs="Calibri"/>
          <w:color w:val="000000"/>
        </w:rPr>
        <w:t>结余未使用的资金500.00万元</w:t>
      </w:r>
      <w:r>
        <w:rPr>
          <w:rFonts w:hint="eastAsia" w:ascii="Verdana" w:hAnsi="Verdana" w:eastAsia="华文细黑" w:cs="Calibri"/>
          <w:color w:val="000000"/>
        </w:rPr>
        <w:t>。</w:t>
      </w:r>
      <w:bookmarkEnd w:id="62"/>
      <w:bookmarkEnd w:id="63"/>
      <w:r>
        <w:rPr>
          <w:rFonts w:ascii="Verdana" w:hAnsi="Verdana" w:eastAsia="华文细黑" w:cs="Calibri"/>
          <w:color w:val="000000"/>
        </w:rPr>
        <w:t>债券本息和567.50万元，全周期项目累计可偿债收益为684.00万元。根据项目收益与融资平衡分析结果显示，债券存续期内还本付息资金充足，综合本息覆盖率可达到1.21，本息覆盖倍数可达到1.21倍；详见表</w:t>
      </w:r>
      <w:r>
        <w:rPr>
          <w:rFonts w:hint="eastAsia" w:ascii="Verdana" w:hAnsi="Verdana" w:eastAsia="华文细黑" w:cs="Calibri"/>
          <w:color w:val="000000"/>
        </w:rPr>
        <w:t>2</w:t>
      </w:r>
      <w:r>
        <w:rPr>
          <w:rFonts w:ascii="Verdana" w:hAnsi="Verdana" w:eastAsia="华文细黑" w:cs="Calibri"/>
          <w:color w:val="000000"/>
        </w:rPr>
        <w:t>：</w:t>
      </w:r>
    </w:p>
    <w:p>
      <w:pPr>
        <w:spacing w:after="160" w:line="259" w:lineRule="auto"/>
        <w:jc w:val="center"/>
        <w:rPr>
          <w:rFonts w:ascii="Verdana" w:hAnsi="Verdana" w:eastAsia="华文细黑" w:cs="Calibri"/>
          <w:b/>
          <w:color w:val="000000"/>
        </w:rPr>
      </w:pPr>
      <w:r>
        <w:rPr>
          <w:rFonts w:ascii="Verdana" w:hAnsi="Verdana" w:eastAsia="华文细黑" w:cs="Calibri"/>
          <w:b/>
          <w:color w:val="000000"/>
        </w:rPr>
        <w:t>表</w:t>
      </w:r>
      <w:r>
        <w:rPr>
          <w:rFonts w:hint="eastAsia" w:ascii="Verdana" w:hAnsi="Verdana" w:eastAsia="华文细黑" w:cs="Calibri"/>
          <w:b/>
          <w:color w:val="000000"/>
        </w:rPr>
        <w:t>2</w:t>
      </w:r>
      <w:r>
        <w:rPr>
          <w:rFonts w:ascii="Verdana" w:hAnsi="Verdana" w:eastAsia="华文细黑" w:cs="Calibri"/>
          <w:b/>
          <w:color w:val="000000"/>
        </w:rPr>
        <w:t>项目总投资估算表</w:t>
      </w:r>
    </w:p>
    <w:p>
      <w:pPr>
        <w:ind w:right="-680"/>
        <w:jc w:val="right"/>
        <w:rPr>
          <w:rFonts w:ascii="Verdana" w:hAnsi="Verdana" w:eastAsia="华文细黑" w:cs="Calibri"/>
          <w:color w:val="000000"/>
          <w:sz w:val="20"/>
          <w:szCs w:val="20"/>
        </w:rPr>
      </w:pPr>
      <w:r>
        <w:rPr>
          <w:rFonts w:ascii="Verdana" w:hAnsi="Verdana" w:eastAsia="华文细黑" w:cs="Calibri"/>
          <w:color w:val="000000"/>
          <w:sz w:val="20"/>
          <w:szCs w:val="20"/>
        </w:rPr>
        <w:t>单位：人民币万元</w:t>
      </w:r>
    </w:p>
    <w:tbl>
      <w:tblPr>
        <w:tblStyle w:val="9"/>
        <w:tblW w:w="1070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2126"/>
        <w:gridCol w:w="1419"/>
        <w:gridCol w:w="1274"/>
        <w:gridCol w:w="993"/>
        <w:gridCol w:w="992"/>
        <w:gridCol w:w="1276"/>
        <w:gridCol w:w="708"/>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tblHeader/>
          <w:jc w:val="center"/>
        </w:trPr>
        <w:tc>
          <w:tcPr>
            <w:tcW w:w="1212" w:type="dxa"/>
            <w:vMerge w:val="restart"/>
            <w:shd w:val="clear" w:color="000000" w:fill="0070C0"/>
            <w:noWrap/>
            <w:vAlign w:val="center"/>
          </w:tcPr>
          <w:p>
            <w:pPr>
              <w:jc w:val="center"/>
              <w:rPr>
                <w:rFonts w:ascii="Verdana" w:hAnsi="Verdana" w:eastAsia="华文细黑" w:cs="Calibri"/>
                <w:b/>
                <w:bCs/>
                <w:color w:val="FFFFFF" w:themeColor="background1"/>
                <w:sz w:val="18"/>
                <w:szCs w:val="18"/>
                <w14:textFill>
                  <w14:solidFill>
                    <w14:schemeClr w14:val="bg1"/>
                  </w14:solidFill>
                </w14:textFill>
              </w:rPr>
            </w:pPr>
            <w:bookmarkStart w:id="64" w:name="_Hlk150179986"/>
            <w:r>
              <w:rPr>
                <w:rFonts w:ascii="Verdana" w:hAnsi="Verdana" w:eastAsia="华文细黑" w:cs="Calibri"/>
                <w:b/>
                <w:bCs/>
                <w:color w:val="FFFFFF" w:themeColor="background1"/>
                <w:sz w:val="18"/>
                <w:szCs w:val="18"/>
                <w14:textFill>
                  <w14:solidFill>
                    <w14:schemeClr w14:val="bg1"/>
                  </w14:solidFill>
                </w14:textFill>
              </w:rPr>
              <w:t>序号</w:t>
            </w:r>
          </w:p>
        </w:tc>
        <w:tc>
          <w:tcPr>
            <w:tcW w:w="2126" w:type="dxa"/>
            <w:vMerge w:val="restart"/>
            <w:shd w:val="clear" w:color="000000" w:fill="0070C0"/>
            <w:noWrap/>
            <w:vAlign w:val="center"/>
          </w:tcPr>
          <w:p>
            <w:pPr>
              <w:jc w:val="center"/>
              <w:rPr>
                <w:rFonts w:ascii="Verdana" w:hAnsi="Verdana" w:eastAsia="华文细黑" w:cs="Calibri"/>
                <w:b/>
                <w:bCs/>
                <w:color w:val="FFFFFF" w:themeColor="background1"/>
                <w:sz w:val="18"/>
                <w:szCs w:val="18"/>
                <w14:textFill>
                  <w14:solidFill>
                    <w14:schemeClr w14:val="bg1"/>
                  </w14:solidFill>
                </w14:textFill>
              </w:rPr>
            </w:pPr>
            <w:r>
              <w:rPr>
                <w:rFonts w:ascii="Verdana" w:hAnsi="Verdana" w:eastAsia="华文细黑" w:cs="Calibri"/>
                <w:b/>
                <w:bCs/>
                <w:color w:val="FFFFFF" w:themeColor="background1"/>
                <w:sz w:val="18"/>
                <w:szCs w:val="18"/>
                <w14:textFill>
                  <w14:solidFill>
                    <w14:schemeClr w14:val="bg1"/>
                  </w14:solidFill>
                </w14:textFill>
              </w:rPr>
              <w:t>项目名称</w:t>
            </w:r>
          </w:p>
        </w:tc>
        <w:tc>
          <w:tcPr>
            <w:tcW w:w="1419" w:type="dxa"/>
            <w:vMerge w:val="restart"/>
            <w:shd w:val="clear" w:color="000000" w:fill="0070C0"/>
            <w:vAlign w:val="center"/>
          </w:tcPr>
          <w:p>
            <w:pPr>
              <w:jc w:val="center"/>
              <w:rPr>
                <w:rFonts w:ascii="Verdana" w:hAnsi="Verdana" w:eastAsia="华文细黑" w:cs="Calibri"/>
                <w:b/>
                <w:bCs/>
                <w:color w:val="FFFFFF" w:themeColor="background1"/>
                <w:sz w:val="18"/>
                <w:szCs w:val="18"/>
                <w14:textFill>
                  <w14:solidFill>
                    <w14:schemeClr w14:val="bg1"/>
                  </w14:solidFill>
                </w14:textFill>
              </w:rPr>
            </w:pPr>
            <w:r>
              <w:rPr>
                <w:rFonts w:ascii="Verdana" w:hAnsi="Verdana" w:eastAsia="华文细黑" w:cs="Calibri"/>
                <w:b/>
                <w:bCs/>
                <w:color w:val="FFFFFF" w:themeColor="background1"/>
                <w:sz w:val="18"/>
                <w:szCs w:val="18"/>
                <w14:textFill>
                  <w14:solidFill>
                    <w14:schemeClr w14:val="bg1"/>
                  </w14:solidFill>
                </w14:textFill>
              </w:rPr>
              <w:t>项目静态总投资</w:t>
            </w:r>
          </w:p>
        </w:tc>
        <w:tc>
          <w:tcPr>
            <w:tcW w:w="1274" w:type="dxa"/>
            <w:vMerge w:val="restart"/>
            <w:shd w:val="clear" w:color="000000" w:fill="0070C0"/>
            <w:vAlign w:val="center"/>
          </w:tcPr>
          <w:p>
            <w:pPr>
              <w:jc w:val="center"/>
              <w:rPr>
                <w:rFonts w:ascii="Verdana" w:hAnsi="Verdana" w:eastAsia="华文细黑" w:cs="Calibri"/>
                <w:b/>
                <w:bCs/>
                <w:color w:val="FFFFFF" w:themeColor="background1"/>
                <w:sz w:val="18"/>
                <w:szCs w:val="18"/>
                <w14:textFill>
                  <w14:solidFill>
                    <w14:schemeClr w14:val="bg1"/>
                  </w14:solidFill>
                </w14:textFill>
              </w:rPr>
            </w:pPr>
            <w:r>
              <w:rPr>
                <w:rFonts w:ascii="Verdana" w:hAnsi="Verdana" w:eastAsia="华文细黑" w:cs="Calibri"/>
                <w:b/>
                <w:bCs/>
                <w:color w:val="FFFFFF" w:themeColor="background1"/>
                <w:sz w:val="18"/>
                <w:szCs w:val="18"/>
                <w14:textFill>
                  <w14:solidFill>
                    <w14:schemeClr w14:val="bg1"/>
                  </w14:solidFill>
                </w14:textFill>
              </w:rPr>
              <w:t>用于资金平衡的项目收益</w:t>
            </w:r>
          </w:p>
        </w:tc>
        <w:tc>
          <w:tcPr>
            <w:tcW w:w="1985" w:type="dxa"/>
            <w:gridSpan w:val="2"/>
            <w:shd w:val="clear" w:color="000000" w:fill="0070C0"/>
            <w:vAlign w:val="center"/>
          </w:tcPr>
          <w:p>
            <w:pPr>
              <w:jc w:val="center"/>
              <w:rPr>
                <w:rFonts w:ascii="Verdana" w:hAnsi="Verdana" w:eastAsia="华文细黑" w:cs="Calibri"/>
                <w:b/>
                <w:bCs/>
                <w:color w:val="FFFFFF" w:themeColor="background1"/>
                <w:sz w:val="18"/>
                <w:szCs w:val="18"/>
                <w14:textFill>
                  <w14:solidFill>
                    <w14:schemeClr w14:val="bg1"/>
                  </w14:solidFill>
                </w14:textFill>
              </w:rPr>
            </w:pPr>
            <w:r>
              <w:rPr>
                <w:rFonts w:ascii="Verdana" w:hAnsi="Verdana" w:eastAsia="华文细黑" w:cs="Calibri"/>
                <w:b/>
                <w:bCs/>
                <w:color w:val="FFFFFF" w:themeColor="background1"/>
                <w:sz w:val="18"/>
                <w:szCs w:val="18"/>
                <w14:textFill>
                  <w14:solidFill>
                    <w14:schemeClr w14:val="bg1"/>
                  </w14:solidFill>
                </w14:textFill>
              </w:rPr>
              <w:t>发行额度</w:t>
            </w:r>
          </w:p>
        </w:tc>
        <w:tc>
          <w:tcPr>
            <w:tcW w:w="1276" w:type="dxa"/>
            <w:vMerge w:val="restart"/>
            <w:shd w:val="clear" w:color="000000" w:fill="0070C0"/>
            <w:vAlign w:val="center"/>
          </w:tcPr>
          <w:p>
            <w:pPr>
              <w:jc w:val="center"/>
              <w:rPr>
                <w:rFonts w:ascii="Verdana" w:hAnsi="Verdana" w:eastAsia="华文细黑" w:cs="Calibri"/>
                <w:b/>
                <w:bCs/>
                <w:color w:val="FFFFFF" w:themeColor="background1"/>
                <w:sz w:val="18"/>
                <w:szCs w:val="18"/>
                <w14:textFill>
                  <w14:solidFill>
                    <w14:schemeClr w14:val="bg1"/>
                  </w14:solidFill>
                </w14:textFill>
              </w:rPr>
            </w:pPr>
            <w:r>
              <w:rPr>
                <w:rFonts w:ascii="Verdana" w:hAnsi="Verdana" w:eastAsia="华文细黑" w:cs="Calibri"/>
                <w:b/>
                <w:bCs/>
                <w:color w:val="FFFFFF" w:themeColor="background1"/>
                <w:sz w:val="18"/>
                <w:szCs w:val="18"/>
                <w14:textFill>
                  <w14:solidFill>
                    <w14:schemeClr w14:val="bg1"/>
                  </w14:solidFill>
                </w14:textFill>
              </w:rPr>
              <w:t>预计本息和</w:t>
            </w:r>
          </w:p>
        </w:tc>
        <w:tc>
          <w:tcPr>
            <w:tcW w:w="708" w:type="dxa"/>
            <w:vMerge w:val="restart"/>
            <w:shd w:val="clear" w:color="000000" w:fill="0070C0"/>
            <w:vAlign w:val="center"/>
          </w:tcPr>
          <w:p>
            <w:pPr>
              <w:jc w:val="center"/>
              <w:rPr>
                <w:rFonts w:ascii="Verdana" w:hAnsi="Verdana" w:eastAsia="华文细黑" w:cs="Calibri"/>
                <w:b/>
                <w:bCs/>
                <w:color w:val="FFFFFF" w:themeColor="background1"/>
                <w:sz w:val="18"/>
                <w:szCs w:val="18"/>
                <w14:textFill>
                  <w14:solidFill>
                    <w14:schemeClr w14:val="bg1"/>
                  </w14:solidFill>
                </w14:textFill>
              </w:rPr>
            </w:pPr>
            <w:bookmarkStart w:id="65" w:name="RANGE!G18"/>
            <w:r>
              <w:rPr>
                <w:rFonts w:ascii="Verdana" w:hAnsi="Verdana" w:eastAsia="华文细黑" w:cs="Calibri"/>
                <w:b/>
                <w:bCs/>
                <w:color w:val="FFFFFF" w:themeColor="background1"/>
                <w:sz w:val="18"/>
                <w:szCs w:val="18"/>
                <w14:textFill>
                  <w14:solidFill>
                    <w14:schemeClr w14:val="bg1"/>
                  </w14:solidFill>
                </w14:textFill>
              </w:rPr>
              <w:t>本息覆盖率</w:t>
            </w:r>
            <w:bookmarkEnd w:id="65"/>
            <w:r>
              <w:rPr>
                <w:rFonts w:ascii="Verdana" w:hAnsi="Verdana" w:eastAsia="华文细黑"/>
                <w:b/>
                <w:color w:val="FFFFFF" w:themeColor="background1"/>
                <w:sz w:val="18"/>
                <w:szCs w:val="18"/>
                <w:vertAlign w:val="superscript"/>
                <w14:textFill>
                  <w14:solidFill>
                    <w14:schemeClr w14:val="bg1"/>
                  </w14:solidFill>
                </w14:textFill>
              </w:rPr>
              <w:footnoteReference w:id="0"/>
            </w:r>
          </w:p>
        </w:tc>
        <w:tc>
          <w:tcPr>
            <w:tcW w:w="709" w:type="dxa"/>
            <w:vMerge w:val="restart"/>
            <w:shd w:val="clear" w:color="000000" w:fill="0070C0"/>
            <w:vAlign w:val="center"/>
          </w:tcPr>
          <w:p>
            <w:pPr>
              <w:jc w:val="center"/>
              <w:rPr>
                <w:rFonts w:ascii="Verdana" w:hAnsi="Verdana" w:eastAsia="华文细黑" w:cs="Calibri"/>
                <w:b/>
                <w:bCs/>
                <w:color w:val="FFFFFF" w:themeColor="background1"/>
                <w:sz w:val="18"/>
                <w:szCs w:val="18"/>
                <w14:textFill>
                  <w14:solidFill>
                    <w14:schemeClr w14:val="bg1"/>
                  </w14:solidFill>
                </w14:textFill>
              </w:rPr>
            </w:pPr>
            <w:r>
              <w:rPr>
                <w:rFonts w:ascii="Verdana" w:hAnsi="Verdana" w:eastAsia="华文细黑" w:cs="Calibri"/>
                <w:b/>
                <w:bCs/>
                <w:color w:val="FFFFFF" w:themeColor="background1"/>
                <w:sz w:val="18"/>
                <w:szCs w:val="18"/>
                <w14:textFill>
                  <w14:solidFill>
                    <w14:schemeClr w14:val="bg1"/>
                  </w14:solidFill>
                </w14:textFill>
              </w:rPr>
              <w:t>本息覆盖倍数</w:t>
            </w:r>
            <w:r>
              <w:rPr>
                <w:rFonts w:ascii="Verdana" w:hAnsi="Verdana" w:eastAsia="华文细黑"/>
                <w:color w:val="FFFFFF" w:themeColor="background1"/>
                <w:sz w:val="18"/>
                <w:szCs w:val="18"/>
                <w:vertAlign w:val="superscript"/>
                <w14:textFill>
                  <w14:solidFill>
                    <w14:schemeClr w14:val="bg1"/>
                  </w14:solidFill>
                </w14:textFill>
              </w:rPr>
              <w:footnoteReference w:id="1"/>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tblHeader/>
          <w:jc w:val="center"/>
        </w:trPr>
        <w:tc>
          <w:tcPr>
            <w:tcW w:w="1212" w:type="dxa"/>
            <w:vMerge w:val="continue"/>
            <w:shd w:val="clear" w:color="000000" w:fill="0070C0"/>
            <w:noWrap/>
            <w:vAlign w:val="center"/>
          </w:tcPr>
          <w:p>
            <w:pPr>
              <w:jc w:val="center"/>
              <w:rPr>
                <w:rFonts w:ascii="Verdana" w:hAnsi="Verdana" w:eastAsia="华文细黑" w:cs="Calibri"/>
                <w:b/>
                <w:bCs/>
                <w:sz w:val="18"/>
                <w:szCs w:val="18"/>
              </w:rPr>
            </w:pPr>
          </w:p>
        </w:tc>
        <w:tc>
          <w:tcPr>
            <w:tcW w:w="2126" w:type="dxa"/>
            <w:vMerge w:val="continue"/>
            <w:shd w:val="clear" w:color="000000" w:fill="0070C0"/>
            <w:noWrap/>
            <w:vAlign w:val="center"/>
          </w:tcPr>
          <w:p>
            <w:pPr>
              <w:jc w:val="center"/>
              <w:rPr>
                <w:rFonts w:ascii="Verdana" w:hAnsi="Verdana" w:eastAsia="华文细黑" w:cs="Calibri"/>
                <w:b/>
                <w:bCs/>
                <w:sz w:val="18"/>
                <w:szCs w:val="18"/>
              </w:rPr>
            </w:pPr>
          </w:p>
        </w:tc>
        <w:tc>
          <w:tcPr>
            <w:tcW w:w="1419" w:type="dxa"/>
            <w:vMerge w:val="continue"/>
            <w:shd w:val="clear" w:color="000000" w:fill="0070C0"/>
            <w:vAlign w:val="center"/>
          </w:tcPr>
          <w:p>
            <w:pPr>
              <w:jc w:val="center"/>
              <w:rPr>
                <w:rFonts w:ascii="Verdana" w:hAnsi="Verdana" w:eastAsia="华文细黑" w:cs="Calibri"/>
                <w:b/>
                <w:bCs/>
                <w:sz w:val="18"/>
                <w:szCs w:val="18"/>
              </w:rPr>
            </w:pPr>
          </w:p>
        </w:tc>
        <w:tc>
          <w:tcPr>
            <w:tcW w:w="1274" w:type="dxa"/>
            <w:vMerge w:val="continue"/>
            <w:shd w:val="clear" w:color="000000" w:fill="0070C0"/>
            <w:vAlign w:val="center"/>
          </w:tcPr>
          <w:p>
            <w:pPr>
              <w:jc w:val="center"/>
              <w:rPr>
                <w:rFonts w:ascii="Verdana" w:hAnsi="Verdana" w:eastAsia="华文细黑" w:cs="Calibri"/>
                <w:b/>
                <w:bCs/>
                <w:sz w:val="18"/>
                <w:szCs w:val="18"/>
              </w:rPr>
            </w:pPr>
          </w:p>
        </w:tc>
        <w:tc>
          <w:tcPr>
            <w:tcW w:w="993" w:type="dxa"/>
            <w:shd w:val="clear" w:color="000000" w:fill="0070C0"/>
            <w:vAlign w:val="center"/>
          </w:tcPr>
          <w:p>
            <w:pPr>
              <w:jc w:val="center"/>
              <w:rPr>
                <w:rFonts w:ascii="Verdana" w:hAnsi="Verdana" w:eastAsia="华文细黑" w:cs="Calibri"/>
                <w:b/>
                <w:bCs/>
                <w:color w:val="FFFFFF" w:themeColor="background1"/>
                <w:sz w:val="18"/>
                <w:szCs w:val="18"/>
                <w14:textFill>
                  <w14:solidFill>
                    <w14:schemeClr w14:val="bg1"/>
                  </w14:solidFill>
                </w14:textFill>
              </w:rPr>
            </w:pPr>
            <w:r>
              <w:rPr>
                <w:rFonts w:ascii="Verdana" w:hAnsi="Verdana" w:eastAsia="华文细黑" w:cs="Calibri"/>
                <w:b/>
                <w:bCs/>
                <w:color w:val="FFFFFF" w:themeColor="background1"/>
                <w:sz w:val="18"/>
                <w:szCs w:val="18"/>
                <w14:textFill>
                  <w14:solidFill>
                    <w14:schemeClr w14:val="bg1"/>
                  </w14:solidFill>
                </w14:textFill>
              </w:rPr>
              <w:t>已发行额</w:t>
            </w:r>
          </w:p>
        </w:tc>
        <w:tc>
          <w:tcPr>
            <w:tcW w:w="992" w:type="dxa"/>
            <w:shd w:val="clear" w:color="000000" w:fill="0070C0"/>
            <w:vAlign w:val="center"/>
          </w:tcPr>
          <w:p>
            <w:pPr>
              <w:jc w:val="center"/>
              <w:rPr>
                <w:rFonts w:ascii="Verdana" w:hAnsi="Verdana" w:eastAsia="华文细黑" w:cs="Calibri"/>
                <w:b/>
                <w:bCs/>
                <w:color w:val="FFFFFF" w:themeColor="background1"/>
                <w:sz w:val="18"/>
                <w:szCs w:val="18"/>
                <w14:textFill>
                  <w14:solidFill>
                    <w14:schemeClr w14:val="bg1"/>
                  </w14:solidFill>
                </w14:textFill>
              </w:rPr>
            </w:pPr>
            <w:r>
              <w:rPr>
                <w:rFonts w:ascii="Verdana" w:hAnsi="Verdana" w:eastAsia="华文细黑" w:cs="Calibri"/>
                <w:b/>
                <w:bCs/>
                <w:color w:val="FFFFFF" w:themeColor="background1"/>
                <w:sz w:val="18"/>
                <w:szCs w:val="18"/>
                <w14:textFill>
                  <w14:solidFill>
                    <w14:schemeClr w14:val="bg1"/>
                  </w14:solidFill>
                </w14:textFill>
              </w:rPr>
              <w:t>本期</w:t>
            </w:r>
            <w:r>
              <w:rPr>
                <w:rFonts w:hint="eastAsia" w:ascii="Verdana" w:hAnsi="Verdana" w:eastAsia="华文细黑" w:cs="Calibri"/>
                <w:b/>
                <w:bCs/>
                <w:color w:val="FFFFFF" w:themeColor="background1"/>
                <w:sz w:val="18"/>
                <w:szCs w:val="18"/>
                <w14:textFill>
                  <w14:solidFill>
                    <w14:schemeClr w14:val="bg1"/>
                  </w14:solidFill>
                </w14:textFill>
              </w:rPr>
              <w:t>调增</w:t>
            </w:r>
            <w:r>
              <w:rPr>
                <w:rFonts w:ascii="Verdana" w:hAnsi="Verdana" w:eastAsia="华文细黑" w:cs="Calibri"/>
                <w:b/>
                <w:bCs/>
                <w:color w:val="FFFFFF" w:themeColor="background1"/>
                <w:sz w:val="18"/>
                <w:szCs w:val="18"/>
                <w14:textFill>
                  <w14:solidFill>
                    <w14:schemeClr w14:val="bg1"/>
                  </w14:solidFill>
                </w14:textFill>
              </w:rPr>
              <w:t>额</w:t>
            </w:r>
          </w:p>
        </w:tc>
        <w:tc>
          <w:tcPr>
            <w:tcW w:w="1276" w:type="dxa"/>
            <w:vMerge w:val="continue"/>
            <w:shd w:val="clear" w:color="000000" w:fill="0070C0"/>
            <w:vAlign w:val="center"/>
          </w:tcPr>
          <w:p>
            <w:pPr>
              <w:jc w:val="center"/>
              <w:rPr>
                <w:rFonts w:ascii="Verdana" w:hAnsi="Verdana" w:eastAsia="华文细黑" w:cs="Calibri"/>
                <w:b/>
                <w:bCs/>
                <w:sz w:val="18"/>
                <w:szCs w:val="18"/>
              </w:rPr>
            </w:pPr>
          </w:p>
        </w:tc>
        <w:tc>
          <w:tcPr>
            <w:tcW w:w="708" w:type="dxa"/>
            <w:vMerge w:val="continue"/>
            <w:shd w:val="clear" w:color="000000" w:fill="0070C0"/>
            <w:vAlign w:val="center"/>
          </w:tcPr>
          <w:p>
            <w:pPr>
              <w:jc w:val="center"/>
              <w:rPr>
                <w:rFonts w:ascii="Verdana" w:hAnsi="Verdana" w:eastAsia="华文细黑" w:cs="Calibri"/>
                <w:b/>
                <w:bCs/>
                <w:sz w:val="18"/>
                <w:szCs w:val="18"/>
              </w:rPr>
            </w:pPr>
          </w:p>
        </w:tc>
        <w:tc>
          <w:tcPr>
            <w:tcW w:w="709" w:type="dxa"/>
            <w:vMerge w:val="continue"/>
            <w:shd w:val="clear" w:color="000000" w:fill="0070C0"/>
            <w:vAlign w:val="center"/>
          </w:tcPr>
          <w:p>
            <w:pPr>
              <w:jc w:val="center"/>
              <w:rPr>
                <w:rFonts w:ascii="Verdana" w:hAnsi="Verdana" w:eastAsia="华文细黑" w:cs="Calibri"/>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jc w:val="center"/>
        </w:trPr>
        <w:tc>
          <w:tcPr>
            <w:tcW w:w="1212" w:type="dxa"/>
            <w:shd w:val="clear" w:color="auto" w:fill="auto"/>
            <w:noWrap/>
            <w:vAlign w:val="center"/>
          </w:tcPr>
          <w:p>
            <w:pPr>
              <w:jc w:val="center"/>
              <w:rPr>
                <w:rFonts w:ascii="Verdana" w:hAnsi="Verdana" w:eastAsia="华文细黑" w:cs="Calibri"/>
                <w:sz w:val="18"/>
                <w:szCs w:val="18"/>
              </w:rPr>
            </w:pPr>
            <w:r>
              <w:rPr>
                <w:rFonts w:hint="eastAsia" w:ascii="Verdana" w:hAnsi="Verdana" w:eastAsia="华文细黑" w:cs="Calibri"/>
                <w:sz w:val="20"/>
                <w:szCs w:val="20"/>
              </w:rPr>
              <w:t>1</w:t>
            </w:r>
          </w:p>
        </w:tc>
        <w:tc>
          <w:tcPr>
            <w:tcW w:w="2126" w:type="dxa"/>
            <w:shd w:val="clear" w:color="auto" w:fill="auto"/>
            <w:noWrap/>
            <w:vAlign w:val="center"/>
          </w:tcPr>
          <w:p>
            <w:pPr>
              <w:rPr>
                <w:rFonts w:ascii="Verdana" w:hAnsi="Verdana" w:eastAsia="华文细黑" w:cs="Calibri"/>
                <w:sz w:val="18"/>
                <w:szCs w:val="18"/>
              </w:rPr>
            </w:pPr>
            <w:r>
              <w:rPr>
                <w:rFonts w:hint="eastAsia" w:ascii="Verdana" w:hAnsi="Verdana" w:eastAsia="华文细黑" w:cs="Calibri"/>
                <w:sz w:val="20"/>
                <w:szCs w:val="20"/>
              </w:rPr>
              <w:t>吉阳区新村社区饮水巩固提升工程</w:t>
            </w:r>
          </w:p>
        </w:tc>
        <w:tc>
          <w:tcPr>
            <w:tcW w:w="1419" w:type="dxa"/>
            <w:shd w:val="clear" w:color="auto" w:fill="auto"/>
            <w:vAlign w:val="center"/>
          </w:tcPr>
          <w:p>
            <w:pPr>
              <w:jc w:val="right"/>
              <w:rPr>
                <w:rFonts w:ascii="Verdana" w:hAnsi="Verdana" w:eastAsia="华文细黑" w:cs="Calibri"/>
                <w:sz w:val="20"/>
                <w:szCs w:val="20"/>
              </w:rPr>
            </w:pPr>
            <w:r>
              <w:rPr>
                <w:rFonts w:ascii="Verdana" w:hAnsi="Verdana" w:eastAsia="华文细黑" w:cs="Calibri"/>
                <w:sz w:val="20"/>
                <w:szCs w:val="20"/>
              </w:rPr>
              <w:t>838.99</w:t>
            </w:r>
          </w:p>
        </w:tc>
        <w:tc>
          <w:tcPr>
            <w:tcW w:w="1274" w:type="dxa"/>
            <w:vAlign w:val="center"/>
          </w:tcPr>
          <w:p>
            <w:pPr>
              <w:jc w:val="right"/>
              <w:rPr>
                <w:rFonts w:ascii="Verdana" w:hAnsi="Verdana" w:eastAsia="华文细黑" w:cs="Calibri"/>
                <w:sz w:val="20"/>
                <w:szCs w:val="20"/>
              </w:rPr>
            </w:pPr>
            <w:r>
              <w:rPr>
                <w:rFonts w:ascii="Verdana" w:hAnsi="Verdana" w:eastAsia="华文细黑" w:cs="Calibri"/>
                <w:sz w:val="20"/>
                <w:szCs w:val="20"/>
              </w:rPr>
              <w:t>684.00</w:t>
            </w:r>
          </w:p>
        </w:tc>
        <w:tc>
          <w:tcPr>
            <w:tcW w:w="993" w:type="dxa"/>
            <w:vAlign w:val="center"/>
          </w:tcPr>
          <w:p>
            <w:pPr>
              <w:jc w:val="right"/>
              <w:rPr>
                <w:rFonts w:ascii="Verdana" w:hAnsi="Verdana" w:eastAsia="华文细黑" w:cs="Calibri"/>
                <w:sz w:val="20"/>
                <w:szCs w:val="20"/>
              </w:rPr>
            </w:pPr>
            <w:r>
              <w:rPr>
                <w:rFonts w:ascii="Verdana" w:hAnsi="Verdana" w:eastAsia="华文细黑"/>
                <w:sz w:val="20"/>
                <w:szCs w:val="20"/>
              </w:rPr>
              <w:t>-</w:t>
            </w:r>
          </w:p>
        </w:tc>
        <w:tc>
          <w:tcPr>
            <w:tcW w:w="992" w:type="dxa"/>
            <w:shd w:val="clear" w:color="auto" w:fill="auto"/>
            <w:vAlign w:val="center"/>
          </w:tcPr>
          <w:p>
            <w:pPr>
              <w:jc w:val="right"/>
              <w:rPr>
                <w:rFonts w:ascii="Verdana" w:hAnsi="Verdana" w:eastAsia="华文细黑" w:cs="Calibri"/>
                <w:sz w:val="20"/>
                <w:szCs w:val="20"/>
              </w:rPr>
            </w:pPr>
            <w:r>
              <w:rPr>
                <w:rFonts w:hint="eastAsia" w:ascii="Verdana" w:hAnsi="Verdana" w:eastAsia="华文细黑" w:cs="Calibri"/>
                <w:sz w:val="20"/>
                <w:szCs w:val="20"/>
              </w:rPr>
              <w:t>5</w:t>
            </w:r>
            <w:r>
              <w:rPr>
                <w:rFonts w:ascii="Verdana" w:hAnsi="Verdana" w:eastAsia="华文细黑" w:cs="Calibri"/>
                <w:sz w:val="20"/>
                <w:szCs w:val="20"/>
              </w:rPr>
              <w:t>00.00</w:t>
            </w:r>
          </w:p>
        </w:tc>
        <w:tc>
          <w:tcPr>
            <w:tcW w:w="1276" w:type="dxa"/>
            <w:vAlign w:val="center"/>
          </w:tcPr>
          <w:p>
            <w:pPr>
              <w:jc w:val="right"/>
              <w:rPr>
                <w:rFonts w:ascii="Verdana" w:hAnsi="Verdana" w:eastAsia="华文细黑" w:cs="Calibri"/>
                <w:sz w:val="20"/>
                <w:szCs w:val="20"/>
              </w:rPr>
            </w:pPr>
            <w:r>
              <w:rPr>
                <w:rFonts w:ascii="Verdana" w:hAnsi="Verdana" w:eastAsia="华文细黑" w:cs="Calibri"/>
                <w:sz w:val="20"/>
                <w:szCs w:val="20"/>
              </w:rPr>
              <w:t>567.50</w:t>
            </w:r>
          </w:p>
        </w:tc>
        <w:tc>
          <w:tcPr>
            <w:tcW w:w="708" w:type="dxa"/>
            <w:vAlign w:val="center"/>
          </w:tcPr>
          <w:p>
            <w:pPr>
              <w:jc w:val="right"/>
              <w:rPr>
                <w:rFonts w:ascii="Verdana" w:hAnsi="Verdana" w:eastAsia="华文细黑" w:cs="Calibri"/>
                <w:sz w:val="20"/>
                <w:szCs w:val="20"/>
              </w:rPr>
            </w:pPr>
            <w:r>
              <w:rPr>
                <w:rFonts w:ascii="Verdana" w:hAnsi="Verdana" w:eastAsia="华文细黑" w:cs="Calibri"/>
                <w:sz w:val="20"/>
                <w:szCs w:val="20"/>
              </w:rPr>
              <w:t>1.21</w:t>
            </w:r>
          </w:p>
        </w:tc>
        <w:tc>
          <w:tcPr>
            <w:tcW w:w="709" w:type="dxa"/>
            <w:vAlign w:val="center"/>
          </w:tcPr>
          <w:p>
            <w:pPr>
              <w:jc w:val="right"/>
              <w:rPr>
                <w:rFonts w:ascii="Verdana" w:hAnsi="Verdana" w:eastAsia="华文细黑" w:cs="Calibri"/>
                <w:sz w:val="20"/>
                <w:szCs w:val="20"/>
              </w:rPr>
            </w:pPr>
            <w:r>
              <w:rPr>
                <w:rFonts w:ascii="Verdana" w:hAnsi="Verdana" w:eastAsia="华文细黑" w:cs="Calibri"/>
                <w:sz w:val="20"/>
                <w:szCs w:val="20"/>
              </w:rPr>
              <w:t>1.21</w:t>
            </w:r>
          </w:p>
        </w:tc>
      </w:tr>
      <w:bookmarkEnd w:id="64"/>
    </w:tbl>
    <w:p>
      <w:pPr>
        <w:ind w:right="-1141"/>
        <w:jc w:val="right"/>
        <w:rPr>
          <w:rFonts w:ascii="Verdana" w:hAnsi="Verdana" w:eastAsia="华文细黑" w:cs="Calibri"/>
          <w:color w:val="000000"/>
          <w:sz w:val="20"/>
          <w:szCs w:val="20"/>
        </w:rPr>
      </w:pPr>
    </w:p>
    <w:p>
      <w:pPr>
        <w:spacing w:after="160" w:line="259" w:lineRule="auto"/>
        <w:rPr>
          <w:rFonts w:ascii="Verdana" w:hAnsi="Verdana" w:eastAsia="华文细黑" w:cs="Calibri"/>
          <w:color w:val="000000"/>
          <w:sz w:val="20"/>
          <w:szCs w:val="20"/>
        </w:rPr>
      </w:pPr>
    </w:p>
    <w:p>
      <w:pPr>
        <w:spacing w:before="120" w:after="120" w:line="360" w:lineRule="auto"/>
        <w:ind w:firstLine="480" w:firstLineChars="200"/>
        <w:jc w:val="both"/>
        <w:outlineLvl w:val="2"/>
        <w:rPr>
          <w:rFonts w:ascii="Verdana" w:hAnsi="Verdana" w:eastAsia="华文细黑" w:cs="Calibri"/>
          <w:b/>
          <w:color w:val="000000"/>
        </w:rPr>
      </w:pPr>
      <w:bookmarkStart w:id="66" w:name="_Toc135044146"/>
      <w:r>
        <w:rPr>
          <w:rFonts w:ascii="Verdana" w:hAnsi="Verdana" w:eastAsia="华文细黑" w:cs="Calibri"/>
          <w:b/>
          <w:color w:val="000000"/>
        </w:rPr>
        <w:t>1.1投资估算</w:t>
      </w:r>
      <w:bookmarkEnd w:id="66"/>
    </w:p>
    <w:p>
      <w:pPr>
        <w:spacing w:before="120" w:after="120" w:line="360" w:lineRule="auto"/>
        <w:ind w:firstLine="556"/>
        <w:jc w:val="both"/>
        <w:rPr>
          <w:rFonts w:ascii="Verdana" w:hAnsi="Verdana" w:eastAsia="华文细黑" w:cs="Calibri"/>
          <w:color w:val="000000"/>
        </w:rPr>
      </w:pPr>
      <w:bookmarkStart w:id="67" w:name="_Hlk150182207"/>
      <w:r>
        <w:rPr>
          <w:rFonts w:ascii="Verdana" w:hAnsi="Verdana" w:eastAsia="华文细黑" w:cs="Calibri"/>
          <w:color w:val="000000"/>
        </w:rPr>
        <w:t>2023</w:t>
      </w:r>
      <w:r>
        <w:rPr>
          <w:rFonts w:hint="eastAsia" w:ascii="Verdana" w:hAnsi="Verdana" w:eastAsia="华文细黑" w:cs="Calibri"/>
          <w:color w:val="000000"/>
        </w:rPr>
        <w:t>年本期调增专项债券5</w:t>
      </w:r>
      <w:r>
        <w:rPr>
          <w:rFonts w:ascii="Verdana" w:hAnsi="Verdana" w:eastAsia="华文细黑" w:cs="Calibri"/>
          <w:color w:val="000000"/>
        </w:rPr>
        <w:t>00.00</w:t>
      </w:r>
      <w:r>
        <w:rPr>
          <w:rFonts w:hint="eastAsia" w:ascii="Verdana" w:hAnsi="Verdana" w:eastAsia="华文细黑" w:cs="Calibri"/>
          <w:color w:val="000000"/>
        </w:rPr>
        <w:t>万元，</w:t>
      </w:r>
      <w:r>
        <w:rPr>
          <w:rFonts w:ascii="Verdana" w:hAnsi="Verdana" w:eastAsia="华文细黑" w:cs="Calibri"/>
          <w:color w:val="000000"/>
        </w:rPr>
        <w:t>本次5年期</w:t>
      </w:r>
      <w:r>
        <w:rPr>
          <w:rFonts w:hint="eastAsia" w:ascii="Verdana" w:hAnsi="Verdana" w:eastAsia="华文细黑" w:cs="Calibri"/>
          <w:color w:val="000000"/>
        </w:rPr>
        <w:t>债券</w:t>
      </w:r>
      <w:r>
        <w:rPr>
          <w:rFonts w:ascii="Verdana" w:hAnsi="Verdana" w:eastAsia="华文细黑" w:cs="Calibri"/>
          <w:color w:val="000000"/>
        </w:rPr>
        <w:t>利率</w:t>
      </w:r>
      <w:r>
        <w:rPr>
          <w:rFonts w:hint="eastAsia" w:ascii="Verdana" w:hAnsi="Verdana" w:eastAsia="华文细黑" w:cs="Calibri"/>
          <w:color w:val="000000"/>
        </w:rPr>
        <w:t>为</w:t>
      </w:r>
      <w:r>
        <w:rPr>
          <w:rFonts w:ascii="Verdana" w:hAnsi="Verdana" w:eastAsia="华文细黑" w:cs="Calibri"/>
          <w:color w:val="000000"/>
        </w:rPr>
        <w:t>2.70%，发行费率暂取0.10%。据此估算本项目总投资为839.49万元</w:t>
      </w:r>
      <w:bookmarkEnd w:id="67"/>
      <w:r>
        <w:rPr>
          <w:rFonts w:ascii="Verdana" w:hAnsi="Verdana" w:eastAsia="华文细黑" w:cs="Calibri"/>
          <w:color w:val="000000"/>
        </w:rPr>
        <w:t>，详见表</w:t>
      </w:r>
      <w:r>
        <w:rPr>
          <w:rFonts w:hint="eastAsia" w:ascii="Verdana" w:hAnsi="Verdana" w:eastAsia="华文细黑" w:cs="Calibri"/>
          <w:color w:val="000000"/>
        </w:rPr>
        <w:t>3</w:t>
      </w:r>
      <w:r>
        <w:rPr>
          <w:rFonts w:ascii="Verdana" w:hAnsi="Verdana" w:eastAsia="华文细黑"/>
          <w:color w:val="000000"/>
          <w:vertAlign w:val="superscript"/>
        </w:rPr>
        <w:footnoteReference w:id="2"/>
      </w:r>
      <w:r>
        <w:rPr>
          <w:rFonts w:ascii="Verdana" w:hAnsi="Verdana" w:eastAsia="华文细黑" w:cs="Calibri"/>
          <w:color w:val="000000"/>
        </w:rPr>
        <w:t>：</w:t>
      </w:r>
    </w:p>
    <w:p>
      <w:pPr>
        <w:spacing w:line="259" w:lineRule="auto"/>
        <w:jc w:val="center"/>
        <w:rPr>
          <w:rFonts w:ascii="Verdana" w:hAnsi="Verdana" w:eastAsia="华文细黑" w:cs="Calibri"/>
          <w:b/>
          <w:color w:val="000000"/>
        </w:rPr>
      </w:pPr>
      <w:r>
        <w:rPr>
          <w:rFonts w:ascii="Verdana" w:hAnsi="Verdana" w:eastAsia="华文细黑" w:cs="Calibri"/>
          <w:b/>
          <w:color w:val="000000"/>
        </w:rPr>
        <w:t>表</w:t>
      </w:r>
      <w:r>
        <w:rPr>
          <w:rFonts w:hint="eastAsia" w:ascii="Verdana" w:hAnsi="Verdana" w:eastAsia="华文细黑" w:cs="Calibri"/>
          <w:b/>
          <w:color w:val="000000"/>
        </w:rPr>
        <w:t>3</w:t>
      </w:r>
      <w:r>
        <w:rPr>
          <w:rFonts w:ascii="Verdana" w:hAnsi="Verdana" w:eastAsia="华文细黑" w:cs="Calibri"/>
          <w:b/>
          <w:color w:val="000000"/>
        </w:rPr>
        <w:t>项目总投资估算表</w:t>
      </w:r>
    </w:p>
    <w:p>
      <w:pPr>
        <w:ind w:right="135"/>
        <w:jc w:val="right"/>
        <w:rPr>
          <w:rFonts w:ascii="Verdana" w:hAnsi="Verdana" w:eastAsia="华文细黑" w:cs="Calibri"/>
          <w:color w:val="000000"/>
          <w:sz w:val="20"/>
          <w:szCs w:val="20"/>
        </w:rPr>
      </w:pPr>
      <w:r>
        <w:rPr>
          <w:rFonts w:ascii="Verdana" w:hAnsi="Verdana" w:eastAsia="华文细黑" w:cs="Calibri"/>
          <w:color w:val="000000"/>
          <w:sz w:val="20"/>
          <w:szCs w:val="20"/>
        </w:rPr>
        <w:t>单位：人民币万元</w:t>
      </w:r>
    </w:p>
    <w:tbl>
      <w:tblPr>
        <w:tblStyle w:val="9"/>
        <w:tblW w:w="86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3113"/>
        <w:gridCol w:w="3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1555" w:type="dxa"/>
            <w:shd w:val="clear" w:color="000000" w:fill="0070C0"/>
            <w:noWrap/>
            <w:vAlign w:val="center"/>
          </w:tcPr>
          <w:p>
            <w:pPr>
              <w:jc w:val="center"/>
              <w:rPr>
                <w:rFonts w:ascii="Verdana" w:hAnsi="Verdana" w:eastAsia="华文细黑" w:cs="Calibri"/>
                <w:b/>
                <w:bCs/>
                <w:color w:val="FFFFFF"/>
                <w:sz w:val="20"/>
                <w:szCs w:val="20"/>
              </w:rPr>
            </w:pPr>
            <w:r>
              <w:rPr>
                <w:rFonts w:ascii="Verdana" w:hAnsi="Verdana" w:eastAsia="华文细黑" w:cs="Calibri"/>
                <w:b/>
                <w:bCs/>
                <w:color w:val="FFFFFF"/>
                <w:sz w:val="20"/>
                <w:szCs w:val="20"/>
              </w:rPr>
              <w:t>序号</w:t>
            </w:r>
          </w:p>
        </w:tc>
        <w:tc>
          <w:tcPr>
            <w:tcW w:w="3113" w:type="dxa"/>
            <w:shd w:val="clear" w:color="000000" w:fill="0070C0"/>
            <w:vAlign w:val="center"/>
          </w:tcPr>
          <w:p>
            <w:pPr>
              <w:jc w:val="center"/>
              <w:rPr>
                <w:rFonts w:ascii="Verdana" w:hAnsi="Verdana" w:eastAsia="华文细黑" w:cs="Calibri"/>
                <w:b/>
                <w:bCs/>
                <w:color w:val="FFFFFF"/>
                <w:sz w:val="20"/>
                <w:szCs w:val="20"/>
              </w:rPr>
            </w:pPr>
            <w:r>
              <w:rPr>
                <w:rFonts w:ascii="Verdana" w:hAnsi="Verdana" w:eastAsia="华文细黑" w:cs="Calibri"/>
                <w:b/>
                <w:bCs/>
                <w:color w:val="FFFFFF"/>
                <w:sz w:val="20"/>
                <w:szCs w:val="20"/>
              </w:rPr>
              <w:t>项目名称</w:t>
            </w:r>
          </w:p>
        </w:tc>
        <w:tc>
          <w:tcPr>
            <w:tcW w:w="3952" w:type="dxa"/>
            <w:shd w:val="clear" w:color="000000" w:fill="0070C0"/>
            <w:vAlign w:val="center"/>
          </w:tcPr>
          <w:p>
            <w:pPr>
              <w:jc w:val="center"/>
              <w:rPr>
                <w:rFonts w:ascii="Verdana" w:hAnsi="Verdana" w:eastAsia="华文细黑" w:cs="Calibri"/>
                <w:b/>
                <w:bCs/>
                <w:color w:val="FFFFFF"/>
                <w:sz w:val="20"/>
                <w:szCs w:val="20"/>
              </w:rPr>
            </w:pPr>
            <w:r>
              <w:rPr>
                <w:rFonts w:ascii="Verdana" w:hAnsi="Verdana" w:eastAsia="华文细黑" w:cs="Calibri"/>
                <w:b/>
                <w:bCs/>
                <w:color w:val="FFFFFF"/>
                <w:sz w:val="20"/>
                <w:szCs w:val="20"/>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1555" w:type="dxa"/>
            <w:shd w:val="clear" w:color="auto" w:fill="auto"/>
            <w:noWrap/>
            <w:vAlign w:val="center"/>
          </w:tcPr>
          <w:p>
            <w:pPr>
              <w:jc w:val="center"/>
              <w:rPr>
                <w:rFonts w:ascii="Verdana" w:hAnsi="Verdana" w:eastAsia="华文细黑" w:cs="Calibri"/>
                <w:color w:val="000000"/>
                <w:sz w:val="20"/>
                <w:szCs w:val="20"/>
              </w:rPr>
            </w:pPr>
            <w:r>
              <w:rPr>
                <w:rFonts w:ascii="Verdana" w:hAnsi="Verdana" w:eastAsia="华文细黑" w:cs="Calibri"/>
                <w:color w:val="000000"/>
                <w:sz w:val="20"/>
                <w:szCs w:val="20"/>
              </w:rPr>
              <w:t>1</w:t>
            </w:r>
          </w:p>
        </w:tc>
        <w:tc>
          <w:tcPr>
            <w:tcW w:w="3113" w:type="dxa"/>
            <w:shd w:val="clear" w:color="auto" w:fill="auto"/>
          </w:tcPr>
          <w:p>
            <w:pPr>
              <w:jc w:val="both"/>
              <w:rPr>
                <w:rFonts w:ascii="Verdana" w:hAnsi="Verdana" w:eastAsia="华文细黑" w:cs="Calibri"/>
                <w:color w:val="000000"/>
                <w:sz w:val="20"/>
                <w:szCs w:val="20"/>
              </w:rPr>
            </w:pPr>
            <w:r>
              <w:rPr>
                <w:rFonts w:ascii="Verdana" w:hAnsi="Verdana" w:eastAsia="华文细黑" w:cs="Calibri"/>
                <w:sz w:val="20"/>
                <w:szCs w:val="20"/>
              </w:rPr>
              <w:t>建设投资</w:t>
            </w:r>
          </w:p>
        </w:tc>
        <w:tc>
          <w:tcPr>
            <w:tcW w:w="3952" w:type="dxa"/>
            <w:shd w:val="clear" w:color="auto" w:fill="auto"/>
            <w:noWrap/>
            <w:vAlign w:val="center"/>
          </w:tcPr>
          <w:p>
            <w:pPr>
              <w:jc w:val="right"/>
              <w:rPr>
                <w:rFonts w:ascii="Verdana" w:hAnsi="Verdana" w:eastAsia="华文细黑" w:cs="Calibri"/>
                <w:color w:val="000000"/>
                <w:sz w:val="20"/>
                <w:szCs w:val="20"/>
              </w:rPr>
            </w:pPr>
            <w:r>
              <w:rPr>
                <w:rFonts w:ascii="Verdana" w:hAnsi="Verdana" w:eastAsia="华文细黑" w:cs="Calibri"/>
                <w:sz w:val="20"/>
                <w:szCs w:val="20"/>
              </w:rPr>
              <w:t>838.99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1555" w:type="dxa"/>
            <w:shd w:val="clear" w:color="auto" w:fill="auto"/>
            <w:noWrap/>
            <w:vAlign w:val="center"/>
          </w:tcPr>
          <w:p>
            <w:pPr>
              <w:jc w:val="center"/>
              <w:rPr>
                <w:rFonts w:ascii="Verdana" w:hAnsi="Verdana" w:eastAsia="华文细黑" w:cs="Calibri"/>
                <w:color w:val="000000"/>
                <w:sz w:val="20"/>
                <w:szCs w:val="20"/>
              </w:rPr>
            </w:pPr>
            <w:r>
              <w:rPr>
                <w:rFonts w:ascii="Verdana" w:hAnsi="Verdana" w:eastAsia="华文细黑" w:cs="Calibri"/>
                <w:color w:val="000000"/>
                <w:sz w:val="20"/>
                <w:szCs w:val="20"/>
              </w:rPr>
              <w:t>2</w:t>
            </w:r>
          </w:p>
        </w:tc>
        <w:tc>
          <w:tcPr>
            <w:tcW w:w="3113" w:type="dxa"/>
            <w:shd w:val="clear" w:color="auto" w:fill="auto"/>
          </w:tcPr>
          <w:p>
            <w:pPr>
              <w:jc w:val="both"/>
              <w:rPr>
                <w:rFonts w:ascii="Verdana" w:hAnsi="Verdana" w:eastAsia="华文细黑" w:cs="Calibri"/>
                <w:color w:val="000000"/>
                <w:sz w:val="20"/>
                <w:szCs w:val="20"/>
              </w:rPr>
            </w:pPr>
            <w:r>
              <w:rPr>
                <w:rFonts w:ascii="Verdana" w:hAnsi="Verdana" w:eastAsia="华文细黑" w:cs="Calibri"/>
                <w:sz w:val="20"/>
                <w:szCs w:val="20"/>
              </w:rPr>
              <w:t>债券发行费用</w:t>
            </w:r>
          </w:p>
        </w:tc>
        <w:tc>
          <w:tcPr>
            <w:tcW w:w="3952" w:type="dxa"/>
            <w:shd w:val="clear" w:color="auto" w:fill="auto"/>
            <w:noWrap/>
            <w:vAlign w:val="center"/>
          </w:tcPr>
          <w:p>
            <w:pPr>
              <w:jc w:val="right"/>
              <w:rPr>
                <w:rFonts w:ascii="Verdana" w:hAnsi="Verdana" w:eastAsia="华文细黑" w:cs="Calibri"/>
                <w:sz w:val="20"/>
                <w:szCs w:val="20"/>
              </w:rPr>
            </w:pPr>
            <w:r>
              <w:rPr>
                <w:rFonts w:ascii="Verdana" w:hAnsi="Verdana" w:eastAsia="华文细黑" w:cs="Calibri"/>
                <w:sz w:val="20"/>
                <w:szCs w:val="20"/>
              </w:rPr>
              <w:t xml:space="preserve">0.50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1555" w:type="dxa"/>
            <w:shd w:val="clear" w:color="auto" w:fill="auto"/>
            <w:noWrap/>
            <w:vAlign w:val="center"/>
          </w:tcPr>
          <w:p>
            <w:pPr>
              <w:jc w:val="center"/>
              <w:rPr>
                <w:rFonts w:ascii="Verdana" w:hAnsi="Verdana" w:eastAsia="华文细黑" w:cs="Calibri"/>
                <w:color w:val="000000"/>
                <w:sz w:val="20"/>
                <w:szCs w:val="20"/>
              </w:rPr>
            </w:pPr>
          </w:p>
        </w:tc>
        <w:tc>
          <w:tcPr>
            <w:tcW w:w="3113" w:type="dxa"/>
            <w:shd w:val="clear" w:color="auto" w:fill="auto"/>
          </w:tcPr>
          <w:p>
            <w:pPr>
              <w:jc w:val="both"/>
              <w:rPr>
                <w:rFonts w:ascii="Verdana" w:hAnsi="Verdana" w:eastAsia="华文细黑" w:cs="Calibri"/>
                <w:b/>
                <w:bCs/>
                <w:color w:val="000000"/>
                <w:sz w:val="20"/>
                <w:szCs w:val="20"/>
              </w:rPr>
            </w:pPr>
            <w:r>
              <w:rPr>
                <w:rFonts w:ascii="Verdana" w:hAnsi="Verdana" w:eastAsia="华文细黑" w:cs="Calibri"/>
                <w:b/>
                <w:bCs/>
                <w:sz w:val="20"/>
                <w:szCs w:val="20"/>
              </w:rPr>
              <w:t>估算总额</w:t>
            </w:r>
          </w:p>
        </w:tc>
        <w:tc>
          <w:tcPr>
            <w:tcW w:w="3952" w:type="dxa"/>
            <w:shd w:val="clear" w:color="auto" w:fill="auto"/>
            <w:noWrap/>
            <w:vAlign w:val="center"/>
          </w:tcPr>
          <w:p>
            <w:pPr>
              <w:jc w:val="right"/>
              <w:rPr>
                <w:rFonts w:ascii="Verdana" w:hAnsi="Verdana" w:eastAsia="华文细黑" w:cs="Calibri"/>
                <w:b/>
                <w:bCs/>
                <w:sz w:val="20"/>
                <w:szCs w:val="20"/>
              </w:rPr>
            </w:pPr>
            <w:r>
              <w:rPr>
                <w:rFonts w:ascii="Verdana" w:hAnsi="Verdana" w:eastAsia="华文细黑" w:cs="Calibri"/>
                <w:b/>
                <w:bCs/>
                <w:sz w:val="20"/>
                <w:szCs w:val="20"/>
              </w:rPr>
              <w:t>839.49</w:t>
            </w:r>
          </w:p>
        </w:tc>
      </w:tr>
    </w:tbl>
    <w:p>
      <w:pPr>
        <w:ind w:right="-7"/>
        <w:jc w:val="right"/>
        <w:rPr>
          <w:rFonts w:ascii="Verdana" w:hAnsi="Verdana" w:eastAsia="华文细黑" w:cs="Calibri"/>
          <w:color w:val="000000"/>
          <w:sz w:val="20"/>
          <w:szCs w:val="20"/>
        </w:rPr>
      </w:pPr>
    </w:p>
    <w:p>
      <w:pPr>
        <w:spacing w:before="120" w:after="120" w:line="360" w:lineRule="auto"/>
        <w:ind w:firstLine="480" w:firstLineChars="200"/>
        <w:jc w:val="both"/>
        <w:outlineLvl w:val="2"/>
        <w:rPr>
          <w:rFonts w:ascii="Verdana" w:hAnsi="Verdana" w:eastAsia="华文细黑" w:cs="Calibri"/>
          <w:b/>
          <w:color w:val="000000"/>
        </w:rPr>
      </w:pPr>
      <w:bookmarkStart w:id="68" w:name="_Toc135044147"/>
      <w:r>
        <w:rPr>
          <w:rFonts w:ascii="Verdana" w:hAnsi="Verdana" w:eastAsia="华文细黑" w:cs="Calibri"/>
          <w:b/>
          <w:color w:val="000000"/>
        </w:rPr>
        <w:t>1.2债券发行和还本付息</w:t>
      </w:r>
      <w:bookmarkEnd w:id="68"/>
    </w:p>
    <w:p>
      <w:pPr>
        <w:spacing w:before="120" w:after="120" w:line="360" w:lineRule="auto"/>
        <w:ind w:firstLine="480" w:firstLineChars="200"/>
        <w:jc w:val="both"/>
        <w:rPr>
          <w:rFonts w:ascii="Verdana" w:hAnsi="Verdana" w:eastAsia="华文细黑" w:cs="Calibri"/>
          <w:color w:val="000000"/>
        </w:rPr>
      </w:pPr>
      <w:r>
        <w:rPr>
          <w:rFonts w:ascii="Verdana" w:hAnsi="Verdana" w:eastAsia="华文细黑" w:cs="Calibri"/>
          <w:color w:val="000000"/>
        </w:rPr>
        <w:t>本项目</w:t>
      </w:r>
      <w:r>
        <w:rPr>
          <w:rFonts w:hint="eastAsia" w:ascii="Verdana" w:hAnsi="Verdana" w:eastAsia="华文细黑" w:cs="Calibri"/>
          <w:color w:val="000000"/>
        </w:rPr>
        <w:t>境外发行5年期债券</w:t>
      </w:r>
      <w:r>
        <w:rPr>
          <w:rFonts w:ascii="Verdana" w:hAnsi="Verdana" w:eastAsia="华文细黑" w:cs="Calibri"/>
          <w:color w:val="000000"/>
        </w:rPr>
        <w:t>还本付息方式为每半年付息，到期一次性还本。本项目预计债券本息合计567.50万元。自发行之日起债券存续期还本付息情况如表</w:t>
      </w:r>
      <w:r>
        <w:rPr>
          <w:rFonts w:hint="eastAsia" w:ascii="Verdana" w:hAnsi="Verdana" w:eastAsia="华文细黑" w:cs="Calibri"/>
          <w:color w:val="000000"/>
        </w:rPr>
        <w:t>4</w:t>
      </w:r>
      <w:r>
        <w:rPr>
          <w:rFonts w:ascii="Verdana" w:hAnsi="Verdana" w:eastAsia="华文细黑" w:cs="Calibri"/>
          <w:color w:val="000000"/>
        </w:rPr>
        <w:t>：</w:t>
      </w:r>
    </w:p>
    <w:p>
      <w:pPr>
        <w:spacing w:after="160" w:line="259" w:lineRule="auto"/>
        <w:jc w:val="center"/>
        <w:rPr>
          <w:rFonts w:ascii="Verdana" w:hAnsi="Verdana" w:eastAsia="华文细黑" w:cs="Calibri"/>
          <w:b/>
        </w:rPr>
      </w:pPr>
      <w:r>
        <w:rPr>
          <w:rFonts w:ascii="Verdana" w:hAnsi="Verdana" w:eastAsia="华文细黑" w:cs="Calibri"/>
          <w:b/>
        </w:rPr>
        <w:t>表</w:t>
      </w:r>
      <w:r>
        <w:rPr>
          <w:rFonts w:hint="eastAsia" w:ascii="Verdana" w:hAnsi="Verdana" w:eastAsia="华文细黑" w:cs="Calibri"/>
          <w:b/>
        </w:rPr>
        <w:t>4</w:t>
      </w:r>
      <w:r>
        <w:rPr>
          <w:rFonts w:ascii="Verdana" w:hAnsi="Verdana" w:eastAsia="华文细黑" w:cs="Calibri"/>
          <w:b/>
        </w:rPr>
        <w:t xml:space="preserve"> </w:t>
      </w:r>
      <w:r>
        <w:rPr>
          <w:rFonts w:hint="eastAsia" w:ascii="Verdana" w:hAnsi="Verdana" w:eastAsia="华文细黑" w:cs="Calibri"/>
          <w:b/>
        </w:rPr>
        <w:t>本期调增</w:t>
      </w:r>
      <w:r>
        <w:rPr>
          <w:rFonts w:ascii="Verdana" w:hAnsi="Verdana" w:eastAsia="华文细黑" w:cs="Calibri"/>
          <w:b/>
        </w:rPr>
        <w:t>债券还本付息表</w:t>
      </w:r>
    </w:p>
    <w:p>
      <w:pPr>
        <w:ind w:right="113"/>
        <w:jc w:val="right"/>
        <w:rPr>
          <w:rFonts w:ascii="Verdana" w:hAnsi="Verdana" w:eastAsia="华文细黑" w:cs="Calibri"/>
          <w:sz w:val="20"/>
          <w:szCs w:val="20"/>
        </w:rPr>
      </w:pPr>
      <w:r>
        <w:rPr>
          <w:rFonts w:ascii="Verdana" w:hAnsi="Verdana" w:eastAsia="华文细黑" w:cs="Calibri"/>
          <w:sz w:val="20"/>
          <w:szCs w:val="20"/>
        </w:rPr>
        <w:t>单位：人民币万元</w:t>
      </w:r>
    </w:p>
    <w:tbl>
      <w:tblPr>
        <w:tblStyle w:val="9"/>
        <w:tblW w:w="86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6"/>
        <w:gridCol w:w="969"/>
        <w:gridCol w:w="969"/>
        <w:gridCol w:w="970"/>
        <w:gridCol w:w="970"/>
        <w:gridCol w:w="968"/>
        <w:gridCol w:w="968"/>
        <w:gridCol w:w="1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816" w:type="dxa"/>
            <w:shd w:val="clear" w:color="000000" w:fill="0070C0"/>
            <w:noWrap/>
            <w:vAlign w:val="center"/>
          </w:tcPr>
          <w:p>
            <w:pPr>
              <w:jc w:val="center"/>
              <w:rPr>
                <w:rFonts w:ascii="Verdana" w:hAnsi="Verdana" w:eastAsia="华文细黑" w:cs="宋体"/>
                <w:b/>
                <w:bCs/>
                <w:color w:val="FFFFFF"/>
                <w:sz w:val="20"/>
                <w:szCs w:val="20"/>
              </w:rPr>
            </w:pPr>
            <w:r>
              <w:rPr>
                <w:rFonts w:hint="eastAsia" w:ascii="Verdana" w:hAnsi="Verdana" w:eastAsia="华文细黑" w:cs="宋体"/>
                <w:b/>
                <w:bCs/>
                <w:color w:val="FFFFFF"/>
                <w:sz w:val="20"/>
                <w:szCs w:val="20"/>
              </w:rPr>
              <w:t>年度</w:t>
            </w:r>
          </w:p>
        </w:tc>
        <w:tc>
          <w:tcPr>
            <w:tcW w:w="969" w:type="dxa"/>
            <w:shd w:val="clear" w:color="000000" w:fill="0070C0"/>
            <w:noWrap/>
            <w:vAlign w:val="center"/>
          </w:tcPr>
          <w:p>
            <w:pPr>
              <w:jc w:val="center"/>
              <w:rPr>
                <w:rFonts w:ascii="Verdana" w:hAnsi="Verdana" w:eastAsia="华文细黑" w:cs="宋体"/>
                <w:b/>
                <w:bCs/>
                <w:color w:val="FFFFFF"/>
                <w:sz w:val="20"/>
                <w:szCs w:val="20"/>
              </w:rPr>
            </w:pPr>
            <w:r>
              <w:rPr>
                <w:rFonts w:ascii="Verdana" w:hAnsi="Verdana" w:eastAsia="华文细黑" w:cs="宋体"/>
                <w:b/>
                <w:bCs/>
                <w:color w:val="FFFFFF"/>
                <w:sz w:val="20"/>
                <w:szCs w:val="20"/>
              </w:rPr>
              <w:t>2023</w:t>
            </w:r>
          </w:p>
        </w:tc>
        <w:tc>
          <w:tcPr>
            <w:tcW w:w="969" w:type="dxa"/>
            <w:shd w:val="clear" w:color="000000" w:fill="0070C0"/>
            <w:noWrap/>
            <w:vAlign w:val="center"/>
          </w:tcPr>
          <w:p>
            <w:pPr>
              <w:jc w:val="center"/>
              <w:rPr>
                <w:rFonts w:ascii="Verdana" w:hAnsi="Verdana" w:eastAsia="华文细黑" w:cs="宋体"/>
                <w:b/>
                <w:bCs/>
                <w:color w:val="FFFFFF"/>
                <w:sz w:val="20"/>
                <w:szCs w:val="20"/>
              </w:rPr>
            </w:pPr>
            <w:r>
              <w:rPr>
                <w:rFonts w:ascii="Verdana" w:hAnsi="Verdana" w:eastAsia="华文细黑" w:cs="宋体"/>
                <w:b/>
                <w:bCs/>
                <w:color w:val="FFFFFF"/>
                <w:sz w:val="20"/>
                <w:szCs w:val="20"/>
              </w:rPr>
              <w:t>2024</w:t>
            </w:r>
          </w:p>
        </w:tc>
        <w:tc>
          <w:tcPr>
            <w:tcW w:w="970" w:type="dxa"/>
            <w:shd w:val="clear" w:color="000000" w:fill="0070C0"/>
            <w:noWrap/>
            <w:vAlign w:val="center"/>
          </w:tcPr>
          <w:p>
            <w:pPr>
              <w:jc w:val="center"/>
              <w:rPr>
                <w:rFonts w:ascii="Verdana" w:hAnsi="Verdana" w:eastAsia="华文细黑" w:cs="宋体"/>
                <w:b/>
                <w:bCs/>
                <w:color w:val="FFFFFF"/>
                <w:sz w:val="20"/>
                <w:szCs w:val="20"/>
              </w:rPr>
            </w:pPr>
            <w:r>
              <w:rPr>
                <w:rFonts w:ascii="Verdana" w:hAnsi="Verdana" w:eastAsia="华文细黑" w:cs="宋体"/>
                <w:b/>
                <w:bCs/>
                <w:color w:val="FFFFFF"/>
                <w:sz w:val="20"/>
                <w:szCs w:val="20"/>
              </w:rPr>
              <w:t>2025</w:t>
            </w:r>
          </w:p>
        </w:tc>
        <w:tc>
          <w:tcPr>
            <w:tcW w:w="970" w:type="dxa"/>
            <w:shd w:val="clear" w:color="000000" w:fill="0070C0"/>
            <w:noWrap/>
            <w:vAlign w:val="center"/>
          </w:tcPr>
          <w:p>
            <w:pPr>
              <w:jc w:val="center"/>
              <w:rPr>
                <w:rFonts w:ascii="Verdana" w:hAnsi="Verdana" w:eastAsia="华文细黑" w:cs="宋体"/>
                <w:b/>
                <w:bCs/>
                <w:color w:val="FFFFFF"/>
                <w:sz w:val="20"/>
                <w:szCs w:val="20"/>
              </w:rPr>
            </w:pPr>
            <w:r>
              <w:rPr>
                <w:rFonts w:ascii="Verdana" w:hAnsi="Verdana" w:eastAsia="华文细黑" w:cs="宋体"/>
                <w:b/>
                <w:bCs/>
                <w:color w:val="FFFFFF"/>
                <w:sz w:val="20"/>
                <w:szCs w:val="20"/>
              </w:rPr>
              <w:t>2026</w:t>
            </w:r>
          </w:p>
        </w:tc>
        <w:tc>
          <w:tcPr>
            <w:tcW w:w="968" w:type="dxa"/>
            <w:shd w:val="clear" w:color="000000" w:fill="0070C0"/>
            <w:noWrap/>
            <w:vAlign w:val="center"/>
          </w:tcPr>
          <w:p>
            <w:pPr>
              <w:jc w:val="center"/>
              <w:rPr>
                <w:rFonts w:ascii="Verdana" w:hAnsi="Verdana" w:eastAsia="华文细黑" w:cs="宋体"/>
                <w:b/>
                <w:bCs/>
                <w:color w:val="FFFFFF"/>
                <w:sz w:val="20"/>
                <w:szCs w:val="20"/>
              </w:rPr>
            </w:pPr>
            <w:r>
              <w:rPr>
                <w:rFonts w:ascii="Verdana" w:hAnsi="Verdana" w:eastAsia="华文细黑" w:cs="宋体"/>
                <w:b/>
                <w:bCs/>
                <w:color w:val="FFFFFF"/>
                <w:sz w:val="20"/>
                <w:szCs w:val="20"/>
              </w:rPr>
              <w:t>2027</w:t>
            </w:r>
          </w:p>
        </w:tc>
        <w:tc>
          <w:tcPr>
            <w:tcW w:w="968" w:type="dxa"/>
            <w:shd w:val="clear" w:color="000000" w:fill="0070C0"/>
            <w:noWrap/>
            <w:vAlign w:val="center"/>
          </w:tcPr>
          <w:p>
            <w:pPr>
              <w:jc w:val="center"/>
              <w:rPr>
                <w:rFonts w:ascii="Verdana" w:hAnsi="Verdana" w:eastAsia="华文细黑" w:cs="宋体"/>
                <w:b/>
                <w:bCs/>
                <w:color w:val="FFFFFF"/>
                <w:sz w:val="20"/>
                <w:szCs w:val="20"/>
              </w:rPr>
            </w:pPr>
            <w:r>
              <w:rPr>
                <w:rFonts w:ascii="Verdana" w:hAnsi="Verdana" w:eastAsia="华文细黑" w:cs="宋体"/>
                <w:b/>
                <w:bCs/>
                <w:color w:val="FFFFFF"/>
                <w:sz w:val="20"/>
                <w:szCs w:val="20"/>
              </w:rPr>
              <w:t>2028</w:t>
            </w:r>
          </w:p>
        </w:tc>
        <w:tc>
          <w:tcPr>
            <w:tcW w:w="1000" w:type="dxa"/>
            <w:shd w:val="clear" w:color="000000" w:fill="0070C0"/>
            <w:noWrap/>
            <w:vAlign w:val="center"/>
          </w:tcPr>
          <w:p>
            <w:pPr>
              <w:jc w:val="center"/>
              <w:rPr>
                <w:rFonts w:ascii="Verdana" w:hAnsi="Verdana" w:eastAsia="华文细黑" w:cs="宋体"/>
                <w:b/>
                <w:bCs/>
                <w:color w:val="FFFFFF"/>
                <w:sz w:val="20"/>
                <w:szCs w:val="20"/>
              </w:rPr>
            </w:pPr>
            <w:r>
              <w:rPr>
                <w:rFonts w:hint="eastAsia" w:ascii="Verdana" w:hAnsi="Verdana" w:eastAsia="华文细黑" w:cs="宋体"/>
                <w:b/>
                <w:bCs/>
                <w:color w:val="FFFFFF"/>
                <w:sz w:val="20"/>
                <w:szCs w:val="20"/>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816" w:type="dxa"/>
            <w:shd w:val="clear" w:color="auto" w:fill="auto"/>
            <w:noWrap/>
            <w:vAlign w:val="center"/>
          </w:tcPr>
          <w:p>
            <w:pPr>
              <w:rPr>
                <w:rFonts w:ascii="Verdana" w:hAnsi="Verdana" w:eastAsia="华文细黑" w:cs="宋体"/>
                <w:color w:val="000000"/>
                <w:sz w:val="20"/>
                <w:szCs w:val="20"/>
              </w:rPr>
            </w:pPr>
            <w:r>
              <w:rPr>
                <w:rFonts w:hint="eastAsia" w:ascii="Verdana" w:hAnsi="Verdana" w:eastAsia="华文细黑" w:cs="宋体"/>
                <w:color w:val="000000"/>
                <w:sz w:val="20"/>
                <w:szCs w:val="20"/>
              </w:rPr>
              <w:t>期初专项债券余额</w:t>
            </w:r>
          </w:p>
        </w:tc>
        <w:tc>
          <w:tcPr>
            <w:tcW w:w="969" w:type="dxa"/>
            <w:shd w:val="clear" w:color="auto" w:fill="auto"/>
            <w:noWrap/>
            <w:vAlign w:val="center"/>
          </w:tcPr>
          <w:p>
            <w:pPr>
              <w:jc w:val="right"/>
              <w:rPr>
                <w:rFonts w:ascii="Verdana" w:hAnsi="Verdana" w:eastAsia="等线"/>
                <w:color w:val="000000"/>
                <w:sz w:val="20"/>
                <w:szCs w:val="20"/>
              </w:rPr>
            </w:pPr>
            <w:r>
              <w:rPr>
                <w:rFonts w:ascii="Verdana" w:hAnsi="Verdana" w:eastAsia="等线"/>
                <w:color w:val="000000"/>
                <w:sz w:val="20"/>
                <w:szCs w:val="20"/>
              </w:rPr>
              <w:t>-</w:t>
            </w:r>
          </w:p>
        </w:tc>
        <w:tc>
          <w:tcPr>
            <w:tcW w:w="969" w:type="dxa"/>
            <w:shd w:val="clear" w:color="auto" w:fill="auto"/>
            <w:noWrap/>
            <w:vAlign w:val="center"/>
          </w:tcPr>
          <w:p>
            <w:pPr>
              <w:jc w:val="right"/>
              <w:rPr>
                <w:rFonts w:ascii="Verdana" w:hAnsi="Verdana" w:eastAsia="等线"/>
                <w:color w:val="000000"/>
                <w:sz w:val="20"/>
                <w:szCs w:val="20"/>
              </w:rPr>
            </w:pPr>
            <w:r>
              <w:rPr>
                <w:rFonts w:ascii="Verdana" w:hAnsi="Verdana" w:eastAsia="等线"/>
                <w:color w:val="000000"/>
                <w:sz w:val="20"/>
                <w:szCs w:val="20"/>
              </w:rPr>
              <w:t>500.00</w:t>
            </w:r>
          </w:p>
        </w:tc>
        <w:tc>
          <w:tcPr>
            <w:tcW w:w="970" w:type="dxa"/>
            <w:shd w:val="clear" w:color="auto" w:fill="auto"/>
            <w:noWrap/>
            <w:vAlign w:val="center"/>
          </w:tcPr>
          <w:p>
            <w:pPr>
              <w:jc w:val="right"/>
              <w:rPr>
                <w:rFonts w:ascii="Verdana" w:hAnsi="Verdana" w:eastAsia="等线"/>
                <w:color w:val="000000"/>
                <w:sz w:val="20"/>
                <w:szCs w:val="20"/>
              </w:rPr>
            </w:pPr>
            <w:r>
              <w:rPr>
                <w:rFonts w:ascii="Verdana" w:hAnsi="Verdana" w:eastAsia="等线"/>
                <w:color w:val="000000"/>
                <w:sz w:val="20"/>
                <w:szCs w:val="20"/>
              </w:rPr>
              <w:t>500.00</w:t>
            </w:r>
          </w:p>
        </w:tc>
        <w:tc>
          <w:tcPr>
            <w:tcW w:w="970" w:type="dxa"/>
            <w:shd w:val="clear" w:color="auto" w:fill="auto"/>
            <w:noWrap/>
            <w:vAlign w:val="center"/>
          </w:tcPr>
          <w:p>
            <w:pPr>
              <w:jc w:val="right"/>
              <w:rPr>
                <w:rFonts w:ascii="Verdana" w:hAnsi="Verdana" w:eastAsia="等线"/>
                <w:color w:val="000000"/>
                <w:sz w:val="20"/>
                <w:szCs w:val="20"/>
              </w:rPr>
            </w:pPr>
            <w:r>
              <w:rPr>
                <w:rFonts w:ascii="Verdana" w:hAnsi="Verdana" w:eastAsia="等线"/>
                <w:color w:val="000000"/>
                <w:sz w:val="20"/>
                <w:szCs w:val="20"/>
              </w:rPr>
              <w:t>500.00</w:t>
            </w:r>
          </w:p>
        </w:tc>
        <w:tc>
          <w:tcPr>
            <w:tcW w:w="968" w:type="dxa"/>
            <w:shd w:val="clear" w:color="auto" w:fill="auto"/>
            <w:noWrap/>
            <w:vAlign w:val="center"/>
          </w:tcPr>
          <w:p>
            <w:pPr>
              <w:jc w:val="right"/>
              <w:rPr>
                <w:rFonts w:ascii="Verdana" w:hAnsi="Verdana" w:eastAsia="等线"/>
                <w:color w:val="000000"/>
                <w:sz w:val="20"/>
                <w:szCs w:val="20"/>
              </w:rPr>
            </w:pPr>
            <w:r>
              <w:rPr>
                <w:rFonts w:ascii="Verdana" w:hAnsi="Verdana" w:eastAsia="等线"/>
                <w:color w:val="000000"/>
                <w:sz w:val="20"/>
                <w:szCs w:val="20"/>
              </w:rPr>
              <w:t>500.00</w:t>
            </w:r>
          </w:p>
        </w:tc>
        <w:tc>
          <w:tcPr>
            <w:tcW w:w="968" w:type="dxa"/>
            <w:shd w:val="clear" w:color="auto" w:fill="auto"/>
            <w:noWrap/>
            <w:vAlign w:val="center"/>
          </w:tcPr>
          <w:p>
            <w:pPr>
              <w:jc w:val="right"/>
              <w:rPr>
                <w:rFonts w:ascii="Verdana" w:hAnsi="Verdana" w:eastAsia="等线"/>
                <w:color w:val="000000"/>
                <w:sz w:val="20"/>
                <w:szCs w:val="20"/>
              </w:rPr>
            </w:pPr>
            <w:r>
              <w:rPr>
                <w:rFonts w:ascii="Verdana" w:hAnsi="Verdana" w:eastAsia="等线"/>
                <w:color w:val="000000"/>
                <w:sz w:val="20"/>
                <w:szCs w:val="20"/>
              </w:rPr>
              <w:t>500.00</w:t>
            </w:r>
          </w:p>
        </w:tc>
        <w:tc>
          <w:tcPr>
            <w:tcW w:w="1000" w:type="dxa"/>
            <w:shd w:val="clear" w:color="auto" w:fill="auto"/>
            <w:noWrap/>
            <w:vAlign w:val="center"/>
          </w:tcPr>
          <w:p>
            <w:pPr>
              <w:jc w:val="right"/>
              <w:rPr>
                <w:rFonts w:ascii="Verdana" w:hAnsi="Verdana" w:eastAsia="等线"/>
                <w:b/>
                <w:bCs/>
                <w:color w:val="000000"/>
                <w:sz w:val="20"/>
                <w:szCs w:val="20"/>
              </w:rPr>
            </w:pPr>
            <w:r>
              <w:rPr>
                <w:rFonts w:ascii="Verdana" w:hAnsi="Verdana" w:eastAsia="等线"/>
                <w:b/>
                <w:bCs/>
                <w:color w:val="00000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816" w:type="dxa"/>
            <w:shd w:val="clear" w:color="auto" w:fill="auto"/>
            <w:noWrap/>
            <w:vAlign w:val="center"/>
          </w:tcPr>
          <w:p>
            <w:pPr>
              <w:rPr>
                <w:rFonts w:ascii="Verdana" w:hAnsi="Verdana" w:eastAsia="华文细黑" w:cs="宋体"/>
                <w:color w:val="000000"/>
                <w:sz w:val="20"/>
                <w:szCs w:val="20"/>
              </w:rPr>
            </w:pPr>
            <w:r>
              <w:rPr>
                <w:rFonts w:hint="eastAsia" w:ascii="Verdana" w:hAnsi="Verdana" w:eastAsia="华文细黑" w:cs="宋体"/>
                <w:color w:val="000000"/>
                <w:sz w:val="20"/>
                <w:szCs w:val="20"/>
              </w:rPr>
              <w:t>本期专项债券发行</w:t>
            </w:r>
          </w:p>
        </w:tc>
        <w:tc>
          <w:tcPr>
            <w:tcW w:w="969" w:type="dxa"/>
            <w:shd w:val="clear" w:color="auto" w:fill="auto"/>
            <w:noWrap/>
            <w:vAlign w:val="center"/>
          </w:tcPr>
          <w:p>
            <w:pPr>
              <w:jc w:val="right"/>
              <w:rPr>
                <w:rFonts w:ascii="Verdana" w:hAnsi="Verdana" w:eastAsia="等线"/>
                <w:color w:val="000000"/>
                <w:sz w:val="20"/>
                <w:szCs w:val="20"/>
              </w:rPr>
            </w:pPr>
            <w:r>
              <w:rPr>
                <w:rFonts w:ascii="Verdana" w:hAnsi="Verdana" w:eastAsia="等线"/>
                <w:color w:val="000000"/>
                <w:sz w:val="20"/>
                <w:szCs w:val="20"/>
              </w:rPr>
              <w:t>500.00</w:t>
            </w:r>
          </w:p>
        </w:tc>
        <w:tc>
          <w:tcPr>
            <w:tcW w:w="969" w:type="dxa"/>
            <w:shd w:val="clear" w:color="auto" w:fill="auto"/>
            <w:noWrap/>
            <w:vAlign w:val="center"/>
          </w:tcPr>
          <w:p>
            <w:pPr>
              <w:jc w:val="right"/>
              <w:rPr>
                <w:rFonts w:ascii="Verdana" w:hAnsi="Verdana" w:eastAsia="等线"/>
                <w:color w:val="000000"/>
                <w:sz w:val="20"/>
                <w:szCs w:val="20"/>
              </w:rPr>
            </w:pPr>
            <w:r>
              <w:rPr>
                <w:rFonts w:ascii="Verdana" w:hAnsi="Verdana" w:eastAsia="等线"/>
                <w:color w:val="000000"/>
                <w:sz w:val="20"/>
                <w:szCs w:val="20"/>
              </w:rPr>
              <w:t>-</w:t>
            </w:r>
          </w:p>
        </w:tc>
        <w:tc>
          <w:tcPr>
            <w:tcW w:w="970" w:type="dxa"/>
            <w:shd w:val="clear" w:color="auto" w:fill="auto"/>
            <w:noWrap/>
            <w:vAlign w:val="center"/>
          </w:tcPr>
          <w:p>
            <w:pPr>
              <w:jc w:val="right"/>
              <w:rPr>
                <w:rFonts w:ascii="Verdana" w:hAnsi="Verdana" w:eastAsia="等线"/>
                <w:color w:val="000000"/>
                <w:sz w:val="20"/>
                <w:szCs w:val="20"/>
              </w:rPr>
            </w:pPr>
            <w:r>
              <w:rPr>
                <w:rFonts w:ascii="Verdana" w:hAnsi="Verdana" w:eastAsia="等线"/>
                <w:color w:val="000000"/>
                <w:sz w:val="20"/>
                <w:szCs w:val="20"/>
              </w:rPr>
              <w:t>-</w:t>
            </w:r>
          </w:p>
        </w:tc>
        <w:tc>
          <w:tcPr>
            <w:tcW w:w="970" w:type="dxa"/>
            <w:shd w:val="clear" w:color="auto" w:fill="auto"/>
            <w:noWrap/>
            <w:vAlign w:val="center"/>
          </w:tcPr>
          <w:p>
            <w:pPr>
              <w:jc w:val="right"/>
              <w:rPr>
                <w:rFonts w:ascii="Verdana" w:hAnsi="Verdana" w:eastAsia="等线"/>
                <w:color w:val="000000"/>
                <w:sz w:val="20"/>
                <w:szCs w:val="20"/>
              </w:rPr>
            </w:pPr>
            <w:r>
              <w:rPr>
                <w:rFonts w:ascii="Verdana" w:hAnsi="Verdana" w:eastAsia="等线"/>
                <w:color w:val="000000"/>
                <w:sz w:val="20"/>
                <w:szCs w:val="20"/>
              </w:rPr>
              <w:t>-</w:t>
            </w:r>
          </w:p>
        </w:tc>
        <w:tc>
          <w:tcPr>
            <w:tcW w:w="968" w:type="dxa"/>
            <w:shd w:val="clear" w:color="auto" w:fill="auto"/>
            <w:noWrap/>
            <w:vAlign w:val="center"/>
          </w:tcPr>
          <w:p>
            <w:pPr>
              <w:jc w:val="right"/>
              <w:rPr>
                <w:rFonts w:ascii="Verdana" w:hAnsi="Verdana" w:eastAsia="等线"/>
                <w:color w:val="000000"/>
                <w:sz w:val="20"/>
                <w:szCs w:val="20"/>
              </w:rPr>
            </w:pPr>
            <w:r>
              <w:rPr>
                <w:rFonts w:ascii="Verdana" w:hAnsi="Verdana" w:eastAsia="等线"/>
                <w:color w:val="000000"/>
                <w:sz w:val="20"/>
                <w:szCs w:val="20"/>
              </w:rPr>
              <w:t>-</w:t>
            </w:r>
          </w:p>
        </w:tc>
        <w:tc>
          <w:tcPr>
            <w:tcW w:w="968" w:type="dxa"/>
            <w:shd w:val="clear" w:color="auto" w:fill="auto"/>
            <w:noWrap/>
            <w:vAlign w:val="center"/>
          </w:tcPr>
          <w:p>
            <w:pPr>
              <w:jc w:val="right"/>
              <w:rPr>
                <w:rFonts w:ascii="Verdana" w:hAnsi="Verdana" w:eastAsia="等线"/>
                <w:color w:val="000000"/>
                <w:sz w:val="20"/>
                <w:szCs w:val="20"/>
              </w:rPr>
            </w:pPr>
            <w:r>
              <w:rPr>
                <w:rFonts w:ascii="Verdana" w:hAnsi="Verdana" w:eastAsia="等线"/>
                <w:color w:val="000000"/>
                <w:sz w:val="20"/>
                <w:szCs w:val="20"/>
              </w:rPr>
              <w:t>-</w:t>
            </w:r>
          </w:p>
        </w:tc>
        <w:tc>
          <w:tcPr>
            <w:tcW w:w="1000" w:type="dxa"/>
            <w:shd w:val="clear" w:color="auto" w:fill="auto"/>
            <w:noWrap/>
            <w:vAlign w:val="center"/>
          </w:tcPr>
          <w:p>
            <w:pPr>
              <w:jc w:val="right"/>
              <w:rPr>
                <w:rFonts w:ascii="Verdana" w:hAnsi="Verdana" w:eastAsia="等线"/>
                <w:b/>
                <w:bCs/>
                <w:color w:val="000000"/>
                <w:sz w:val="20"/>
                <w:szCs w:val="20"/>
              </w:rPr>
            </w:pPr>
            <w:r>
              <w:rPr>
                <w:rFonts w:ascii="Verdana" w:hAnsi="Verdana" w:eastAsia="等线"/>
                <w:b/>
                <w:bCs/>
                <w:color w:val="000000"/>
                <w:sz w:val="20"/>
                <w:szCs w:val="20"/>
              </w:rPr>
              <w:t>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816" w:type="dxa"/>
            <w:shd w:val="clear" w:color="auto" w:fill="auto"/>
            <w:noWrap/>
            <w:vAlign w:val="center"/>
          </w:tcPr>
          <w:p>
            <w:pPr>
              <w:rPr>
                <w:rFonts w:ascii="Verdana" w:hAnsi="Verdana" w:eastAsia="华文细黑" w:cs="宋体"/>
                <w:color w:val="000000"/>
                <w:sz w:val="20"/>
                <w:szCs w:val="20"/>
              </w:rPr>
            </w:pPr>
            <w:r>
              <w:rPr>
                <w:rFonts w:hint="eastAsia" w:ascii="Verdana" w:hAnsi="Verdana" w:eastAsia="华文细黑" w:cs="宋体"/>
                <w:color w:val="000000"/>
                <w:sz w:val="20"/>
                <w:szCs w:val="20"/>
              </w:rPr>
              <w:t>利息支出</w:t>
            </w:r>
          </w:p>
        </w:tc>
        <w:tc>
          <w:tcPr>
            <w:tcW w:w="969" w:type="dxa"/>
            <w:shd w:val="clear" w:color="auto" w:fill="auto"/>
            <w:noWrap/>
            <w:vAlign w:val="center"/>
          </w:tcPr>
          <w:p>
            <w:pPr>
              <w:jc w:val="right"/>
              <w:rPr>
                <w:rFonts w:ascii="Verdana" w:hAnsi="Verdana" w:eastAsia="等线"/>
                <w:color w:val="000000"/>
                <w:sz w:val="20"/>
                <w:szCs w:val="20"/>
              </w:rPr>
            </w:pPr>
            <w:r>
              <w:rPr>
                <w:rFonts w:ascii="Verdana" w:hAnsi="Verdana" w:eastAsia="等线"/>
                <w:color w:val="000000"/>
                <w:sz w:val="20"/>
                <w:szCs w:val="20"/>
              </w:rPr>
              <w:t>-</w:t>
            </w:r>
          </w:p>
        </w:tc>
        <w:tc>
          <w:tcPr>
            <w:tcW w:w="969" w:type="dxa"/>
            <w:shd w:val="clear" w:color="auto" w:fill="auto"/>
            <w:noWrap/>
            <w:vAlign w:val="center"/>
          </w:tcPr>
          <w:p>
            <w:pPr>
              <w:jc w:val="right"/>
              <w:rPr>
                <w:rFonts w:ascii="Verdana" w:hAnsi="Verdana" w:eastAsia="等线"/>
                <w:color w:val="000000"/>
                <w:sz w:val="20"/>
                <w:szCs w:val="20"/>
              </w:rPr>
            </w:pPr>
            <w:r>
              <w:rPr>
                <w:rFonts w:ascii="Verdana" w:hAnsi="Verdana" w:eastAsia="等线"/>
                <w:color w:val="000000"/>
                <w:sz w:val="20"/>
                <w:szCs w:val="20"/>
              </w:rPr>
              <w:t>13.50</w:t>
            </w:r>
          </w:p>
        </w:tc>
        <w:tc>
          <w:tcPr>
            <w:tcW w:w="970" w:type="dxa"/>
            <w:shd w:val="clear" w:color="auto" w:fill="auto"/>
            <w:noWrap/>
            <w:vAlign w:val="center"/>
          </w:tcPr>
          <w:p>
            <w:pPr>
              <w:jc w:val="right"/>
              <w:rPr>
                <w:rFonts w:ascii="Verdana" w:hAnsi="Verdana" w:eastAsia="等线"/>
                <w:color w:val="000000"/>
                <w:sz w:val="20"/>
                <w:szCs w:val="20"/>
              </w:rPr>
            </w:pPr>
            <w:r>
              <w:rPr>
                <w:rFonts w:ascii="Verdana" w:hAnsi="Verdana" w:eastAsia="等线"/>
                <w:color w:val="000000"/>
                <w:sz w:val="20"/>
                <w:szCs w:val="20"/>
              </w:rPr>
              <w:t>13.50</w:t>
            </w:r>
          </w:p>
        </w:tc>
        <w:tc>
          <w:tcPr>
            <w:tcW w:w="970" w:type="dxa"/>
            <w:shd w:val="clear" w:color="auto" w:fill="auto"/>
            <w:noWrap/>
            <w:vAlign w:val="center"/>
          </w:tcPr>
          <w:p>
            <w:pPr>
              <w:jc w:val="right"/>
              <w:rPr>
                <w:rFonts w:ascii="Verdana" w:hAnsi="Verdana" w:eastAsia="等线"/>
                <w:color w:val="000000"/>
                <w:sz w:val="20"/>
                <w:szCs w:val="20"/>
              </w:rPr>
            </w:pPr>
            <w:r>
              <w:rPr>
                <w:rFonts w:ascii="Verdana" w:hAnsi="Verdana" w:eastAsia="等线"/>
                <w:color w:val="000000"/>
                <w:sz w:val="20"/>
                <w:szCs w:val="20"/>
              </w:rPr>
              <w:t>13.50</w:t>
            </w:r>
          </w:p>
        </w:tc>
        <w:tc>
          <w:tcPr>
            <w:tcW w:w="968" w:type="dxa"/>
            <w:shd w:val="clear" w:color="auto" w:fill="auto"/>
            <w:noWrap/>
            <w:vAlign w:val="center"/>
          </w:tcPr>
          <w:p>
            <w:pPr>
              <w:jc w:val="right"/>
              <w:rPr>
                <w:rFonts w:ascii="Verdana" w:hAnsi="Verdana" w:eastAsia="等线"/>
                <w:color w:val="000000"/>
                <w:sz w:val="20"/>
                <w:szCs w:val="20"/>
              </w:rPr>
            </w:pPr>
            <w:r>
              <w:rPr>
                <w:rFonts w:ascii="Verdana" w:hAnsi="Verdana" w:eastAsia="等线"/>
                <w:color w:val="000000"/>
                <w:sz w:val="20"/>
                <w:szCs w:val="20"/>
              </w:rPr>
              <w:t>13.50</w:t>
            </w:r>
          </w:p>
        </w:tc>
        <w:tc>
          <w:tcPr>
            <w:tcW w:w="968" w:type="dxa"/>
            <w:shd w:val="clear" w:color="auto" w:fill="auto"/>
            <w:noWrap/>
            <w:vAlign w:val="center"/>
          </w:tcPr>
          <w:p>
            <w:pPr>
              <w:jc w:val="right"/>
              <w:rPr>
                <w:rFonts w:ascii="Verdana" w:hAnsi="Verdana" w:eastAsia="等线"/>
                <w:color w:val="000000"/>
                <w:sz w:val="20"/>
                <w:szCs w:val="20"/>
              </w:rPr>
            </w:pPr>
            <w:r>
              <w:rPr>
                <w:rFonts w:ascii="Verdana" w:hAnsi="Verdana" w:eastAsia="等线"/>
                <w:color w:val="000000"/>
                <w:sz w:val="20"/>
                <w:szCs w:val="20"/>
              </w:rPr>
              <w:t>13.50</w:t>
            </w:r>
          </w:p>
        </w:tc>
        <w:tc>
          <w:tcPr>
            <w:tcW w:w="1000" w:type="dxa"/>
            <w:shd w:val="clear" w:color="auto" w:fill="auto"/>
            <w:noWrap/>
            <w:vAlign w:val="center"/>
          </w:tcPr>
          <w:p>
            <w:pPr>
              <w:jc w:val="right"/>
              <w:rPr>
                <w:rFonts w:ascii="Verdana" w:hAnsi="Verdana" w:eastAsia="等线"/>
                <w:b/>
                <w:bCs/>
                <w:color w:val="000000"/>
                <w:sz w:val="20"/>
                <w:szCs w:val="20"/>
              </w:rPr>
            </w:pPr>
            <w:r>
              <w:rPr>
                <w:rFonts w:ascii="Verdana" w:hAnsi="Verdana" w:eastAsia="等线"/>
                <w:b/>
                <w:bCs/>
                <w:color w:val="000000"/>
                <w:sz w:val="20"/>
                <w:szCs w:val="20"/>
              </w:rPr>
              <w:t>67.50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816" w:type="dxa"/>
            <w:shd w:val="clear" w:color="auto" w:fill="auto"/>
            <w:noWrap/>
            <w:vAlign w:val="center"/>
          </w:tcPr>
          <w:p>
            <w:pPr>
              <w:rPr>
                <w:rFonts w:ascii="Verdana" w:hAnsi="Verdana" w:eastAsia="华文细黑" w:cs="宋体"/>
                <w:color w:val="000000"/>
                <w:sz w:val="20"/>
                <w:szCs w:val="20"/>
              </w:rPr>
            </w:pPr>
            <w:r>
              <w:rPr>
                <w:rFonts w:hint="eastAsia" w:ascii="Verdana" w:hAnsi="Verdana" w:eastAsia="华文细黑" w:cs="宋体"/>
                <w:color w:val="000000"/>
                <w:sz w:val="20"/>
                <w:szCs w:val="20"/>
              </w:rPr>
              <w:t>本期还款</w:t>
            </w:r>
          </w:p>
        </w:tc>
        <w:tc>
          <w:tcPr>
            <w:tcW w:w="969" w:type="dxa"/>
            <w:shd w:val="clear" w:color="auto" w:fill="auto"/>
            <w:noWrap/>
            <w:vAlign w:val="center"/>
          </w:tcPr>
          <w:p>
            <w:pPr>
              <w:jc w:val="right"/>
              <w:rPr>
                <w:rFonts w:ascii="Verdana" w:hAnsi="Verdana" w:eastAsia="等线"/>
                <w:color w:val="000000"/>
                <w:sz w:val="20"/>
                <w:szCs w:val="20"/>
              </w:rPr>
            </w:pPr>
            <w:r>
              <w:rPr>
                <w:rFonts w:ascii="Verdana" w:hAnsi="Verdana" w:eastAsia="等线"/>
                <w:color w:val="000000"/>
                <w:sz w:val="20"/>
                <w:szCs w:val="20"/>
              </w:rPr>
              <w:t>-</w:t>
            </w:r>
          </w:p>
        </w:tc>
        <w:tc>
          <w:tcPr>
            <w:tcW w:w="969" w:type="dxa"/>
            <w:shd w:val="clear" w:color="auto" w:fill="auto"/>
            <w:noWrap/>
            <w:vAlign w:val="center"/>
          </w:tcPr>
          <w:p>
            <w:pPr>
              <w:jc w:val="right"/>
              <w:rPr>
                <w:rFonts w:ascii="Verdana" w:hAnsi="Verdana" w:eastAsia="等线"/>
                <w:color w:val="000000"/>
                <w:sz w:val="20"/>
                <w:szCs w:val="20"/>
              </w:rPr>
            </w:pPr>
            <w:r>
              <w:rPr>
                <w:rFonts w:ascii="Verdana" w:hAnsi="Verdana" w:eastAsia="等线"/>
                <w:color w:val="000000"/>
                <w:sz w:val="20"/>
                <w:szCs w:val="20"/>
              </w:rPr>
              <w:t>13.50</w:t>
            </w:r>
          </w:p>
        </w:tc>
        <w:tc>
          <w:tcPr>
            <w:tcW w:w="970" w:type="dxa"/>
            <w:shd w:val="clear" w:color="auto" w:fill="auto"/>
            <w:noWrap/>
            <w:vAlign w:val="center"/>
          </w:tcPr>
          <w:p>
            <w:pPr>
              <w:jc w:val="right"/>
              <w:rPr>
                <w:rFonts w:ascii="Verdana" w:hAnsi="Verdana" w:eastAsia="等线"/>
                <w:color w:val="000000"/>
                <w:sz w:val="20"/>
                <w:szCs w:val="20"/>
              </w:rPr>
            </w:pPr>
            <w:r>
              <w:rPr>
                <w:rFonts w:ascii="Verdana" w:hAnsi="Verdana" w:eastAsia="等线"/>
                <w:color w:val="000000"/>
                <w:sz w:val="20"/>
                <w:szCs w:val="20"/>
              </w:rPr>
              <w:t>13.50</w:t>
            </w:r>
          </w:p>
        </w:tc>
        <w:tc>
          <w:tcPr>
            <w:tcW w:w="970" w:type="dxa"/>
            <w:shd w:val="clear" w:color="auto" w:fill="auto"/>
            <w:noWrap/>
            <w:vAlign w:val="center"/>
          </w:tcPr>
          <w:p>
            <w:pPr>
              <w:jc w:val="right"/>
              <w:rPr>
                <w:rFonts w:ascii="Verdana" w:hAnsi="Verdana" w:eastAsia="等线"/>
                <w:color w:val="000000"/>
                <w:sz w:val="20"/>
                <w:szCs w:val="20"/>
              </w:rPr>
            </w:pPr>
            <w:r>
              <w:rPr>
                <w:rFonts w:ascii="Verdana" w:hAnsi="Verdana" w:eastAsia="等线"/>
                <w:color w:val="000000"/>
                <w:sz w:val="20"/>
                <w:szCs w:val="20"/>
              </w:rPr>
              <w:t>13.50</w:t>
            </w:r>
          </w:p>
        </w:tc>
        <w:tc>
          <w:tcPr>
            <w:tcW w:w="968" w:type="dxa"/>
            <w:shd w:val="clear" w:color="auto" w:fill="auto"/>
            <w:noWrap/>
            <w:vAlign w:val="center"/>
          </w:tcPr>
          <w:p>
            <w:pPr>
              <w:jc w:val="right"/>
              <w:rPr>
                <w:rFonts w:ascii="Verdana" w:hAnsi="Verdana" w:eastAsia="等线"/>
                <w:color w:val="000000"/>
                <w:sz w:val="20"/>
                <w:szCs w:val="20"/>
              </w:rPr>
            </w:pPr>
            <w:r>
              <w:rPr>
                <w:rFonts w:ascii="Verdana" w:hAnsi="Verdana" w:eastAsia="等线"/>
                <w:color w:val="000000"/>
                <w:sz w:val="20"/>
                <w:szCs w:val="20"/>
              </w:rPr>
              <w:t>13.50</w:t>
            </w:r>
          </w:p>
        </w:tc>
        <w:tc>
          <w:tcPr>
            <w:tcW w:w="968" w:type="dxa"/>
            <w:shd w:val="clear" w:color="auto" w:fill="auto"/>
            <w:noWrap/>
            <w:vAlign w:val="center"/>
          </w:tcPr>
          <w:p>
            <w:pPr>
              <w:jc w:val="right"/>
              <w:rPr>
                <w:rFonts w:ascii="Verdana" w:hAnsi="Verdana" w:eastAsia="等线"/>
                <w:color w:val="000000"/>
                <w:sz w:val="20"/>
                <w:szCs w:val="20"/>
              </w:rPr>
            </w:pPr>
            <w:r>
              <w:rPr>
                <w:rFonts w:ascii="Verdana" w:hAnsi="Verdana" w:eastAsia="等线"/>
                <w:color w:val="000000"/>
                <w:sz w:val="20"/>
                <w:szCs w:val="20"/>
              </w:rPr>
              <w:t>513.50</w:t>
            </w:r>
          </w:p>
        </w:tc>
        <w:tc>
          <w:tcPr>
            <w:tcW w:w="1000" w:type="dxa"/>
            <w:shd w:val="clear" w:color="auto" w:fill="auto"/>
            <w:noWrap/>
            <w:vAlign w:val="center"/>
          </w:tcPr>
          <w:p>
            <w:pPr>
              <w:jc w:val="right"/>
              <w:rPr>
                <w:rFonts w:ascii="Verdana" w:hAnsi="Verdana" w:eastAsia="等线"/>
                <w:b/>
                <w:bCs/>
                <w:color w:val="000000"/>
                <w:sz w:val="20"/>
                <w:szCs w:val="20"/>
              </w:rPr>
            </w:pPr>
            <w:r>
              <w:rPr>
                <w:rFonts w:ascii="Verdana" w:hAnsi="Verdana" w:eastAsia="等线"/>
                <w:b/>
                <w:bCs/>
                <w:color w:val="000000"/>
                <w:sz w:val="20"/>
                <w:szCs w:val="20"/>
              </w:rPr>
              <w:t>567.50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816" w:type="dxa"/>
            <w:shd w:val="clear" w:color="auto" w:fill="auto"/>
            <w:noWrap/>
            <w:vAlign w:val="center"/>
          </w:tcPr>
          <w:p>
            <w:pPr>
              <w:rPr>
                <w:rFonts w:ascii="Verdana" w:hAnsi="Verdana" w:eastAsia="华文细黑" w:cs="宋体"/>
                <w:color w:val="000000"/>
                <w:sz w:val="20"/>
                <w:szCs w:val="20"/>
              </w:rPr>
            </w:pPr>
            <w:r>
              <w:rPr>
                <w:rFonts w:hint="eastAsia" w:ascii="Verdana" w:hAnsi="Verdana" w:eastAsia="华文细黑" w:cs="宋体"/>
                <w:color w:val="000000"/>
                <w:sz w:val="20"/>
                <w:szCs w:val="20"/>
              </w:rPr>
              <w:t>其中：还本</w:t>
            </w:r>
          </w:p>
        </w:tc>
        <w:tc>
          <w:tcPr>
            <w:tcW w:w="969" w:type="dxa"/>
            <w:shd w:val="clear" w:color="auto" w:fill="auto"/>
            <w:noWrap/>
            <w:vAlign w:val="center"/>
          </w:tcPr>
          <w:p>
            <w:pPr>
              <w:jc w:val="right"/>
              <w:rPr>
                <w:rFonts w:ascii="Verdana" w:hAnsi="Verdana" w:eastAsia="等线"/>
                <w:color w:val="000000"/>
                <w:sz w:val="20"/>
                <w:szCs w:val="20"/>
              </w:rPr>
            </w:pPr>
            <w:r>
              <w:rPr>
                <w:rFonts w:ascii="Verdana" w:hAnsi="Verdana" w:eastAsia="等线"/>
                <w:color w:val="000000"/>
                <w:sz w:val="20"/>
                <w:szCs w:val="20"/>
              </w:rPr>
              <w:t>-</w:t>
            </w:r>
          </w:p>
        </w:tc>
        <w:tc>
          <w:tcPr>
            <w:tcW w:w="969" w:type="dxa"/>
            <w:shd w:val="clear" w:color="auto" w:fill="auto"/>
            <w:noWrap/>
            <w:vAlign w:val="center"/>
          </w:tcPr>
          <w:p>
            <w:pPr>
              <w:jc w:val="right"/>
              <w:rPr>
                <w:rFonts w:ascii="Verdana" w:hAnsi="Verdana" w:eastAsia="等线"/>
                <w:color w:val="000000"/>
                <w:sz w:val="20"/>
                <w:szCs w:val="20"/>
              </w:rPr>
            </w:pPr>
            <w:r>
              <w:rPr>
                <w:rFonts w:ascii="Verdana" w:hAnsi="Verdana" w:eastAsia="等线"/>
                <w:color w:val="000000"/>
                <w:sz w:val="20"/>
                <w:szCs w:val="20"/>
              </w:rPr>
              <w:t>-</w:t>
            </w:r>
          </w:p>
        </w:tc>
        <w:tc>
          <w:tcPr>
            <w:tcW w:w="970" w:type="dxa"/>
            <w:shd w:val="clear" w:color="auto" w:fill="auto"/>
            <w:noWrap/>
            <w:vAlign w:val="center"/>
          </w:tcPr>
          <w:p>
            <w:pPr>
              <w:jc w:val="right"/>
              <w:rPr>
                <w:rFonts w:ascii="Verdana" w:hAnsi="Verdana" w:eastAsia="等线"/>
                <w:color w:val="000000"/>
                <w:sz w:val="20"/>
                <w:szCs w:val="20"/>
              </w:rPr>
            </w:pPr>
            <w:r>
              <w:rPr>
                <w:rFonts w:ascii="Verdana" w:hAnsi="Verdana" w:eastAsia="等线"/>
                <w:color w:val="000000"/>
                <w:sz w:val="20"/>
                <w:szCs w:val="20"/>
              </w:rPr>
              <w:t>-</w:t>
            </w:r>
          </w:p>
        </w:tc>
        <w:tc>
          <w:tcPr>
            <w:tcW w:w="970" w:type="dxa"/>
            <w:shd w:val="clear" w:color="auto" w:fill="auto"/>
            <w:noWrap/>
            <w:vAlign w:val="center"/>
          </w:tcPr>
          <w:p>
            <w:pPr>
              <w:jc w:val="right"/>
              <w:rPr>
                <w:rFonts w:ascii="Verdana" w:hAnsi="Verdana" w:eastAsia="等线"/>
                <w:color w:val="000000"/>
                <w:sz w:val="20"/>
                <w:szCs w:val="20"/>
              </w:rPr>
            </w:pPr>
            <w:r>
              <w:rPr>
                <w:rFonts w:ascii="Verdana" w:hAnsi="Verdana" w:eastAsia="等线"/>
                <w:color w:val="000000"/>
                <w:sz w:val="20"/>
                <w:szCs w:val="20"/>
              </w:rPr>
              <w:t>-</w:t>
            </w:r>
          </w:p>
        </w:tc>
        <w:tc>
          <w:tcPr>
            <w:tcW w:w="968" w:type="dxa"/>
            <w:shd w:val="clear" w:color="auto" w:fill="auto"/>
            <w:noWrap/>
            <w:vAlign w:val="center"/>
          </w:tcPr>
          <w:p>
            <w:pPr>
              <w:jc w:val="right"/>
              <w:rPr>
                <w:rFonts w:ascii="Verdana" w:hAnsi="Verdana" w:eastAsia="等线"/>
                <w:color w:val="000000"/>
                <w:sz w:val="20"/>
                <w:szCs w:val="20"/>
              </w:rPr>
            </w:pPr>
            <w:r>
              <w:rPr>
                <w:rFonts w:ascii="Verdana" w:hAnsi="Verdana" w:eastAsia="等线"/>
                <w:color w:val="000000"/>
                <w:sz w:val="20"/>
                <w:szCs w:val="20"/>
              </w:rPr>
              <w:t>-</w:t>
            </w:r>
          </w:p>
        </w:tc>
        <w:tc>
          <w:tcPr>
            <w:tcW w:w="968" w:type="dxa"/>
            <w:shd w:val="clear" w:color="auto" w:fill="auto"/>
            <w:noWrap/>
            <w:vAlign w:val="center"/>
          </w:tcPr>
          <w:p>
            <w:pPr>
              <w:jc w:val="right"/>
              <w:rPr>
                <w:rFonts w:ascii="Verdana" w:hAnsi="Verdana" w:eastAsia="等线"/>
                <w:color w:val="000000"/>
                <w:sz w:val="20"/>
                <w:szCs w:val="20"/>
              </w:rPr>
            </w:pPr>
            <w:r>
              <w:rPr>
                <w:rFonts w:ascii="Verdana" w:hAnsi="Verdana" w:eastAsia="等线"/>
                <w:color w:val="000000"/>
                <w:sz w:val="20"/>
                <w:szCs w:val="20"/>
              </w:rPr>
              <w:t>500.00</w:t>
            </w:r>
          </w:p>
        </w:tc>
        <w:tc>
          <w:tcPr>
            <w:tcW w:w="1000" w:type="dxa"/>
            <w:shd w:val="clear" w:color="auto" w:fill="auto"/>
            <w:noWrap/>
            <w:vAlign w:val="center"/>
          </w:tcPr>
          <w:p>
            <w:pPr>
              <w:jc w:val="right"/>
              <w:rPr>
                <w:rFonts w:ascii="Verdana" w:hAnsi="Verdana" w:eastAsia="等线"/>
                <w:b/>
                <w:bCs/>
                <w:color w:val="000000"/>
                <w:sz w:val="20"/>
                <w:szCs w:val="20"/>
              </w:rPr>
            </w:pPr>
            <w:r>
              <w:rPr>
                <w:rFonts w:ascii="Verdana" w:hAnsi="Verdana" w:eastAsia="等线"/>
                <w:b/>
                <w:bCs/>
                <w:color w:val="000000"/>
                <w:sz w:val="20"/>
                <w:szCs w:val="20"/>
              </w:rPr>
              <w:t>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816" w:type="dxa"/>
            <w:shd w:val="clear" w:color="auto" w:fill="auto"/>
            <w:noWrap/>
            <w:vAlign w:val="center"/>
          </w:tcPr>
          <w:p>
            <w:pPr>
              <w:rPr>
                <w:rFonts w:ascii="Verdana" w:hAnsi="Verdana" w:eastAsia="华文细黑" w:cs="宋体"/>
                <w:color w:val="000000"/>
                <w:sz w:val="20"/>
                <w:szCs w:val="20"/>
              </w:rPr>
            </w:pPr>
            <w:r>
              <w:rPr>
                <w:rFonts w:hint="eastAsia" w:ascii="Verdana" w:hAnsi="Verdana" w:eastAsia="华文细黑" w:cs="宋体"/>
                <w:color w:val="000000"/>
                <w:sz w:val="20"/>
                <w:szCs w:val="20"/>
              </w:rPr>
              <w:t>付息</w:t>
            </w:r>
          </w:p>
        </w:tc>
        <w:tc>
          <w:tcPr>
            <w:tcW w:w="969" w:type="dxa"/>
            <w:shd w:val="clear" w:color="auto" w:fill="auto"/>
            <w:noWrap/>
            <w:vAlign w:val="center"/>
          </w:tcPr>
          <w:p>
            <w:pPr>
              <w:jc w:val="right"/>
              <w:rPr>
                <w:rFonts w:ascii="Verdana" w:hAnsi="Verdana" w:eastAsia="等线"/>
                <w:color w:val="000000"/>
                <w:sz w:val="20"/>
                <w:szCs w:val="20"/>
              </w:rPr>
            </w:pPr>
            <w:r>
              <w:rPr>
                <w:rFonts w:ascii="Verdana" w:hAnsi="Verdana" w:eastAsia="等线"/>
                <w:color w:val="000000"/>
                <w:sz w:val="20"/>
                <w:szCs w:val="20"/>
              </w:rPr>
              <w:t>-</w:t>
            </w:r>
          </w:p>
        </w:tc>
        <w:tc>
          <w:tcPr>
            <w:tcW w:w="969" w:type="dxa"/>
            <w:shd w:val="clear" w:color="auto" w:fill="auto"/>
            <w:noWrap/>
            <w:vAlign w:val="center"/>
          </w:tcPr>
          <w:p>
            <w:pPr>
              <w:jc w:val="right"/>
              <w:rPr>
                <w:rFonts w:ascii="Verdana" w:hAnsi="Verdana" w:eastAsia="等线"/>
                <w:color w:val="000000"/>
                <w:sz w:val="20"/>
                <w:szCs w:val="20"/>
              </w:rPr>
            </w:pPr>
            <w:r>
              <w:rPr>
                <w:rFonts w:ascii="Verdana" w:hAnsi="Verdana" w:eastAsia="等线"/>
                <w:color w:val="000000"/>
                <w:sz w:val="20"/>
                <w:szCs w:val="20"/>
              </w:rPr>
              <w:t>13.50</w:t>
            </w:r>
          </w:p>
        </w:tc>
        <w:tc>
          <w:tcPr>
            <w:tcW w:w="970" w:type="dxa"/>
            <w:shd w:val="clear" w:color="auto" w:fill="auto"/>
            <w:noWrap/>
            <w:vAlign w:val="center"/>
          </w:tcPr>
          <w:p>
            <w:pPr>
              <w:jc w:val="right"/>
              <w:rPr>
                <w:rFonts w:ascii="Verdana" w:hAnsi="Verdana" w:eastAsia="等线"/>
                <w:color w:val="000000"/>
                <w:sz w:val="20"/>
                <w:szCs w:val="20"/>
              </w:rPr>
            </w:pPr>
            <w:r>
              <w:rPr>
                <w:rFonts w:ascii="Verdana" w:hAnsi="Verdana" w:eastAsia="等线"/>
                <w:color w:val="000000"/>
                <w:sz w:val="20"/>
                <w:szCs w:val="20"/>
              </w:rPr>
              <w:t>13.50</w:t>
            </w:r>
          </w:p>
        </w:tc>
        <w:tc>
          <w:tcPr>
            <w:tcW w:w="970" w:type="dxa"/>
            <w:shd w:val="clear" w:color="auto" w:fill="auto"/>
            <w:noWrap/>
            <w:vAlign w:val="center"/>
          </w:tcPr>
          <w:p>
            <w:pPr>
              <w:jc w:val="right"/>
              <w:rPr>
                <w:rFonts w:ascii="Verdana" w:hAnsi="Verdana" w:eastAsia="等线"/>
                <w:color w:val="000000"/>
                <w:sz w:val="20"/>
                <w:szCs w:val="20"/>
              </w:rPr>
            </w:pPr>
            <w:r>
              <w:rPr>
                <w:rFonts w:ascii="Verdana" w:hAnsi="Verdana" w:eastAsia="等线"/>
                <w:color w:val="000000"/>
                <w:sz w:val="20"/>
                <w:szCs w:val="20"/>
              </w:rPr>
              <w:t>13.50</w:t>
            </w:r>
          </w:p>
        </w:tc>
        <w:tc>
          <w:tcPr>
            <w:tcW w:w="968" w:type="dxa"/>
            <w:shd w:val="clear" w:color="auto" w:fill="auto"/>
            <w:noWrap/>
            <w:vAlign w:val="center"/>
          </w:tcPr>
          <w:p>
            <w:pPr>
              <w:jc w:val="right"/>
              <w:rPr>
                <w:rFonts w:ascii="Verdana" w:hAnsi="Verdana" w:eastAsia="等线"/>
                <w:color w:val="000000"/>
                <w:sz w:val="20"/>
                <w:szCs w:val="20"/>
              </w:rPr>
            </w:pPr>
            <w:r>
              <w:rPr>
                <w:rFonts w:ascii="Verdana" w:hAnsi="Verdana" w:eastAsia="等线"/>
                <w:color w:val="000000"/>
                <w:sz w:val="20"/>
                <w:szCs w:val="20"/>
              </w:rPr>
              <w:t>13.50</w:t>
            </w:r>
          </w:p>
        </w:tc>
        <w:tc>
          <w:tcPr>
            <w:tcW w:w="968" w:type="dxa"/>
            <w:shd w:val="clear" w:color="auto" w:fill="auto"/>
            <w:noWrap/>
            <w:vAlign w:val="center"/>
          </w:tcPr>
          <w:p>
            <w:pPr>
              <w:jc w:val="right"/>
              <w:rPr>
                <w:rFonts w:ascii="Verdana" w:hAnsi="Verdana" w:eastAsia="等线"/>
                <w:color w:val="000000"/>
                <w:sz w:val="20"/>
                <w:szCs w:val="20"/>
              </w:rPr>
            </w:pPr>
            <w:r>
              <w:rPr>
                <w:rFonts w:ascii="Verdana" w:hAnsi="Verdana" w:eastAsia="等线"/>
                <w:color w:val="000000"/>
                <w:sz w:val="20"/>
                <w:szCs w:val="20"/>
              </w:rPr>
              <w:t>13.50</w:t>
            </w:r>
          </w:p>
        </w:tc>
        <w:tc>
          <w:tcPr>
            <w:tcW w:w="1000" w:type="dxa"/>
            <w:shd w:val="clear" w:color="auto" w:fill="auto"/>
            <w:noWrap/>
            <w:vAlign w:val="center"/>
          </w:tcPr>
          <w:p>
            <w:pPr>
              <w:jc w:val="right"/>
              <w:rPr>
                <w:rFonts w:ascii="Verdana" w:hAnsi="Verdana" w:eastAsia="等线"/>
                <w:b/>
                <w:bCs/>
                <w:color w:val="000000"/>
                <w:sz w:val="20"/>
                <w:szCs w:val="20"/>
              </w:rPr>
            </w:pPr>
            <w:r>
              <w:rPr>
                <w:rFonts w:ascii="Verdana" w:hAnsi="Verdana" w:eastAsia="等线"/>
                <w:b/>
                <w:bCs/>
                <w:color w:val="000000"/>
                <w:sz w:val="20"/>
                <w:szCs w:val="20"/>
              </w:rPr>
              <w:t>67.50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816" w:type="dxa"/>
            <w:shd w:val="clear" w:color="auto" w:fill="auto"/>
            <w:noWrap/>
            <w:vAlign w:val="center"/>
          </w:tcPr>
          <w:p>
            <w:pPr>
              <w:rPr>
                <w:rFonts w:ascii="Verdana" w:hAnsi="Verdana" w:eastAsia="华文细黑" w:cs="宋体"/>
                <w:color w:val="000000"/>
                <w:sz w:val="20"/>
                <w:szCs w:val="20"/>
              </w:rPr>
            </w:pPr>
            <w:r>
              <w:rPr>
                <w:rFonts w:hint="eastAsia" w:ascii="Verdana" w:hAnsi="Verdana" w:eastAsia="华文细黑" w:cs="宋体"/>
                <w:color w:val="000000"/>
                <w:sz w:val="20"/>
                <w:szCs w:val="20"/>
              </w:rPr>
              <w:t>期末专项债券余额</w:t>
            </w:r>
          </w:p>
        </w:tc>
        <w:tc>
          <w:tcPr>
            <w:tcW w:w="969" w:type="dxa"/>
            <w:shd w:val="clear" w:color="auto" w:fill="auto"/>
            <w:noWrap/>
            <w:vAlign w:val="center"/>
          </w:tcPr>
          <w:p>
            <w:pPr>
              <w:jc w:val="right"/>
              <w:rPr>
                <w:rFonts w:ascii="Verdana" w:hAnsi="Verdana" w:eastAsia="等线"/>
                <w:color w:val="000000"/>
                <w:sz w:val="20"/>
                <w:szCs w:val="20"/>
              </w:rPr>
            </w:pPr>
            <w:r>
              <w:rPr>
                <w:rFonts w:ascii="Verdana" w:hAnsi="Verdana" w:eastAsia="等线"/>
                <w:color w:val="000000"/>
                <w:sz w:val="20"/>
                <w:szCs w:val="20"/>
              </w:rPr>
              <w:t>500.00</w:t>
            </w:r>
          </w:p>
        </w:tc>
        <w:tc>
          <w:tcPr>
            <w:tcW w:w="969" w:type="dxa"/>
            <w:shd w:val="clear" w:color="auto" w:fill="auto"/>
            <w:noWrap/>
            <w:vAlign w:val="center"/>
          </w:tcPr>
          <w:p>
            <w:pPr>
              <w:jc w:val="right"/>
              <w:rPr>
                <w:rFonts w:ascii="Verdana" w:hAnsi="Verdana" w:eastAsia="等线"/>
                <w:color w:val="000000"/>
                <w:sz w:val="20"/>
                <w:szCs w:val="20"/>
              </w:rPr>
            </w:pPr>
            <w:r>
              <w:rPr>
                <w:rFonts w:ascii="Verdana" w:hAnsi="Verdana" w:eastAsia="等线"/>
                <w:color w:val="000000"/>
                <w:sz w:val="20"/>
                <w:szCs w:val="20"/>
              </w:rPr>
              <w:t>500.00</w:t>
            </w:r>
          </w:p>
        </w:tc>
        <w:tc>
          <w:tcPr>
            <w:tcW w:w="970" w:type="dxa"/>
            <w:shd w:val="clear" w:color="auto" w:fill="auto"/>
            <w:noWrap/>
            <w:vAlign w:val="center"/>
          </w:tcPr>
          <w:p>
            <w:pPr>
              <w:jc w:val="right"/>
              <w:rPr>
                <w:rFonts w:ascii="Verdana" w:hAnsi="Verdana" w:eastAsia="等线"/>
                <w:color w:val="000000"/>
                <w:sz w:val="20"/>
                <w:szCs w:val="20"/>
              </w:rPr>
            </w:pPr>
            <w:r>
              <w:rPr>
                <w:rFonts w:ascii="Verdana" w:hAnsi="Verdana" w:eastAsia="等线"/>
                <w:color w:val="000000"/>
                <w:sz w:val="20"/>
                <w:szCs w:val="20"/>
              </w:rPr>
              <w:t>500.00</w:t>
            </w:r>
          </w:p>
        </w:tc>
        <w:tc>
          <w:tcPr>
            <w:tcW w:w="970" w:type="dxa"/>
            <w:shd w:val="clear" w:color="auto" w:fill="auto"/>
            <w:noWrap/>
            <w:vAlign w:val="center"/>
          </w:tcPr>
          <w:p>
            <w:pPr>
              <w:jc w:val="right"/>
              <w:rPr>
                <w:rFonts w:ascii="Verdana" w:hAnsi="Verdana" w:eastAsia="等线"/>
                <w:color w:val="000000"/>
                <w:sz w:val="20"/>
                <w:szCs w:val="20"/>
              </w:rPr>
            </w:pPr>
            <w:r>
              <w:rPr>
                <w:rFonts w:ascii="Verdana" w:hAnsi="Verdana" w:eastAsia="等线"/>
                <w:color w:val="000000"/>
                <w:sz w:val="20"/>
                <w:szCs w:val="20"/>
              </w:rPr>
              <w:t>500.00</w:t>
            </w:r>
          </w:p>
        </w:tc>
        <w:tc>
          <w:tcPr>
            <w:tcW w:w="968" w:type="dxa"/>
            <w:shd w:val="clear" w:color="auto" w:fill="auto"/>
            <w:noWrap/>
            <w:vAlign w:val="center"/>
          </w:tcPr>
          <w:p>
            <w:pPr>
              <w:jc w:val="right"/>
              <w:rPr>
                <w:rFonts w:ascii="Verdana" w:hAnsi="Verdana" w:eastAsia="等线"/>
                <w:color w:val="000000"/>
                <w:sz w:val="20"/>
                <w:szCs w:val="20"/>
              </w:rPr>
            </w:pPr>
            <w:r>
              <w:rPr>
                <w:rFonts w:ascii="Verdana" w:hAnsi="Verdana" w:eastAsia="等线"/>
                <w:color w:val="000000"/>
                <w:sz w:val="20"/>
                <w:szCs w:val="20"/>
              </w:rPr>
              <w:t>500.00</w:t>
            </w:r>
          </w:p>
        </w:tc>
        <w:tc>
          <w:tcPr>
            <w:tcW w:w="968" w:type="dxa"/>
            <w:shd w:val="clear" w:color="auto" w:fill="auto"/>
            <w:noWrap/>
            <w:vAlign w:val="center"/>
          </w:tcPr>
          <w:p>
            <w:pPr>
              <w:jc w:val="right"/>
              <w:rPr>
                <w:rFonts w:ascii="Verdana" w:hAnsi="Verdana" w:eastAsia="等线"/>
                <w:color w:val="000000"/>
                <w:sz w:val="20"/>
                <w:szCs w:val="20"/>
              </w:rPr>
            </w:pPr>
            <w:r>
              <w:rPr>
                <w:rFonts w:ascii="Verdana" w:hAnsi="Verdana" w:eastAsia="等线"/>
                <w:color w:val="000000"/>
                <w:sz w:val="20"/>
                <w:szCs w:val="20"/>
              </w:rPr>
              <w:t>-</w:t>
            </w:r>
          </w:p>
        </w:tc>
        <w:tc>
          <w:tcPr>
            <w:tcW w:w="1000" w:type="dxa"/>
            <w:shd w:val="clear" w:color="auto" w:fill="auto"/>
            <w:noWrap/>
            <w:vAlign w:val="center"/>
          </w:tcPr>
          <w:p>
            <w:pPr>
              <w:jc w:val="right"/>
              <w:rPr>
                <w:rFonts w:ascii="Verdana" w:hAnsi="Verdana" w:eastAsia="等线"/>
                <w:b/>
                <w:bCs/>
                <w:color w:val="000000"/>
                <w:sz w:val="20"/>
                <w:szCs w:val="20"/>
              </w:rPr>
            </w:pPr>
            <w:r>
              <w:rPr>
                <w:rFonts w:ascii="Verdana" w:hAnsi="Verdana" w:eastAsia="等线"/>
                <w:b/>
                <w:bCs/>
                <w:color w:val="000000"/>
                <w:sz w:val="20"/>
                <w:szCs w:val="20"/>
              </w:rPr>
              <w:t>-</w:t>
            </w:r>
          </w:p>
        </w:tc>
      </w:tr>
    </w:tbl>
    <w:p>
      <w:pPr>
        <w:spacing w:before="120" w:after="120" w:line="360" w:lineRule="auto"/>
        <w:ind w:firstLine="556"/>
        <w:jc w:val="both"/>
        <w:rPr>
          <w:rFonts w:ascii="Verdana" w:hAnsi="Verdana" w:eastAsia="华文细黑" w:cs="Calibri"/>
          <w:color w:val="000000"/>
        </w:rPr>
        <w:sectPr>
          <w:headerReference r:id="rId12" w:type="first"/>
          <w:headerReference r:id="rId10" w:type="default"/>
          <w:footerReference r:id="rId13" w:type="default"/>
          <w:headerReference r:id="rId11" w:type="even"/>
          <w:pgSz w:w="12240" w:h="15840"/>
          <w:pgMar w:top="1276" w:right="1800" w:bottom="1276" w:left="1800" w:header="708" w:footer="850" w:gutter="0"/>
          <w:pgNumType w:start="1"/>
          <w:cols w:space="708" w:num="1"/>
          <w:docGrid w:linePitch="360" w:charSpace="0"/>
        </w:sectPr>
      </w:pPr>
    </w:p>
    <w:p>
      <w:pPr>
        <w:ind w:firstLine="480" w:firstLineChars="200"/>
        <w:rPr>
          <w:rFonts w:ascii="Verdana" w:hAnsi="Verdana" w:eastAsia="华文细黑" w:cs="Calibri"/>
          <w:b/>
          <w:color w:val="000000"/>
        </w:rPr>
      </w:pPr>
      <w:bookmarkStart w:id="69" w:name="_Toc135044148"/>
      <w:r>
        <w:rPr>
          <w:rFonts w:ascii="Verdana" w:hAnsi="Verdana" w:eastAsia="华文细黑" w:cs="Calibri"/>
          <w:b/>
          <w:color w:val="000000"/>
        </w:rPr>
        <w:t>1.3发债项目盈利能力、偿债能力和可持续性</w:t>
      </w:r>
      <w:bookmarkEnd w:id="69"/>
    </w:p>
    <w:p>
      <w:pPr>
        <w:spacing w:before="120" w:after="120" w:line="360" w:lineRule="auto"/>
        <w:ind w:firstLine="480" w:firstLineChars="200"/>
        <w:jc w:val="both"/>
        <w:rPr>
          <w:rFonts w:ascii="Verdana" w:hAnsi="Verdana" w:eastAsia="华文细黑" w:cs="Calibri"/>
          <w:color w:val="000000"/>
        </w:rPr>
      </w:pPr>
      <w:r>
        <w:rPr>
          <w:rFonts w:ascii="Verdana" w:hAnsi="Verdana" w:eastAsia="华文细黑" w:cs="Calibri"/>
          <w:color w:val="000000"/>
        </w:rPr>
        <w:t>本项目累计资金筹措总额839.49万元，自筹资金339.49万元，拟申请专项债券500.00万元。前述项目的自筹资金，由政府通过财政资金统筹安排。各年度投资计划及资金筹措方案详见表</w:t>
      </w:r>
      <w:r>
        <w:rPr>
          <w:rFonts w:hint="eastAsia" w:ascii="Verdana" w:hAnsi="Verdana" w:eastAsia="华文细黑" w:cs="Calibri"/>
          <w:color w:val="000000"/>
        </w:rPr>
        <w:t>5</w:t>
      </w:r>
      <w:r>
        <w:rPr>
          <w:rFonts w:ascii="Verdana" w:hAnsi="Verdana" w:eastAsia="华文细黑" w:cs="Calibri"/>
          <w:color w:val="000000"/>
        </w:rPr>
        <w:t>，项目现金流平衡表详见表</w:t>
      </w:r>
      <w:r>
        <w:rPr>
          <w:rFonts w:hint="eastAsia" w:ascii="Verdana" w:hAnsi="Verdana" w:eastAsia="华文细黑" w:cs="Calibri"/>
          <w:color w:val="000000"/>
        </w:rPr>
        <w:t>6</w:t>
      </w:r>
      <w:r>
        <w:rPr>
          <w:rFonts w:ascii="Verdana" w:hAnsi="Verdana" w:eastAsia="华文细黑" w:cs="Calibri"/>
          <w:color w:val="000000"/>
        </w:rPr>
        <w:t>：</w:t>
      </w:r>
    </w:p>
    <w:p>
      <w:pPr>
        <w:ind w:right="-149"/>
        <w:jc w:val="center"/>
        <w:rPr>
          <w:rFonts w:ascii="Verdana" w:hAnsi="Verdana" w:eastAsia="华文细黑" w:cs="Calibri"/>
          <w:b/>
          <w:color w:val="000000"/>
        </w:rPr>
      </w:pPr>
      <w:r>
        <w:rPr>
          <w:rFonts w:ascii="Verdana" w:hAnsi="Verdana" w:eastAsia="华文细黑" w:cs="Calibri"/>
          <w:b/>
          <w:color w:val="000000"/>
        </w:rPr>
        <w:t>表</w:t>
      </w:r>
      <w:r>
        <w:rPr>
          <w:rFonts w:hint="eastAsia" w:ascii="Verdana" w:hAnsi="Verdana" w:eastAsia="华文细黑" w:cs="Calibri"/>
          <w:b/>
          <w:color w:val="000000"/>
        </w:rPr>
        <w:t>5</w:t>
      </w:r>
      <w:r>
        <w:rPr>
          <w:rFonts w:ascii="Verdana" w:hAnsi="Verdana" w:eastAsia="华文细黑" w:cs="Calibri"/>
          <w:b/>
          <w:color w:val="000000"/>
        </w:rPr>
        <w:t>投资计划及资金筹措表</w:t>
      </w:r>
    </w:p>
    <w:p>
      <w:pPr>
        <w:jc w:val="right"/>
        <w:rPr>
          <w:rFonts w:ascii="Verdana" w:hAnsi="Verdana" w:eastAsia="华文细黑" w:cs="Calibri"/>
          <w:color w:val="000000"/>
          <w:sz w:val="20"/>
          <w:szCs w:val="20"/>
        </w:rPr>
      </w:pPr>
      <w:r>
        <w:rPr>
          <w:rFonts w:ascii="Verdana" w:hAnsi="Verdana" w:eastAsia="华文细黑" w:cs="Calibri"/>
          <w:color w:val="000000"/>
          <w:sz w:val="20"/>
          <w:szCs w:val="20"/>
        </w:rPr>
        <w:t>单位：人民币万元</w:t>
      </w:r>
    </w:p>
    <w:tbl>
      <w:tblPr>
        <w:tblStyle w:val="9"/>
        <w:tblW w:w="8630" w:type="dxa"/>
        <w:jc w:val="center"/>
        <w:tblInd w:w="0" w:type="dxa"/>
        <w:tblLayout w:type="fixed"/>
        <w:tblCellMar>
          <w:top w:w="0" w:type="dxa"/>
          <w:left w:w="108" w:type="dxa"/>
          <w:bottom w:w="0" w:type="dxa"/>
          <w:right w:w="108" w:type="dxa"/>
        </w:tblCellMar>
      </w:tblPr>
      <w:tblGrid>
        <w:gridCol w:w="3976"/>
        <w:gridCol w:w="2327"/>
        <w:gridCol w:w="2327"/>
      </w:tblGrid>
      <w:tr>
        <w:tblPrEx>
          <w:tblLayout w:type="fixed"/>
          <w:tblCellMar>
            <w:top w:w="0" w:type="dxa"/>
            <w:left w:w="108" w:type="dxa"/>
            <w:bottom w:w="0" w:type="dxa"/>
            <w:right w:w="108" w:type="dxa"/>
          </w:tblCellMar>
        </w:tblPrEx>
        <w:trPr>
          <w:trHeight w:val="312" w:hRule="atLeast"/>
          <w:jc w:val="center"/>
        </w:trPr>
        <w:tc>
          <w:tcPr>
            <w:tcW w:w="3976" w:type="dxa"/>
            <w:tcBorders>
              <w:top w:val="single" w:color="auto" w:sz="4" w:space="0"/>
              <w:left w:val="single" w:color="auto" w:sz="4" w:space="0"/>
              <w:bottom w:val="single" w:color="auto" w:sz="4" w:space="0"/>
              <w:right w:val="single" w:color="auto" w:sz="4" w:space="0"/>
            </w:tcBorders>
            <w:shd w:val="clear" w:color="000000" w:fill="0070C0"/>
            <w:noWrap/>
            <w:vAlign w:val="center"/>
          </w:tcPr>
          <w:p>
            <w:pPr>
              <w:jc w:val="center"/>
              <w:rPr>
                <w:rFonts w:ascii="Verdana" w:hAnsi="Verdana" w:eastAsia="华文细黑" w:cs="宋体"/>
                <w:b/>
                <w:bCs/>
                <w:color w:val="FFFFFF"/>
                <w:sz w:val="20"/>
                <w:szCs w:val="20"/>
              </w:rPr>
            </w:pPr>
            <w:r>
              <w:rPr>
                <w:rFonts w:ascii="Verdana" w:hAnsi="Verdana" w:eastAsia="华文细黑" w:cs="宋体"/>
                <w:b/>
                <w:bCs/>
                <w:color w:val="FFFFFF"/>
                <w:sz w:val="20"/>
                <w:szCs w:val="20"/>
              </w:rPr>
              <w:t>建设期资金平衡表</w:t>
            </w:r>
          </w:p>
        </w:tc>
        <w:tc>
          <w:tcPr>
            <w:tcW w:w="2327" w:type="dxa"/>
            <w:tcBorders>
              <w:top w:val="single" w:color="auto" w:sz="4" w:space="0"/>
              <w:left w:val="nil"/>
              <w:bottom w:val="single" w:color="auto" w:sz="4" w:space="0"/>
              <w:right w:val="single" w:color="auto" w:sz="4" w:space="0"/>
            </w:tcBorders>
            <w:shd w:val="clear" w:color="000000" w:fill="0070C0"/>
            <w:noWrap/>
            <w:vAlign w:val="center"/>
          </w:tcPr>
          <w:p>
            <w:pPr>
              <w:jc w:val="center"/>
              <w:rPr>
                <w:rFonts w:ascii="Verdana" w:hAnsi="Verdana" w:eastAsia="华文细黑" w:cs="Arial"/>
                <w:b/>
                <w:bCs/>
                <w:color w:val="FFFFFF"/>
                <w:sz w:val="20"/>
                <w:szCs w:val="20"/>
              </w:rPr>
            </w:pPr>
            <w:r>
              <w:rPr>
                <w:rFonts w:ascii="Verdana" w:hAnsi="Verdana" w:eastAsia="华文细黑" w:cs="Arial"/>
                <w:b/>
                <w:bCs/>
                <w:color w:val="FFFFFF"/>
                <w:sz w:val="20"/>
                <w:szCs w:val="20"/>
              </w:rPr>
              <w:t>2023</w:t>
            </w:r>
          </w:p>
        </w:tc>
        <w:tc>
          <w:tcPr>
            <w:tcW w:w="2327" w:type="dxa"/>
            <w:tcBorders>
              <w:top w:val="single" w:color="auto" w:sz="4" w:space="0"/>
              <w:left w:val="nil"/>
              <w:bottom w:val="single" w:color="auto" w:sz="4" w:space="0"/>
              <w:right w:val="single" w:color="auto" w:sz="4" w:space="0"/>
            </w:tcBorders>
            <w:shd w:val="clear" w:color="000000" w:fill="0070C0"/>
            <w:noWrap/>
            <w:vAlign w:val="center"/>
          </w:tcPr>
          <w:p>
            <w:pPr>
              <w:jc w:val="center"/>
              <w:rPr>
                <w:rFonts w:ascii="Verdana" w:hAnsi="Verdana" w:eastAsia="华文细黑" w:cs="宋体"/>
                <w:b/>
                <w:bCs/>
                <w:color w:val="FFFFFF"/>
                <w:sz w:val="20"/>
                <w:szCs w:val="20"/>
              </w:rPr>
            </w:pPr>
            <w:r>
              <w:rPr>
                <w:rFonts w:ascii="Verdana" w:hAnsi="Verdana" w:eastAsia="华文细黑" w:cs="宋体"/>
                <w:b/>
                <w:bCs/>
                <w:color w:val="FFFFFF"/>
                <w:sz w:val="20"/>
                <w:szCs w:val="20"/>
              </w:rPr>
              <w:t>合计</w:t>
            </w:r>
          </w:p>
        </w:tc>
      </w:tr>
      <w:tr>
        <w:tblPrEx>
          <w:tblLayout w:type="fixed"/>
          <w:tblCellMar>
            <w:top w:w="0" w:type="dxa"/>
            <w:left w:w="108" w:type="dxa"/>
            <w:bottom w:w="0" w:type="dxa"/>
            <w:right w:w="108" w:type="dxa"/>
          </w:tblCellMar>
        </w:tblPrEx>
        <w:trPr>
          <w:trHeight w:val="312" w:hRule="atLeast"/>
          <w:jc w:val="center"/>
        </w:trPr>
        <w:tc>
          <w:tcPr>
            <w:tcW w:w="3976" w:type="dxa"/>
            <w:tcBorders>
              <w:top w:val="nil"/>
              <w:left w:val="single" w:color="auto" w:sz="4" w:space="0"/>
              <w:bottom w:val="single" w:color="auto" w:sz="4" w:space="0"/>
              <w:right w:val="single" w:color="auto" w:sz="4" w:space="0"/>
            </w:tcBorders>
            <w:shd w:val="clear" w:color="000000" w:fill="D3DFEE"/>
            <w:noWrap/>
            <w:vAlign w:val="center"/>
          </w:tcPr>
          <w:p>
            <w:pPr>
              <w:jc w:val="both"/>
              <w:rPr>
                <w:rFonts w:ascii="Verdana" w:hAnsi="Verdana" w:eastAsia="华文细黑" w:cs="宋体"/>
                <w:b/>
                <w:bCs/>
                <w:color w:val="000000"/>
                <w:sz w:val="20"/>
                <w:szCs w:val="20"/>
              </w:rPr>
            </w:pPr>
            <w:r>
              <w:rPr>
                <w:rFonts w:ascii="Verdana" w:hAnsi="Verdana" w:eastAsia="华文细黑" w:cs="宋体"/>
                <w:b/>
                <w:bCs/>
                <w:color w:val="000000"/>
                <w:sz w:val="20"/>
                <w:szCs w:val="20"/>
              </w:rPr>
              <w:t>资金筹措</w:t>
            </w:r>
          </w:p>
        </w:tc>
        <w:tc>
          <w:tcPr>
            <w:tcW w:w="2327" w:type="dxa"/>
            <w:tcBorders>
              <w:top w:val="nil"/>
              <w:left w:val="nil"/>
              <w:bottom w:val="single" w:color="auto" w:sz="4" w:space="0"/>
              <w:right w:val="single" w:color="auto" w:sz="4" w:space="0"/>
            </w:tcBorders>
            <w:shd w:val="clear" w:color="000000" w:fill="D3DFEE"/>
            <w:noWrap/>
            <w:vAlign w:val="center"/>
          </w:tcPr>
          <w:p>
            <w:pPr>
              <w:jc w:val="right"/>
              <w:rPr>
                <w:rFonts w:ascii="Verdana" w:hAnsi="Verdana" w:eastAsia="华文细黑" w:cs="Arial"/>
                <w:b/>
                <w:bCs/>
                <w:color w:val="000000"/>
                <w:sz w:val="20"/>
                <w:szCs w:val="20"/>
              </w:rPr>
            </w:pPr>
          </w:p>
        </w:tc>
        <w:tc>
          <w:tcPr>
            <w:tcW w:w="2327" w:type="dxa"/>
            <w:tcBorders>
              <w:top w:val="nil"/>
              <w:left w:val="nil"/>
              <w:bottom w:val="single" w:color="auto" w:sz="4" w:space="0"/>
              <w:right w:val="single" w:color="auto" w:sz="4" w:space="0"/>
            </w:tcBorders>
            <w:shd w:val="clear" w:color="000000" w:fill="D3DFEE"/>
            <w:noWrap/>
            <w:vAlign w:val="center"/>
          </w:tcPr>
          <w:p>
            <w:pPr>
              <w:jc w:val="right"/>
              <w:rPr>
                <w:rFonts w:ascii="Verdana" w:hAnsi="Verdana" w:eastAsia="华文细黑" w:cs="Arial"/>
                <w:b/>
                <w:bCs/>
                <w:color w:val="000000"/>
                <w:sz w:val="20"/>
                <w:szCs w:val="20"/>
              </w:rPr>
            </w:pPr>
          </w:p>
        </w:tc>
      </w:tr>
      <w:tr>
        <w:tblPrEx>
          <w:tblLayout w:type="fixed"/>
          <w:tblCellMar>
            <w:top w:w="0" w:type="dxa"/>
            <w:left w:w="108" w:type="dxa"/>
            <w:bottom w:w="0" w:type="dxa"/>
            <w:right w:w="108" w:type="dxa"/>
          </w:tblCellMar>
        </w:tblPrEx>
        <w:trPr>
          <w:trHeight w:val="264" w:hRule="atLeast"/>
          <w:jc w:val="center"/>
        </w:trPr>
        <w:tc>
          <w:tcPr>
            <w:tcW w:w="3976" w:type="dxa"/>
            <w:tcBorders>
              <w:top w:val="nil"/>
              <w:left w:val="single" w:color="auto" w:sz="4" w:space="0"/>
              <w:bottom w:val="single" w:color="auto" w:sz="4" w:space="0"/>
              <w:right w:val="single" w:color="auto" w:sz="4" w:space="0"/>
            </w:tcBorders>
            <w:shd w:val="clear" w:color="auto" w:fill="auto"/>
            <w:noWrap/>
            <w:vAlign w:val="center"/>
          </w:tcPr>
          <w:p>
            <w:pPr>
              <w:jc w:val="both"/>
              <w:rPr>
                <w:rFonts w:ascii="Verdana" w:hAnsi="Verdana" w:eastAsia="华文细黑" w:cs="Arial"/>
                <w:color w:val="000000"/>
                <w:sz w:val="20"/>
                <w:szCs w:val="20"/>
              </w:rPr>
            </w:pPr>
            <w:r>
              <w:rPr>
                <w:rFonts w:ascii="Verdana" w:hAnsi="Verdana" w:eastAsia="华文细黑" w:cs="Arial"/>
                <w:color w:val="000000"/>
                <w:sz w:val="20"/>
                <w:szCs w:val="20"/>
              </w:rPr>
              <w:t>自筹资金</w:t>
            </w:r>
          </w:p>
        </w:tc>
        <w:tc>
          <w:tcPr>
            <w:tcW w:w="2327"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color w:val="000000"/>
                <w:sz w:val="20"/>
                <w:szCs w:val="20"/>
              </w:rPr>
            </w:pPr>
            <w:r>
              <w:rPr>
                <w:rFonts w:asciiTheme="minorHAnsi" w:hAnsiTheme="minorHAnsi"/>
                <w:sz w:val="20"/>
                <w:szCs w:val="20"/>
              </w:rPr>
              <w:t xml:space="preserve"> 339.49 </w:t>
            </w:r>
          </w:p>
        </w:tc>
        <w:tc>
          <w:tcPr>
            <w:tcW w:w="2327"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b/>
                <w:bCs/>
                <w:sz w:val="20"/>
                <w:szCs w:val="20"/>
              </w:rPr>
            </w:pPr>
            <w:r>
              <w:rPr>
                <w:rFonts w:eastAsia="等线" w:cs="Arial" w:asciiTheme="minorHAnsi" w:hAnsiTheme="minorHAnsi"/>
                <w:sz w:val="20"/>
                <w:szCs w:val="20"/>
              </w:rPr>
              <w:t xml:space="preserve">           339.49 </w:t>
            </w:r>
          </w:p>
        </w:tc>
      </w:tr>
      <w:tr>
        <w:tblPrEx>
          <w:tblLayout w:type="fixed"/>
          <w:tblCellMar>
            <w:top w:w="0" w:type="dxa"/>
            <w:left w:w="108" w:type="dxa"/>
            <w:bottom w:w="0" w:type="dxa"/>
            <w:right w:w="108" w:type="dxa"/>
          </w:tblCellMar>
        </w:tblPrEx>
        <w:trPr>
          <w:trHeight w:val="264" w:hRule="atLeast"/>
          <w:jc w:val="center"/>
        </w:trPr>
        <w:tc>
          <w:tcPr>
            <w:tcW w:w="3976" w:type="dxa"/>
            <w:tcBorders>
              <w:top w:val="nil"/>
              <w:left w:val="single" w:color="auto" w:sz="4" w:space="0"/>
              <w:bottom w:val="single" w:color="auto" w:sz="4" w:space="0"/>
              <w:right w:val="single" w:color="auto" w:sz="4" w:space="0"/>
            </w:tcBorders>
            <w:shd w:val="clear" w:color="auto" w:fill="auto"/>
            <w:noWrap/>
            <w:vAlign w:val="center"/>
          </w:tcPr>
          <w:p>
            <w:pPr>
              <w:jc w:val="both"/>
              <w:rPr>
                <w:rFonts w:ascii="Verdana" w:hAnsi="Verdana" w:eastAsia="华文细黑" w:cs="Arial"/>
                <w:color w:val="000000"/>
                <w:sz w:val="20"/>
                <w:szCs w:val="20"/>
              </w:rPr>
            </w:pPr>
            <w:r>
              <w:rPr>
                <w:rFonts w:ascii="Verdana" w:hAnsi="Verdana" w:eastAsia="华文细黑" w:cs="Arial"/>
                <w:color w:val="000000"/>
                <w:sz w:val="20"/>
                <w:szCs w:val="20"/>
              </w:rPr>
              <w:t>债券发行</w:t>
            </w:r>
          </w:p>
        </w:tc>
        <w:tc>
          <w:tcPr>
            <w:tcW w:w="2327"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color w:val="000000"/>
                <w:sz w:val="20"/>
                <w:szCs w:val="20"/>
              </w:rPr>
            </w:pPr>
            <w:r>
              <w:rPr>
                <w:rFonts w:asciiTheme="minorHAnsi" w:hAnsiTheme="minorHAnsi"/>
                <w:sz w:val="20"/>
                <w:szCs w:val="20"/>
              </w:rPr>
              <w:t xml:space="preserve"> 500.00 </w:t>
            </w:r>
          </w:p>
        </w:tc>
        <w:tc>
          <w:tcPr>
            <w:tcW w:w="2327"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b/>
                <w:bCs/>
                <w:sz w:val="20"/>
                <w:szCs w:val="20"/>
              </w:rPr>
            </w:pPr>
            <w:r>
              <w:rPr>
                <w:rFonts w:eastAsia="等线" w:cs="Arial" w:asciiTheme="minorHAnsi" w:hAnsiTheme="minorHAnsi"/>
                <w:sz w:val="20"/>
                <w:szCs w:val="20"/>
              </w:rPr>
              <w:t xml:space="preserve">           500.00 </w:t>
            </w:r>
          </w:p>
        </w:tc>
      </w:tr>
      <w:tr>
        <w:tblPrEx>
          <w:tblLayout w:type="fixed"/>
          <w:tblCellMar>
            <w:top w:w="0" w:type="dxa"/>
            <w:left w:w="108" w:type="dxa"/>
            <w:bottom w:w="0" w:type="dxa"/>
            <w:right w:w="108" w:type="dxa"/>
          </w:tblCellMar>
        </w:tblPrEx>
        <w:trPr>
          <w:trHeight w:val="264" w:hRule="atLeast"/>
          <w:jc w:val="center"/>
        </w:trPr>
        <w:tc>
          <w:tcPr>
            <w:tcW w:w="3976" w:type="dxa"/>
            <w:tcBorders>
              <w:top w:val="nil"/>
              <w:left w:val="single" w:color="auto" w:sz="4" w:space="0"/>
              <w:bottom w:val="single" w:color="auto" w:sz="4" w:space="0"/>
              <w:right w:val="single" w:color="auto" w:sz="4" w:space="0"/>
            </w:tcBorders>
            <w:shd w:val="clear" w:color="auto" w:fill="auto"/>
            <w:noWrap/>
            <w:vAlign w:val="center"/>
          </w:tcPr>
          <w:p>
            <w:pPr>
              <w:jc w:val="both"/>
              <w:rPr>
                <w:rFonts w:ascii="Verdana" w:hAnsi="Verdana" w:eastAsia="华文细黑" w:cs="Arial"/>
                <w:b/>
                <w:bCs/>
                <w:color w:val="000000"/>
                <w:sz w:val="20"/>
                <w:szCs w:val="20"/>
              </w:rPr>
            </w:pPr>
            <w:r>
              <w:rPr>
                <w:rFonts w:ascii="Verdana" w:hAnsi="Verdana" w:eastAsia="华文细黑" w:cs="Arial"/>
                <w:b/>
                <w:bCs/>
                <w:color w:val="000000"/>
                <w:sz w:val="20"/>
                <w:szCs w:val="20"/>
              </w:rPr>
              <w:t>合计</w:t>
            </w:r>
          </w:p>
        </w:tc>
        <w:tc>
          <w:tcPr>
            <w:tcW w:w="2327" w:type="dxa"/>
            <w:tcBorders>
              <w:top w:val="nil"/>
              <w:left w:val="nil"/>
              <w:bottom w:val="single" w:color="auto" w:sz="4" w:space="0"/>
              <w:right w:val="single" w:color="auto" w:sz="4" w:space="0"/>
            </w:tcBorders>
            <w:shd w:val="clear" w:color="auto" w:fill="auto"/>
            <w:noWrap/>
            <w:vAlign w:val="center"/>
          </w:tcPr>
          <w:p>
            <w:pPr>
              <w:jc w:val="right"/>
              <w:rPr>
                <w:rFonts w:ascii="Verdana" w:hAnsi="Verdana" w:eastAsia="华文细黑" w:cs="Arial"/>
                <w:b/>
                <w:bCs/>
                <w:color w:val="000000"/>
                <w:sz w:val="20"/>
                <w:szCs w:val="20"/>
              </w:rPr>
            </w:pPr>
            <w:r>
              <w:rPr>
                <w:rFonts w:ascii="Verdana" w:hAnsi="Verdana" w:eastAsia="等线" w:cs="Arial"/>
                <w:b/>
                <w:bCs/>
                <w:color w:val="000000"/>
                <w:sz w:val="20"/>
                <w:szCs w:val="20"/>
              </w:rPr>
              <w:t xml:space="preserve">839.49 </w:t>
            </w:r>
          </w:p>
        </w:tc>
        <w:tc>
          <w:tcPr>
            <w:tcW w:w="2327" w:type="dxa"/>
            <w:tcBorders>
              <w:top w:val="nil"/>
              <w:left w:val="nil"/>
              <w:bottom w:val="single" w:color="auto" w:sz="4" w:space="0"/>
              <w:right w:val="single" w:color="auto" w:sz="4" w:space="0"/>
            </w:tcBorders>
            <w:shd w:val="clear" w:color="auto" w:fill="auto"/>
            <w:noWrap/>
            <w:vAlign w:val="center"/>
          </w:tcPr>
          <w:p>
            <w:pPr>
              <w:jc w:val="right"/>
              <w:rPr>
                <w:rFonts w:ascii="Verdana" w:hAnsi="Verdana" w:eastAsia="华文细黑" w:cs="Arial"/>
                <w:b/>
                <w:bCs/>
                <w:sz w:val="20"/>
                <w:szCs w:val="20"/>
              </w:rPr>
            </w:pPr>
            <w:r>
              <w:rPr>
                <w:rFonts w:ascii="Verdana" w:hAnsi="Verdana" w:eastAsia="等线" w:cs="Arial"/>
                <w:b/>
                <w:bCs/>
                <w:color w:val="000000"/>
                <w:sz w:val="20"/>
                <w:szCs w:val="20"/>
              </w:rPr>
              <w:t>839.49</w:t>
            </w:r>
            <w:r>
              <w:rPr>
                <w:rFonts w:ascii="Verdana" w:hAnsi="Verdana" w:eastAsia="等线" w:cs="Arial"/>
                <w:b/>
                <w:bCs/>
                <w:sz w:val="20"/>
                <w:szCs w:val="20"/>
              </w:rPr>
              <w:t xml:space="preserve"> </w:t>
            </w:r>
          </w:p>
        </w:tc>
      </w:tr>
      <w:tr>
        <w:tblPrEx>
          <w:tblLayout w:type="fixed"/>
          <w:tblCellMar>
            <w:top w:w="0" w:type="dxa"/>
            <w:left w:w="108" w:type="dxa"/>
            <w:bottom w:w="0" w:type="dxa"/>
            <w:right w:w="108" w:type="dxa"/>
          </w:tblCellMar>
        </w:tblPrEx>
        <w:trPr>
          <w:trHeight w:val="264" w:hRule="atLeast"/>
          <w:jc w:val="center"/>
        </w:trPr>
        <w:tc>
          <w:tcPr>
            <w:tcW w:w="3976" w:type="dxa"/>
            <w:tcBorders>
              <w:top w:val="nil"/>
              <w:left w:val="single" w:color="auto" w:sz="4" w:space="0"/>
              <w:bottom w:val="single" w:color="auto" w:sz="4" w:space="0"/>
              <w:right w:val="single" w:color="auto" w:sz="4" w:space="0"/>
            </w:tcBorders>
            <w:shd w:val="clear" w:color="000000" w:fill="D3DFEE"/>
            <w:noWrap/>
            <w:vAlign w:val="center"/>
          </w:tcPr>
          <w:p>
            <w:pPr>
              <w:jc w:val="both"/>
              <w:rPr>
                <w:rFonts w:ascii="Verdana" w:hAnsi="Verdana" w:eastAsia="华文细黑" w:cs="Arial"/>
                <w:b/>
                <w:bCs/>
                <w:color w:val="000000"/>
                <w:sz w:val="20"/>
                <w:szCs w:val="20"/>
              </w:rPr>
            </w:pPr>
            <w:r>
              <w:rPr>
                <w:rFonts w:ascii="Verdana" w:hAnsi="Verdana" w:eastAsia="华文细黑" w:cs="Arial"/>
                <w:b/>
                <w:bCs/>
                <w:color w:val="000000"/>
                <w:sz w:val="20"/>
                <w:szCs w:val="20"/>
              </w:rPr>
              <w:t>资金使用</w:t>
            </w:r>
          </w:p>
        </w:tc>
        <w:tc>
          <w:tcPr>
            <w:tcW w:w="2327" w:type="dxa"/>
            <w:tcBorders>
              <w:top w:val="nil"/>
              <w:left w:val="nil"/>
              <w:bottom w:val="single" w:color="auto" w:sz="4" w:space="0"/>
              <w:right w:val="single" w:color="auto" w:sz="4" w:space="0"/>
            </w:tcBorders>
            <w:shd w:val="clear" w:color="000000" w:fill="D3DFEE"/>
            <w:noWrap/>
            <w:vAlign w:val="center"/>
          </w:tcPr>
          <w:p>
            <w:pPr>
              <w:jc w:val="right"/>
              <w:rPr>
                <w:rFonts w:ascii="Verdana" w:hAnsi="Verdana" w:eastAsia="华文细黑" w:cs="Arial"/>
                <w:b/>
                <w:bCs/>
                <w:color w:val="000000"/>
                <w:sz w:val="20"/>
                <w:szCs w:val="20"/>
              </w:rPr>
            </w:pPr>
          </w:p>
        </w:tc>
        <w:tc>
          <w:tcPr>
            <w:tcW w:w="2327" w:type="dxa"/>
            <w:tcBorders>
              <w:top w:val="nil"/>
              <w:left w:val="nil"/>
              <w:bottom w:val="single" w:color="auto" w:sz="4" w:space="0"/>
              <w:right w:val="single" w:color="auto" w:sz="4" w:space="0"/>
            </w:tcBorders>
            <w:shd w:val="clear" w:color="000000" w:fill="D3DFEE"/>
            <w:noWrap/>
            <w:vAlign w:val="center"/>
          </w:tcPr>
          <w:p>
            <w:pPr>
              <w:jc w:val="right"/>
              <w:rPr>
                <w:rFonts w:ascii="Verdana" w:hAnsi="Verdana" w:eastAsia="华文细黑" w:cs="Arial"/>
                <w:b/>
                <w:bCs/>
                <w:color w:val="000000"/>
                <w:sz w:val="20"/>
                <w:szCs w:val="20"/>
              </w:rPr>
            </w:pPr>
          </w:p>
        </w:tc>
      </w:tr>
      <w:tr>
        <w:tblPrEx>
          <w:tblLayout w:type="fixed"/>
          <w:tblCellMar>
            <w:top w:w="0" w:type="dxa"/>
            <w:left w:w="108" w:type="dxa"/>
            <w:bottom w:w="0" w:type="dxa"/>
            <w:right w:w="108" w:type="dxa"/>
          </w:tblCellMar>
        </w:tblPrEx>
        <w:trPr>
          <w:trHeight w:val="264" w:hRule="atLeast"/>
          <w:jc w:val="center"/>
        </w:trPr>
        <w:tc>
          <w:tcPr>
            <w:tcW w:w="3976" w:type="dxa"/>
            <w:tcBorders>
              <w:top w:val="nil"/>
              <w:left w:val="single" w:color="auto" w:sz="4" w:space="0"/>
              <w:bottom w:val="single" w:color="auto" w:sz="4" w:space="0"/>
              <w:right w:val="single" w:color="auto" w:sz="4" w:space="0"/>
            </w:tcBorders>
            <w:shd w:val="clear" w:color="auto" w:fill="auto"/>
            <w:noWrap/>
            <w:vAlign w:val="center"/>
          </w:tcPr>
          <w:p>
            <w:pPr>
              <w:jc w:val="both"/>
              <w:rPr>
                <w:rFonts w:ascii="Verdana" w:hAnsi="Verdana" w:eastAsia="华文细黑" w:cs="Arial"/>
                <w:b/>
                <w:bCs/>
                <w:sz w:val="20"/>
                <w:szCs w:val="20"/>
              </w:rPr>
            </w:pPr>
            <w:r>
              <w:rPr>
                <w:rFonts w:ascii="Verdana" w:hAnsi="Verdana" w:eastAsia="华文细黑" w:cs="Arial"/>
                <w:b/>
                <w:bCs/>
                <w:sz w:val="20"/>
                <w:szCs w:val="20"/>
              </w:rPr>
              <w:t>建设资金使用金额合计</w:t>
            </w:r>
          </w:p>
        </w:tc>
        <w:tc>
          <w:tcPr>
            <w:tcW w:w="2327" w:type="dxa"/>
            <w:tcBorders>
              <w:top w:val="nil"/>
              <w:left w:val="nil"/>
              <w:bottom w:val="single" w:color="auto" w:sz="4" w:space="0"/>
              <w:right w:val="single" w:color="auto" w:sz="4" w:space="0"/>
            </w:tcBorders>
            <w:shd w:val="clear" w:color="auto" w:fill="auto"/>
            <w:noWrap/>
            <w:vAlign w:val="center"/>
          </w:tcPr>
          <w:p>
            <w:pPr>
              <w:jc w:val="right"/>
              <w:rPr>
                <w:rFonts w:ascii="Verdana" w:hAnsi="Verdana" w:eastAsia="华文细黑" w:cs="Arial"/>
                <w:b/>
                <w:bCs/>
                <w:color w:val="000000"/>
                <w:sz w:val="20"/>
                <w:szCs w:val="20"/>
              </w:rPr>
            </w:pPr>
            <w:r>
              <w:rPr>
                <w:rFonts w:ascii="Verdana" w:hAnsi="Verdana" w:eastAsia="等线" w:cs="Arial"/>
                <w:b/>
                <w:bCs/>
                <w:color w:val="000000"/>
                <w:sz w:val="20"/>
                <w:szCs w:val="20"/>
              </w:rPr>
              <w:t>839.49</w:t>
            </w:r>
          </w:p>
        </w:tc>
        <w:tc>
          <w:tcPr>
            <w:tcW w:w="2327" w:type="dxa"/>
            <w:tcBorders>
              <w:top w:val="nil"/>
              <w:left w:val="nil"/>
              <w:bottom w:val="single" w:color="auto" w:sz="4" w:space="0"/>
              <w:right w:val="single" w:color="auto" w:sz="4" w:space="0"/>
            </w:tcBorders>
            <w:shd w:val="clear" w:color="auto" w:fill="auto"/>
            <w:noWrap/>
            <w:vAlign w:val="center"/>
          </w:tcPr>
          <w:p>
            <w:pPr>
              <w:jc w:val="right"/>
              <w:rPr>
                <w:rFonts w:ascii="Verdana" w:hAnsi="Verdana" w:eastAsia="华文细黑" w:cs="Arial"/>
                <w:b/>
                <w:bCs/>
                <w:color w:val="000000"/>
                <w:sz w:val="20"/>
                <w:szCs w:val="20"/>
              </w:rPr>
            </w:pPr>
            <w:r>
              <w:rPr>
                <w:rFonts w:ascii="Verdana" w:hAnsi="Verdana" w:eastAsia="等线" w:cs="Arial"/>
                <w:b/>
                <w:bCs/>
                <w:color w:val="000000"/>
                <w:sz w:val="20"/>
                <w:szCs w:val="20"/>
              </w:rPr>
              <w:t>839.49</w:t>
            </w:r>
          </w:p>
        </w:tc>
      </w:tr>
      <w:tr>
        <w:tblPrEx>
          <w:tblLayout w:type="fixed"/>
          <w:tblCellMar>
            <w:top w:w="0" w:type="dxa"/>
            <w:left w:w="108" w:type="dxa"/>
            <w:bottom w:w="0" w:type="dxa"/>
            <w:right w:w="108" w:type="dxa"/>
          </w:tblCellMar>
        </w:tblPrEx>
        <w:trPr>
          <w:trHeight w:val="264" w:hRule="atLeast"/>
          <w:jc w:val="center"/>
        </w:trPr>
        <w:tc>
          <w:tcPr>
            <w:tcW w:w="3976" w:type="dxa"/>
            <w:tcBorders>
              <w:top w:val="nil"/>
              <w:left w:val="single" w:color="auto" w:sz="4" w:space="0"/>
              <w:bottom w:val="single" w:color="auto" w:sz="4" w:space="0"/>
              <w:right w:val="single" w:color="auto" w:sz="4" w:space="0"/>
            </w:tcBorders>
            <w:shd w:val="clear" w:color="auto" w:fill="auto"/>
            <w:noWrap/>
            <w:vAlign w:val="center"/>
          </w:tcPr>
          <w:p>
            <w:pPr>
              <w:jc w:val="both"/>
              <w:rPr>
                <w:rFonts w:ascii="Verdana" w:hAnsi="Verdana" w:eastAsia="华文细黑" w:cs="Arial"/>
                <w:b/>
                <w:bCs/>
                <w:sz w:val="20"/>
                <w:szCs w:val="20"/>
              </w:rPr>
            </w:pPr>
            <w:r>
              <w:rPr>
                <w:rFonts w:ascii="Verdana" w:hAnsi="Verdana" w:eastAsia="华文细黑" w:cs="Arial"/>
                <w:b/>
                <w:bCs/>
                <w:sz w:val="20"/>
                <w:szCs w:val="20"/>
              </w:rPr>
              <w:t>上年余额</w:t>
            </w:r>
          </w:p>
        </w:tc>
        <w:tc>
          <w:tcPr>
            <w:tcW w:w="2327" w:type="dxa"/>
            <w:tcBorders>
              <w:top w:val="nil"/>
              <w:left w:val="nil"/>
              <w:bottom w:val="single" w:color="auto" w:sz="4" w:space="0"/>
              <w:right w:val="single" w:color="auto" w:sz="4" w:space="0"/>
            </w:tcBorders>
            <w:shd w:val="clear" w:color="auto" w:fill="auto"/>
            <w:noWrap/>
            <w:vAlign w:val="center"/>
          </w:tcPr>
          <w:p>
            <w:pPr>
              <w:jc w:val="right"/>
              <w:rPr>
                <w:rFonts w:ascii="Verdana" w:hAnsi="Verdana" w:eastAsia="华文细黑" w:cs="Arial"/>
                <w:b/>
                <w:bCs/>
                <w:color w:val="000000"/>
                <w:sz w:val="20"/>
                <w:szCs w:val="20"/>
              </w:rPr>
            </w:pPr>
            <w:r>
              <w:rPr>
                <w:rFonts w:ascii="Verdana" w:hAnsi="Verdana" w:eastAsia="华文细黑" w:cs="Arial"/>
                <w:b/>
                <w:bCs/>
                <w:color w:val="000000"/>
                <w:sz w:val="20"/>
                <w:szCs w:val="20"/>
              </w:rPr>
              <w:t>-</w:t>
            </w:r>
          </w:p>
        </w:tc>
        <w:tc>
          <w:tcPr>
            <w:tcW w:w="2327" w:type="dxa"/>
            <w:tcBorders>
              <w:top w:val="nil"/>
              <w:left w:val="nil"/>
              <w:bottom w:val="single" w:color="auto" w:sz="4" w:space="0"/>
              <w:right w:val="single" w:color="auto" w:sz="4" w:space="0"/>
            </w:tcBorders>
            <w:shd w:val="clear" w:color="auto" w:fill="auto"/>
            <w:noWrap/>
            <w:vAlign w:val="center"/>
          </w:tcPr>
          <w:p>
            <w:pPr>
              <w:jc w:val="right"/>
              <w:rPr>
                <w:rFonts w:ascii="Verdana" w:hAnsi="Verdana" w:eastAsia="华文细黑" w:cs="Arial"/>
                <w:b/>
                <w:bCs/>
                <w:color w:val="000000"/>
                <w:sz w:val="20"/>
                <w:szCs w:val="20"/>
              </w:rPr>
            </w:pPr>
            <w:r>
              <w:rPr>
                <w:rFonts w:ascii="Verdana" w:hAnsi="Verdana" w:eastAsia="华文细黑" w:cs="Arial"/>
                <w:b/>
                <w:bCs/>
                <w:color w:val="000000"/>
                <w:sz w:val="20"/>
                <w:szCs w:val="20"/>
              </w:rPr>
              <w:t>-</w:t>
            </w:r>
          </w:p>
        </w:tc>
      </w:tr>
      <w:tr>
        <w:tblPrEx>
          <w:tblLayout w:type="fixed"/>
          <w:tblCellMar>
            <w:top w:w="0" w:type="dxa"/>
            <w:left w:w="108" w:type="dxa"/>
            <w:bottom w:w="0" w:type="dxa"/>
            <w:right w:w="108" w:type="dxa"/>
          </w:tblCellMar>
        </w:tblPrEx>
        <w:trPr>
          <w:trHeight w:val="528" w:hRule="atLeast"/>
          <w:jc w:val="center"/>
        </w:trPr>
        <w:tc>
          <w:tcPr>
            <w:tcW w:w="3976" w:type="dxa"/>
            <w:tcBorders>
              <w:top w:val="nil"/>
              <w:left w:val="single" w:color="auto" w:sz="4" w:space="0"/>
              <w:bottom w:val="single" w:color="auto" w:sz="4" w:space="0"/>
              <w:right w:val="single" w:color="auto" w:sz="4" w:space="0"/>
            </w:tcBorders>
            <w:shd w:val="clear" w:color="000000" w:fill="D3DFEE"/>
            <w:vAlign w:val="center"/>
          </w:tcPr>
          <w:p>
            <w:pPr>
              <w:jc w:val="both"/>
              <w:rPr>
                <w:rFonts w:ascii="Verdana" w:hAnsi="Verdana" w:eastAsia="华文细黑" w:cs="Arial"/>
                <w:b/>
                <w:bCs/>
                <w:color w:val="000000"/>
                <w:sz w:val="20"/>
                <w:szCs w:val="20"/>
              </w:rPr>
            </w:pPr>
            <w:r>
              <w:rPr>
                <w:rFonts w:ascii="Verdana" w:hAnsi="Verdana" w:eastAsia="华文细黑" w:cs="Arial"/>
                <w:b/>
                <w:bCs/>
                <w:color w:val="000000"/>
                <w:sz w:val="20"/>
                <w:szCs w:val="20"/>
              </w:rPr>
              <w:t>资金余额</w:t>
            </w:r>
            <w:r>
              <w:rPr>
                <w:rFonts w:ascii="Verdana" w:hAnsi="Verdana" w:eastAsia="华文细黑" w:cs="Arial"/>
                <w:b/>
                <w:bCs/>
                <w:color w:val="000000"/>
                <w:sz w:val="20"/>
                <w:szCs w:val="20"/>
              </w:rPr>
              <w:br w:type="textWrapping"/>
            </w:r>
            <w:r>
              <w:rPr>
                <w:rFonts w:ascii="Verdana" w:hAnsi="Verdana" w:eastAsia="华文细黑" w:cs="Arial"/>
                <w:b/>
                <w:bCs/>
                <w:color w:val="000000"/>
                <w:sz w:val="20"/>
                <w:szCs w:val="20"/>
              </w:rPr>
              <w:t>（资金筹措 — 资金使用）</w:t>
            </w:r>
          </w:p>
        </w:tc>
        <w:tc>
          <w:tcPr>
            <w:tcW w:w="2327" w:type="dxa"/>
            <w:tcBorders>
              <w:top w:val="nil"/>
              <w:left w:val="nil"/>
              <w:bottom w:val="single" w:color="auto" w:sz="4" w:space="0"/>
              <w:right w:val="single" w:color="auto" w:sz="4" w:space="0"/>
            </w:tcBorders>
            <w:shd w:val="clear" w:color="000000" w:fill="D3DFEE"/>
            <w:noWrap/>
            <w:vAlign w:val="center"/>
          </w:tcPr>
          <w:p>
            <w:pPr>
              <w:jc w:val="right"/>
              <w:rPr>
                <w:rFonts w:ascii="Verdana" w:hAnsi="Verdana" w:eastAsia="华文细黑" w:cs="Arial"/>
                <w:b/>
                <w:bCs/>
                <w:color w:val="000000"/>
                <w:sz w:val="20"/>
                <w:szCs w:val="20"/>
              </w:rPr>
            </w:pPr>
            <w:r>
              <w:rPr>
                <w:rFonts w:ascii="Verdana" w:hAnsi="Verdana" w:eastAsia="华文细黑" w:cs="Arial"/>
                <w:b/>
                <w:bCs/>
                <w:color w:val="000000"/>
                <w:sz w:val="20"/>
                <w:szCs w:val="20"/>
              </w:rPr>
              <w:t>-</w:t>
            </w:r>
          </w:p>
        </w:tc>
        <w:tc>
          <w:tcPr>
            <w:tcW w:w="2327" w:type="dxa"/>
            <w:tcBorders>
              <w:top w:val="nil"/>
              <w:left w:val="nil"/>
              <w:bottom w:val="single" w:color="auto" w:sz="4" w:space="0"/>
              <w:right w:val="single" w:color="auto" w:sz="4" w:space="0"/>
            </w:tcBorders>
            <w:shd w:val="clear" w:color="000000" w:fill="D3DFEE"/>
            <w:noWrap/>
            <w:vAlign w:val="center"/>
          </w:tcPr>
          <w:p>
            <w:pPr>
              <w:jc w:val="right"/>
              <w:rPr>
                <w:rFonts w:ascii="Verdana" w:hAnsi="Verdana" w:eastAsia="华文细黑" w:cs="Arial"/>
                <w:b/>
                <w:bCs/>
                <w:color w:val="000000"/>
                <w:sz w:val="20"/>
                <w:szCs w:val="20"/>
              </w:rPr>
            </w:pPr>
            <w:r>
              <w:rPr>
                <w:rFonts w:ascii="Verdana" w:hAnsi="Verdana" w:eastAsia="华文细黑" w:cs="Arial"/>
                <w:b/>
                <w:bCs/>
                <w:color w:val="000000"/>
                <w:sz w:val="20"/>
                <w:szCs w:val="20"/>
              </w:rPr>
              <w:t>-</w:t>
            </w:r>
          </w:p>
        </w:tc>
      </w:tr>
    </w:tbl>
    <w:p>
      <w:pPr>
        <w:ind w:right="-7"/>
        <w:jc w:val="right"/>
        <w:rPr>
          <w:rFonts w:ascii="Verdana" w:hAnsi="Verdana" w:eastAsia="华文细黑" w:cs="Calibri"/>
          <w:color w:val="000000"/>
          <w:sz w:val="20"/>
          <w:szCs w:val="20"/>
        </w:rPr>
      </w:pPr>
    </w:p>
    <w:p>
      <w:pPr>
        <w:ind w:right="-7"/>
        <w:jc w:val="right"/>
        <w:rPr>
          <w:rFonts w:ascii="Verdana" w:hAnsi="Verdana" w:eastAsia="华文细黑" w:cs="Calibri"/>
          <w:color w:val="000000"/>
          <w:sz w:val="20"/>
          <w:szCs w:val="20"/>
        </w:rPr>
      </w:pPr>
    </w:p>
    <w:p>
      <w:pPr>
        <w:jc w:val="right"/>
        <w:rPr>
          <w:rFonts w:ascii="Verdana" w:hAnsi="Verdana" w:eastAsia="华文细黑" w:cs="Calibri"/>
          <w:color w:val="000000"/>
          <w:sz w:val="20"/>
          <w:szCs w:val="20"/>
        </w:rPr>
        <w:sectPr>
          <w:footerReference r:id="rId14" w:type="default"/>
          <w:pgSz w:w="12240" w:h="15840"/>
          <w:pgMar w:top="1276" w:right="1800" w:bottom="1276" w:left="1800" w:header="708" w:footer="850" w:gutter="0"/>
          <w:cols w:space="708" w:num="1"/>
          <w:docGrid w:linePitch="360" w:charSpace="0"/>
        </w:sectPr>
      </w:pPr>
    </w:p>
    <w:p>
      <w:pPr>
        <w:jc w:val="center"/>
        <w:rPr>
          <w:rFonts w:ascii="Verdana" w:hAnsi="Verdana" w:eastAsia="华文细黑" w:cs="Calibri"/>
          <w:b/>
          <w:color w:val="000000"/>
        </w:rPr>
      </w:pPr>
      <w:r>
        <w:rPr>
          <w:rFonts w:ascii="Verdana" w:hAnsi="Verdana" w:eastAsia="华文细黑" w:cs="Calibri"/>
          <w:b/>
          <w:color w:val="000000"/>
        </w:rPr>
        <w:t>表</w:t>
      </w:r>
      <w:r>
        <w:rPr>
          <w:rFonts w:hint="eastAsia" w:ascii="Verdana" w:hAnsi="Verdana" w:eastAsia="华文细黑" w:cs="Calibri"/>
          <w:b/>
          <w:color w:val="000000"/>
        </w:rPr>
        <w:t>6</w:t>
      </w:r>
      <w:r>
        <w:rPr>
          <w:rFonts w:ascii="Verdana" w:hAnsi="Verdana" w:eastAsia="华文细黑" w:cs="Calibri"/>
          <w:b/>
          <w:color w:val="000000"/>
        </w:rPr>
        <w:t>项目现金流平衡表</w:t>
      </w:r>
    </w:p>
    <w:p>
      <w:pPr>
        <w:jc w:val="right"/>
        <w:rPr>
          <w:rFonts w:ascii="Verdana" w:hAnsi="Verdana" w:eastAsia="华文细黑" w:cs="Calibri"/>
          <w:color w:val="000000"/>
          <w:sz w:val="20"/>
          <w:szCs w:val="20"/>
        </w:rPr>
      </w:pPr>
      <w:r>
        <w:rPr>
          <w:rFonts w:ascii="Verdana" w:hAnsi="Verdana" w:eastAsia="华文细黑" w:cs="Calibri"/>
          <w:color w:val="000000"/>
          <w:sz w:val="20"/>
          <w:szCs w:val="20"/>
        </w:rPr>
        <w:t>单位：人民币万元</w:t>
      </w:r>
    </w:p>
    <w:tbl>
      <w:tblPr>
        <w:tblStyle w:val="9"/>
        <w:tblW w:w="13278" w:type="dxa"/>
        <w:tblInd w:w="0" w:type="dxa"/>
        <w:tblLayout w:type="fixed"/>
        <w:tblCellMar>
          <w:top w:w="0" w:type="dxa"/>
          <w:left w:w="108" w:type="dxa"/>
          <w:bottom w:w="0" w:type="dxa"/>
          <w:right w:w="108" w:type="dxa"/>
        </w:tblCellMar>
      </w:tblPr>
      <w:tblGrid>
        <w:gridCol w:w="2696"/>
        <w:gridCol w:w="1355"/>
        <w:gridCol w:w="1512"/>
        <w:gridCol w:w="1671"/>
        <w:gridCol w:w="1511"/>
        <w:gridCol w:w="1511"/>
        <w:gridCol w:w="1511"/>
        <w:gridCol w:w="1511"/>
      </w:tblGrid>
      <w:tr>
        <w:tblPrEx>
          <w:tblLayout w:type="fixed"/>
          <w:tblCellMar>
            <w:top w:w="0" w:type="dxa"/>
            <w:left w:w="108" w:type="dxa"/>
            <w:bottom w:w="0" w:type="dxa"/>
            <w:right w:w="108" w:type="dxa"/>
          </w:tblCellMar>
        </w:tblPrEx>
        <w:trPr>
          <w:trHeight w:val="312" w:hRule="atLeast"/>
        </w:trPr>
        <w:tc>
          <w:tcPr>
            <w:tcW w:w="2696" w:type="dxa"/>
            <w:tcBorders>
              <w:top w:val="single" w:color="auto" w:sz="4" w:space="0"/>
              <w:left w:val="single" w:color="auto" w:sz="4" w:space="0"/>
              <w:bottom w:val="single" w:color="auto" w:sz="4" w:space="0"/>
              <w:right w:val="single" w:color="auto" w:sz="4" w:space="0"/>
            </w:tcBorders>
            <w:shd w:val="clear" w:color="000000" w:fill="0070C0"/>
            <w:noWrap/>
            <w:vAlign w:val="center"/>
          </w:tcPr>
          <w:p>
            <w:pPr>
              <w:jc w:val="center"/>
              <w:rPr>
                <w:rFonts w:ascii="Verdana" w:hAnsi="Verdana" w:eastAsia="华文细黑" w:cs="宋体"/>
                <w:b/>
                <w:bCs/>
                <w:color w:val="FFFFFF"/>
                <w:sz w:val="20"/>
                <w:szCs w:val="20"/>
              </w:rPr>
            </w:pPr>
            <w:r>
              <w:rPr>
                <w:rFonts w:ascii="Verdana" w:hAnsi="Verdana" w:eastAsia="华文细黑" w:cs="宋体"/>
                <w:b/>
                <w:bCs/>
                <w:color w:val="FFFFFF"/>
                <w:sz w:val="20"/>
                <w:szCs w:val="20"/>
              </w:rPr>
              <w:t>现金流模拟测算表</w:t>
            </w:r>
          </w:p>
        </w:tc>
        <w:tc>
          <w:tcPr>
            <w:tcW w:w="1355" w:type="dxa"/>
            <w:tcBorders>
              <w:top w:val="single" w:color="auto" w:sz="4" w:space="0"/>
              <w:left w:val="nil"/>
              <w:bottom w:val="single" w:color="auto" w:sz="4" w:space="0"/>
              <w:right w:val="single" w:color="auto" w:sz="4" w:space="0"/>
            </w:tcBorders>
            <w:shd w:val="clear" w:color="000000" w:fill="0070C0"/>
            <w:noWrap/>
            <w:vAlign w:val="center"/>
          </w:tcPr>
          <w:p>
            <w:pPr>
              <w:jc w:val="center"/>
              <w:rPr>
                <w:rFonts w:ascii="Verdana" w:hAnsi="Verdana" w:eastAsia="华文细黑" w:cs="Arial"/>
                <w:b/>
                <w:bCs/>
                <w:color w:val="FFFFFF"/>
                <w:sz w:val="20"/>
                <w:szCs w:val="20"/>
              </w:rPr>
            </w:pPr>
            <w:r>
              <w:rPr>
                <w:rFonts w:ascii="Verdana" w:hAnsi="Verdana" w:eastAsia="华文细黑" w:cs="Arial"/>
                <w:b/>
                <w:bCs/>
                <w:color w:val="FFFFFF"/>
                <w:sz w:val="20"/>
                <w:szCs w:val="20"/>
              </w:rPr>
              <w:t>2023</w:t>
            </w:r>
          </w:p>
        </w:tc>
        <w:tc>
          <w:tcPr>
            <w:tcW w:w="1512" w:type="dxa"/>
            <w:tcBorders>
              <w:top w:val="single" w:color="auto" w:sz="4" w:space="0"/>
              <w:left w:val="nil"/>
              <w:bottom w:val="single" w:color="auto" w:sz="4" w:space="0"/>
              <w:right w:val="single" w:color="auto" w:sz="4" w:space="0"/>
            </w:tcBorders>
            <w:shd w:val="clear" w:color="000000" w:fill="0070C0"/>
            <w:noWrap/>
            <w:vAlign w:val="center"/>
          </w:tcPr>
          <w:p>
            <w:pPr>
              <w:jc w:val="center"/>
              <w:rPr>
                <w:rFonts w:ascii="Verdana" w:hAnsi="Verdana" w:eastAsia="华文细黑" w:cs="Arial"/>
                <w:b/>
                <w:bCs/>
                <w:color w:val="FFFFFF"/>
                <w:sz w:val="20"/>
                <w:szCs w:val="20"/>
              </w:rPr>
            </w:pPr>
            <w:r>
              <w:rPr>
                <w:rFonts w:ascii="Verdana" w:hAnsi="Verdana" w:eastAsia="华文细黑" w:cs="Arial"/>
                <w:b/>
                <w:bCs/>
                <w:color w:val="FFFFFF"/>
                <w:sz w:val="20"/>
                <w:szCs w:val="20"/>
              </w:rPr>
              <w:t>2024</w:t>
            </w:r>
          </w:p>
        </w:tc>
        <w:tc>
          <w:tcPr>
            <w:tcW w:w="1671" w:type="dxa"/>
            <w:tcBorders>
              <w:top w:val="single" w:color="auto" w:sz="4" w:space="0"/>
              <w:left w:val="nil"/>
              <w:bottom w:val="single" w:color="auto" w:sz="4" w:space="0"/>
              <w:right w:val="single" w:color="auto" w:sz="4" w:space="0"/>
            </w:tcBorders>
            <w:shd w:val="clear" w:color="000000" w:fill="0070C0"/>
            <w:noWrap/>
            <w:vAlign w:val="center"/>
          </w:tcPr>
          <w:p>
            <w:pPr>
              <w:jc w:val="center"/>
              <w:rPr>
                <w:rFonts w:ascii="Verdana" w:hAnsi="Verdana" w:eastAsia="华文细黑" w:cs="Arial"/>
                <w:b/>
                <w:bCs/>
                <w:color w:val="FFFFFF"/>
                <w:sz w:val="20"/>
                <w:szCs w:val="20"/>
              </w:rPr>
            </w:pPr>
            <w:r>
              <w:rPr>
                <w:rFonts w:ascii="Verdana" w:hAnsi="Verdana" w:eastAsia="华文细黑" w:cs="Arial"/>
                <w:b/>
                <w:bCs/>
                <w:color w:val="FFFFFF"/>
                <w:sz w:val="20"/>
                <w:szCs w:val="20"/>
              </w:rPr>
              <w:t>2025</w:t>
            </w:r>
          </w:p>
        </w:tc>
        <w:tc>
          <w:tcPr>
            <w:tcW w:w="1511" w:type="dxa"/>
            <w:tcBorders>
              <w:top w:val="single" w:color="auto" w:sz="4" w:space="0"/>
              <w:left w:val="nil"/>
              <w:bottom w:val="single" w:color="auto" w:sz="4" w:space="0"/>
              <w:right w:val="single" w:color="auto" w:sz="4" w:space="0"/>
            </w:tcBorders>
            <w:shd w:val="clear" w:color="000000" w:fill="0070C0"/>
            <w:noWrap/>
            <w:vAlign w:val="center"/>
          </w:tcPr>
          <w:p>
            <w:pPr>
              <w:jc w:val="center"/>
              <w:rPr>
                <w:rFonts w:ascii="Verdana" w:hAnsi="Verdana" w:eastAsia="华文细黑" w:cs="Arial"/>
                <w:b/>
                <w:bCs/>
                <w:color w:val="FFFFFF"/>
                <w:sz w:val="20"/>
                <w:szCs w:val="20"/>
              </w:rPr>
            </w:pPr>
            <w:r>
              <w:rPr>
                <w:rFonts w:ascii="Verdana" w:hAnsi="Verdana" w:eastAsia="华文细黑" w:cs="Arial"/>
                <w:b/>
                <w:bCs/>
                <w:color w:val="FFFFFF"/>
                <w:sz w:val="20"/>
                <w:szCs w:val="20"/>
              </w:rPr>
              <w:t>2026</w:t>
            </w:r>
          </w:p>
        </w:tc>
        <w:tc>
          <w:tcPr>
            <w:tcW w:w="1511" w:type="dxa"/>
            <w:tcBorders>
              <w:top w:val="single" w:color="auto" w:sz="4" w:space="0"/>
              <w:left w:val="nil"/>
              <w:bottom w:val="single" w:color="auto" w:sz="4" w:space="0"/>
              <w:right w:val="single" w:color="auto" w:sz="4" w:space="0"/>
            </w:tcBorders>
            <w:shd w:val="clear" w:color="000000" w:fill="0070C0"/>
            <w:noWrap/>
            <w:vAlign w:val="center"/>
          </w:tcPr>
          <w:p>
            <w:pPr>
              <w:jc w:val="center"/>
              <w:rPr>
                <w:rFonts w:ascii="Verdana" w:hAnsi="Verdana" w:eastAsia="华文细黑" w:cs="Arial"/>
                <w:b/>
                <w:bCs/>
                <w:color w:val="FFFFFF"/>
                <w:sz w:val="20"/>
                <w:szCs w:val="20"/>
              </w:rPr>
            </w:pPr>
            <w:r>
              <w:rPr>
                <w:rFonts w:ascii="Verdana" w:hAnsi="Verdana" w:eastAsia="华文细黑" w:cs="Arial"/>
                <w:b/>
                <w:bCs/>
                <w:color w:val="FFFFFF"/>
                <w:sz w:val="20"/>
                <w:szCs w:val="20"/>
              </w:rPr>
              <w:t>2027</w:t>
            </w:r>
          </w:p>
        </w:tc>
        <w:tc>
          <w:tcPr>
            <w:tcW w:w="1511" w:type="dxa"/>
            <w:tcBorders>
              <w:top w:val="single" w:color="auto" w:sz="4" w:space="0"/>
              <w:left w:val="nil"/>
              <w:bottom w:val="single" w:color="auto" w:sz="4" w:space="0"/>
              <w:right w:val="single" w:color="auto" w:sz="4" w:space="0"/>
            </w:tcBorders>
            <w:shd w:val="clear" w:color="000000" w:fill="0070C0"/>
            <w:noWrap/>
            <w:vAlign w:val="center"/>
          </w:tcPr>
          <w:p>
            <w:pPr>
              <w:jc w:val="center"/>
              <w:rPr>
                <w:rFonts w:ascii="Verdana" w:hAnsi="Verdana" w:eastAsia="华文细黑" w:cs="Arial"/>
                <w:b/>
                <w:bCs/>
                <w:color w:val="FFFFFF"/>
                <w:sz w:val="20"/>
                <w:szCs w:val="20"/>
              </w:rPr>
            </w:pPr>
            <w:r>
              <w:rPr>
                <w:rFonts w:ascii="Verdana" w:hAnsi="Verdana" w:eastAsia="华文细黑" w:cs="Arial"/>
                <w:b/>
                <w:bCs/>
                <w:color w:val="FFFFFF"/>
                <w:sz w:val="20"/>
                <w:szCs w:val="20"/>
              </w:rPr>
              <w:t>2028</w:t>
            </w:r>
          </w:p>
        </w:tc>
        <w:tc>
          <w:tcPr>
            <w:tcW w:w="1511" w:type="dxa"/>
            <w:tcBorders>
              <w:top w:val="single" w:color="auto" w:sz="4" w:space="0"/>
              <w:left w:val="nil"/>
              <w:bottom w:val="single" w:color="auto" w:sz="4" w:space="0"/>
              <w:right w:val="single" w:color="auto" w:sz="4" w:space="0"/>
            </w:tcBorders>
            <w:shd w:val="clear" w:color="000000" w:fill="0070C0"/>
            <w:noWrap/>
            <w:vAlign w:val="center"/>
          </w:tcPr>
          <w:p>
            <w:pPr>
              <w:jc w:val="center"/>
              <w:rPr>
                <w:rFonts w:ascii="Verdana" w:hAnsi="Verdana" w:eastAsia="华文细黑" w:cs="Arial"/>
                <w:b/>
                <w:bCs/>
                <w:color w:val="FFFFFF"/>
                <w:sz w:val="20"/>
                <w:szCs w:val="20"/>
              </w:rPr>
            </w:pPr>
            <w:r>
              <w:rPr>
                <w:rFonts w:hint="eastAsia" w:ascii="Verdana" w:hAnsi="Verdana" w:eastAsia="华文细黑" w:cs="Arial"/>
                <w:b/>
                <w:bCs/>
                <w:color w:val="FFFFFF"/>
                <w:sz w:val="20"/>
                <w:szCs w:val="20"/>
              </w:rPr>
              <w:t>合计</w:t>
            </w:r>
          </w:p>
        </w:tc>
      </w:tr>
      <w:tr>
        <w:tblPrEx>
          <w:tblLayout w:type="fixed"/>
          <w:tblCellMar>
            <w:top w:w="0" w:type="dxa"/>
            <w:left w:w="108" w:type="dxa"/>
            <w:bottom w:w="0" w:type="dxa"/>
            <w:right w:w="108" w:type="dxa"/>
          </w:tblCellMar>
        </w:tblPrEx>
        <w:trPr>
          <w:trHeight w:val="312" w:hRule="atLeast"/>
        </w:trPr>
        <w:tc>
          <w:tcPr>
            <w:tcW w:w="2696" w:type="dxa"/>
            <w:tcBorders>
              <w:top w:val="nil"/>
              <w:left w:val="single" w:color="auto" w:sz="4" w:space="0"/>
              <w:bottom w:val="single" w:color="auto" w:sz="4" w:space="0"/>
              <w:right w:val="single" w:color="auto" w:sz="4" w:space="0"/>
            </w:tcBorders>
            <w:shd w:val="clear" w:color="000000" w:fill="D3DFEE"/>
            <w:noWrap/>
            <w:vAlign w:val="center"/>
          </w:tcPr>
          <w:p>
            <w:pPr>
              <w:jc w:val="both"/>
              <w:rPr>
                <w:rFonts w:ascii="Verdana" w:hAnsi="Verdana" w:eastAsia="华文细黑" w:cs="宋体"/>
                <w:b/>
                <w:bCs/>
                <w:color w:val="000000"/>
                <w:sz w:val="20"/>
                <w:szCs w:val="20"/>
              </w:rPr>
            </w:pPr>
            <w:r>
              <w:rPr>
                <w:rFonts w:ascii="Verdana" w:hAnsi="Verdana" w:eastAsia="华文细黑" w:cs="宋体"/>
                <w:b/>
                <w:bCs/>
                <w:color w:val="000000"/>
                <w:sz w:val="20"/>
                <w:szCs w:val="20"/>
              </w:rPr>
              <w:t>现金流入</w:t>
            </w:r>
          </w:p>
        </w:tc>
        <w:tc>
          <w:tcPr>
            <w:tcW w:w="1355" w:type="dxa"/>
            <w:tcBorders>
              <w:top w:val="nil"/>
              <w:left w:val="nil"/>
              <w:bottom w:val="single" w:color="auto" w:sz="4" w:space="0"/>
              <w:right w:val="single" w:color="auto" w:sz="4" w:space="0"/>
            </w:tcBorders>
            <w:shd w:val="clear" w:color="000000" w:fill="D3DFEE"/>
            <w:noWrap/>
            <w:vAlign w:val="center"/>
          </w:tcPr>
          <w:p>
            <w:pPr>
              <w:jc w:val="right"/>
              <w:rPr>
                <w:rFonts w:ascii="Verdana" w:hAnsi="Verdana" w:eastAsia="华文细黑" w:cs="Arial"/>
                <w:b/>
                <w:bCs/>
                <w:color w:val="000000"/>
                <w:sz w:val="20"/>
                <w:szCs w:val="20"/>
              </w:rPr>
            </w:pPr>
          </w:p>
        </w:tc>
        <w:tc>
          <w:tcPr>
            <w:tcW w:w="1512" w:type="dxa"/>
            <w:tcBorders>
              <w:top w:val="nil"/>
              <w:left w:val="nil"/>
              <w:bottom w:val="single" w:color="auto" w:sz="4" w:space="0"/>
              <w:right w:val="single" w:color="auto" w:sz="4" w:space="0"/>
            </w:tcBorders>
            <w:shd w:val="clear" w:color="000000" w:fill="D3DFEE"/>
            <w:noWrap/>
            <w:vAlign w:val="center"/>
          </w:tcPr>
          <w:p>
            <w:pPr>
              <w:jc w:val="right"/>
              <w:rPr>
                <w:rFonts w:ascii="Verdana" w:hAnsi="Verdana" w:eastAsia="华文细黑" w:cs="Arial"/>
                <w:b/>
                <w:bCs/>
                <w:color w:val="000000"/>
                <w:sz w:val="20"/>
                <w:szCs w:val="20"/>
              </w:rPr>
            </w:pPr>
          </w:p>
        </w:tc>
        <w:tc>
          <w:tcPr>
            <w:tcW w:w="1671" w:type="dxa"/>
            <w:tcBorders>
              <w:top w:val="nil"/>
              <w:left w:val="nil"/>
              <w:bottom w:val="single" w:color="auto" w:sz="4" w:space="0"/>
              <w:right w:val="single" w:color="auto" w:sz="4" w:space="0"/>
            </w:tcBorders>
            <w:shd w:val="clear" w:color="000000" w:fill="D3DFEE"/>
            <w:noWrap/>
            <w:vAlign w:val="center"/>
          </w:tcPr>
          <w:p>
            <w:pPr>
              <w:jc w:val="right"/>
              <w:rPr>
                <w:rFonts w:ascii="Verdana" w:hAnsi="Verdana" w:eastAsia="华文细黑" w:cs="Arial"/>
                <w:b/>
                <w:bCs/>
                <w:color w:val="000000"/>
                <w:sz w:val="20"/>
                <w:szCs w:val="20"/>
              </w:rPr>
            </w:pPr>
          </w:p>
        </w:tc>
        <w:tc>
          <w:tcPr>
            <w:tcW w:w="1511" w:type="dxa"/>
            <w:tcBorders>
              <w:top w:val="nil"/>
              <w:left w:val="nil"/>
              <w:bottom w:val="single" w:color="auto" w:sz="4" w:space="0"/>
              <w:right w:val="single" w:color="auto" w:sz="4" w:space="0"/>
            </w:tcBorders>
            <w:shd w:val="clear" w:color="000000" w:fill="D3DFEE"/>
            <w:noWrap/>
            <w:vAlign w:val="center"/>
          </w:tcPr>
          <w:p>
            <w:pPr>
              <w:jc w:val="right"/>
              <w:rPr>
                <w:rFonts w:ascii="Verdana" w:hAnsi="Verdana" w:eastAsia="华文细黑" w:cs="Arial"/>
                <w:b/>
                <w:bCs/>
                <w:color w:val="000000"/>
                <w:sz w:val="20"/>
                <w:szCs w:val="20"/>
              </w:rPr>
            </w:pPr>
          </w:p>
        </w:tc>
        <w:tc>
          <w:tcPr>
            <w:tcW w:w="1511" w:type="dxa"/>
            <w:tcBorders>
              <w:top w:val="nil"/>
              <w:left w:val="nil"/>
              <w:bottom w:val="single" w:color="auto" w:sz="4" w:space="0"/>
              <w:right w:val="single" w:color="auto" w:sz="4" w:space="0"/>
            </w:tcBorders>
            <w:shd w:val="clear" w:color="000000" w:fill="D3DFEE"/>
            <w:noWrap/>
            <w:vAlign w:val="center"/>
          </w:tcPr>
          <w:p>
            <w:pPr>
              <w:jc w:val="right"/>
              <w:rPr>
                <w:rFonts w:ascii="Verdana" w:hAnsi="Verdana" w:eastAsia="华文细黑" w:cs="Arial"/>
                <w:b/>
                <w:bCs/>
                <w:color w:val="000000"/>
                <w:sz w:val="20"/>
                <w:szCs w:val="20"/>
              </w:rPr>
            </w:pPr>
          </w:p>
        </w:tc>
        <w:tc>
          <w:tcPr>
            <w:tcW w:w="1511" w:type="dxa"/>
            <w:tcBorders>
              <w:top w:val="nil"/>
              <w:left w:val="nil"/>
              <w:bottom w:val="single" w:color="auto" w:sz="4" w:space="0"/>
              <w:right w:val="single" w:color="auto" w:sz="4" w:space="0"/>
            </w:tcBorders>
            <w:shd w:val="clear" w:color="000000" w:fill="D3DFEE"/>
            <w:noWrap/>
            <w:vAlign w:val="center"/>
          </w:tcPr>
          <w:p>
            <w:pPr>
              <w:jc w:val="right"/>
              <w:rPr>
                <w:rFonts w:ascii="Verdana" w:hAnsi="Verdana" w:eastAsia="华文细黑" w:cs="Arial"/>
                <w:b/>
                <w:bCs/>
                <w:color w:val="000000"/>
                <w:sz w:val="20"/>
                <w:szCs w:val="20"/>
              </w:rPr>
            </w:pPr>
          </w:p>
        </w:tc>
        <w:tc>
          <w:tcPr>
            <w:tcW w:w="1511" w:type="dxa"/>
            <w:tcBorders>
              <w:top w:val="nil"/>
              <w:left w:val="nil"/>
              <w:bottom w:val="single" w:color="auto" w:sz="4" w:space="0"/>
              <w:right w:val="single" w:color="auto" w:sz="4" w:space="0"/>
            </w:tcBorders>
            <w:shd w:val="clear" w:color="000000" w:fill="D3DFEE"/>
            <w:noWrap/>
            <w:vAlign w:val="center"/>
          </w:tcPr>
          <w:p>
            <w:pPr>
              <w:jc w:val="right"/>
              <w:rPr>
                <w:rFonts w:ascii="Verdana" w:hAnsi="Verdana" w:eastAsia="华文细黑" w:cs="Arial"/>
                <w:b/>
                <w:bCs/>
                <w:color w:val="000000"/>
                <w:sz w:val="20"/>
                <w:szCs w:val="20"/>
              </w:rPr>
            </w:pPr>
          </w:p>
        </w:tc>
      </w:tr>
      <w:tr>
        <w:tblPrEx>
          <w:tblLayout w:type="fixed"/>
          <w:tblCellMar>
            <w:top w:w="0" w:type="dxa"/>
            <w:left w:w="108" w:type="dxa"/>
            <w:bottom w:w="0" w:type="dxa"/>
            <w:right w:w="108" w:type="dxa"/>
          </w:tblCellMar>
        </w:tblPrEx>
        <w:trPr>
          <w:trHeight w:val="312" w:hRule="atLeast"/>
        </w:trPr>
        <w:tc>
          <w:tcPr>
            <w:tcW w:w="2696" w:type="dxa"/>
            <w:tcBorders>
              <w:top w:val="nil"/>
              <w:left w:val="single" w:color="auto" w:sz="4" w:space="0"/>
              <w:bottom w:val="single" w:color="auto" w:sz="4" w:space="0"/>
              <w:right w:val="single" w:color="auto" w:sz="4" w:space="0"/>
            </w:tcBorders>
            <w:shd w:val="clear" w:color="auto" w:fill="auto"/>
            <w:noWrap/>
            <w:vAlign w:val="center"/>
          </w:tcPr>
          <w:p>
            <w:pPr>
              <w:jc w:val="both"/>
              <w:rPr>
                <w:rFonts w:ascii="Verdana" w:hAnsi="Verdana" w:eastAsia="华文细黑" w:cs="宋体"/>
                <w:color w:val="000000"/>
                <w:sz w:val="20"/>
                <w:szCs w:val="20"/>
              </w:rPr>
            </w:pPr>
            <w:r>
              <w:rPr>
                <w:rFonts w:ascii="Verdana" w:hAnsi="Verdana" w:eastAsia="华文细黑" w:cs="宋体"/>
                <w:color w:val="000000"/>
                <w:sz w:val="20"/>
                <w:szCs w:val="20"/>
              </w:rPr>
              <w:t>资本金流入</w:t>
            </w:r>
          </w:p>
        </w:tc>
        <w:tc>
          <w:tcPr>
            <w:tcW w:w="1355"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color w:val="000000"/>
                <w:sz w:val="20"/>
                <w:szCs w:val="20"/>
              </w:rPr>
            </w:pPr>
            <w:r>
              <w:rPr>
                <w:rFonts w:eastAsia="等线" w:cs="Arial" w:asciiTheme="minorHAnsi" w:hAnsiTheme="minorHAnsi"/>
                <w:color w:val="000000"/>
                <w:sz w:val="20"/>
                <w:szCs w:val="20"/>
              </w:rPr>
              <w:t>339.49</w:t>
            </w:r>
          </w:p>
        </w:tc>
        <w:tc>
          <w:tcPr>
            <w:tcW w:w="1512"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color w:val="000000"/>
                <w:sz w:val="20"/>
                <w:szCs w:val="20"/>
              </w:rPr>
            </w:pPr>
            <w:r>
              <w:rPr>
                <w:rFonts w:eastAsia="等线" w:cs="Arial" w:asciiTheme="minorHAnsi" w:hAnsiTheme="minorHAnsi"/>
                <w:color w:val="000000"/>
                <w:sz w:val="20"/>
                <w:szCs w:val="20"/>
              </w:rPr>
              <w:t>-</w:t>
            </w:r>
          </w:p>
        </w:tc>
        <w:tc>
          <w:tcPr>
            <w:tcW w:w="1671"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color w:val="000000"/>
                <w:sz w:val="20"/>
                <w:szCs w:val="20"/>
              </w:rPr>
            </w:pPr>
            <w:r>
              <w:rPr>
                <w:rFonts w:eastAsia="等线" w:cs="Arial" w:asciiTheme="minorHAnsi" w:hAnsiTheme="minorHAnsi"/>
                <w:color w:val="000000"/>
                <w:sz w:val="20"/>
                <w:szCs w:val="20"/>
              </w:rPr>
              <w:t>-</w:t>
            </w:r>
          </w:p>
        </w:tc>
        <w:tc>
          <w:tcPr>
            <w:tcW w:w="1511"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color w:val="000000"/>
                <w:sz w:val="20"/>
                <w:szCs w:val="20"/>
              </w:rPr>
            </w:pPr>
            <w:r>
              <w:rPr>
                <w:rFonts w:eastAsia="等线" w:cs="Arial" w:asciiTheme="minorHAnsi" w:hAnsiTheme="minorHAnsi"/>
                <w:color w:val="000000"/>
                <w:sz w:val="20"/>
                <w:szCs w:val="20"/>
              </w:rPr>
              <w:t>-</w:t>
            </w:r>
          </w:p>
        </w:tc>
        <w:tc>
          <w:tcPr>
            <w:tcW w:w="1511"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color w:val="000000"/>
                <w:sz w:val="20"/>
                <w:szCs w:val="20"/>
              </w:rPr>
            </w:pPr>
            <w:r>
              <w:rPr>
                <w:rFonts w:eastAsia="等线" w:cs="Arial" w:asciiTheme="minorHAnsi" w:hAnsiTheme="minorHAnsi"/>
                <w:color w:val="000000"/>
                <w:sz w:val="20"/>
                <w:szCs w:val="20"/>
              </w:rPr>
              <w:t>-</w:t>
            </w:r>
          </w:p>
        </w:tc>
        <w:tc>
          <w:tcPr>
            <w:tcW w:w="1511"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color w:val="000000"/>
                <w:sz w:val="20"/>
                <w:szCs w:val="20"/>
              </w:rPr>
            </w:pPr>
            <w:r>
              <w:rPr>
                <w:rFonts w:eastAsia="等线" w:cs="Arial" w:asciiTheme="minorHAnsi" w:hAnsiTheme="minorHAnsi"/>
                <w:color w:val="000000"/>
                <w:sz w:val="20"/>
                <w:szCs w:val="20"/>
              </w:rPr>
              <w:t>-</w:t>
            </w:r>
          </w:p>
        </w:tc>
        <w:tc>
          <w:tcPr>
            <w:tcW w:w="1511"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b/>
                <w:bCs/>
                <w:color w:val="000000"/>
                <w:sz w:val="20"/>
                <w:szCs w:val="20"/>
              </w:rPr>
            </w:pPr>
            <w:r>
              <w:rPr>
                <w:rFonts w:asciiTheme="minorHAnsi" w:hAnsiTheme="minorHAnsi"/>
                <w:b/>
                <w:bCs/>
                <w:sz w:val="20"/>
                <w:szCs w:val="20"/>
              </w:rPr>
              <w:t>339.49</w:t>
            </w:r>
          </w:p>
        </w:tc>
      </w:tr>
      <w:tr>
        <w:tblPrEx>
          <w:tblLayout w:type="fixed"/>
          <w:tblCellMar>
            <w:top w:w="0" w:type="dxa"/>
            <w:left w:w="108" w:type="dxa"/>
            <w:bottom w:w="0" w:type="dxa"/>
            <w:right w:w="108" w:type="dxa"/>
          </w:tblCellMar>
        </w:tblPrEx>
        <w:trPr>
          <w:trHeight w:val="312" w:hRule="atLeast"/>
        </w:trPr>
        <w:tc>
          <w:tcPr>
            <w:tcW w:w="2696" w:type="dxa"/>
            <w:tcBorders>
              <w:top w:val="nil"/>
              <w:left w:val="single" w:color="auto" w:sz="4" w:space="0"/>
              <w:bottom w:val="single" w:color="auto" w:sz="4" w:space="0"/>
              <w:right w:val="single" w:color="auto" w:sz="4" w:space="0"/>
            </w:tcBorders>
            <w:shd w:val="clear" w:color="auto" w:fill="auto"/>
            <w:noWrap/>
            <w:vAlign w:val="center"/>
          </w:tcPr>
          <w:p>
            <w:pPr>
              <w:jc w:val="both"/>
              <w:rPr>
                <w:rFonts w:ascii="Verdana" w:hAnsi="Verdana" w:eastAsia="华文细黑" w:cs="宋体"/>
                <w:color w:val="000000"/>
                <w:sz w:val="20"/>
                <w:szCs w:val="20"/>
              </w:rPr>
            </w:pPr>
            <w:r>
              <w:rPr>
                <w:rFonts w:ascii="Verdana" w:hAnsi="Verdana" w:eastAsia="华文细黑" w:cs="宋体"/>
                <w:color w:val="000000"/>
                <w:sz w:val="20"/>
                <w:szCs w:val="20"/>
              </w:rPr>
              <w:t>债券资金流入</w:t>
            </w:r>
          </w:p>
        </w:tc>
        <w:tc>
          <w:tcPr>
            <w:tcW w:w="1355"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color w:val="000000"/>
                <w:sz w:val="20"/>
                <w:szCs w:val="20"/>
              </w:rPr>
            </w:pPr>
            <w:r>
              <w:rPr>
                <w:rFonts w:eastAsia="等线" w:cs="Arial" w:asciiTheme="minorHAnsi" w:hAnsiTheme="minorHAnsi"/>
                <w:color w:val="000000"/>
                <w:sz w:val="20"/>
                <w:szCs w:val="20"/>
              </w:rPr>
              <w:t>500.00</w:t>
            </w:r>
          </w:p>
        </w:tc>
        <w:tc>
          <w:tcPr>
            <w:tcW w:w="1512"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color w:val="000000"/>
                <w:sz w:val="20"/>
                <w:szCs w:val="20"/>
              </w:rPr>
            </w:pPr>
            <w:r>
              <w:rPr>
                <w:rFonts w:eastAsia="等线" w:cs="Arial" w:asciiTheme="minorHAnsi" w:hAnsiTheme="minorHAnsi"/>
                <w:color w:val="000000"/>
                <w:sz w:val="20"/>
                <w:szCs w:val="20"/>
              </w:rPr>
              <w:t>-</w:t>
            </w:r>
          </w:p>
        </w:tc>
        <w:tc>
          <w:tcPr>
            <w:tcW w:w="1671"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color w:val="000000"/>
                <w:sz w:val="20"/>
                <w:szCs w:val="20"/>
              </w:rPr>
            </w:pPr>
            <w:r>
              <w:rPr>
                <w:rFonts w:eastAsia="等线" w:cs="Arial" w:asciiTheme="minorHAnsi" w:hAnsiTheme="minorHAnsi"/>
                <w:color w:val="000000"/>
                <w:sz w:val="20"/>
                <w:szCs w:val="20"/>
              </w:rPr>
              <w:t>-</w:t>
            </w:r>
          </w:p>
        </w:tc>
        <w:tc>
          <w:tcPr>
            <w:tcW w:w="1511"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color w:val="000000"/>
                <w:sz w:val="20"/>
                <w:szCs w:val="20"/>
              </w:rPr>
            </w:pPr>
            <w:r>
              <w:rPr>
                <w:rFonts w:eastAsia="等线" w:cs="Arial" w:asciiTheme="minorHAnsi" w:hAnsiTheme="minorHAnsi"/>
                <w:color w:val="000000"/>
                <w:sz w:val="20"/>
                <w:szCs w:val="20"/>
              </w:rPr>
              <w:t>-</w:t>
            </w:r>
          </w:p>
        </w:tc>
        <w:tc>
          <w:tcPr>
            <w:tcW w:w="1511"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color w:val="000000"/>
                <w:sz w:val="20"/>
                <w:szCs w:val="20"/>
              </w:rPr>
            </w:pPr>
            <w:r>
              <w:rPr>
                <w:rFonts w:eastAsia="等线" w:cs="Arial" w:asciiTheme="minorHAnsi" w:hAnsiTheme="minorHAnsi"/>
                <w:color w:val="000000"/>
                <w:sz w:val="20"/>
                <w:szCs w:val="20"/>
              </w:rPr>
              <w:t>-</w:t>
            </w:r>
          </w:p>
        </w:tc>
        <w:tc>
          <w:tcPr>
            <w:tcW w:w="1511"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color w:val="000000"/>
                <w:sz w:val="20"/>
                <w:szCs w:val="20"/>
              </w:rPr>
            </w:pPr>
            <w:r>
              <w:rPr>
                <w:rFonts w:eastAsia="等线" w:cs="Arial" w:asciiTheme="minorHAnsi" w:hAnsiTheme="minorHAnsi"/>
                <w:color w:val="000000"/>
                <w:sz w:val="20"/>
                <w:szCs w:val="20"/>
              </w:rPr>
              <w:t>-</w:t>
            </w:r>
          </w:p>
        </w:tc>
        <w:tc>
          <w:tcPr>
            <w:tcW w:w="1511"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b/>
                <w:bCs/>
                <w:color w:val="000000"/>
                <w:sz w:val="20"/>
                <w:szCs w:val="20"/>
              </w:rPr>
            </w:pPr>
            <w:r>
              <w:rPr>
                <w:rFonts w:asciiTheme="minorHAnsi" w:hAnsiTheme="minorHAnsi"/>
                <w:b/>
                <w:bCs/>
                <w:sz w:val="20"/>
                <w:szCs w:val="20"/>
              </w:rPr>
              <w:t>500.00</w:t>
            </w:r>
          </w:p>
        </w:tc>
      </w:tr>
      <w:tr>
        <w:tblPrEx>
          <w:tblLayout w:type="fixed"/>
          <w:tblCellMar>
            <w:top w:w="0" w:type="dxa"/>
            <w:left w:w="108" w:type="dxa"/>
            <w:bottom w:w="0" w:type="dxa"/>
            <w:right w:w="108" w:type="dxa"/>
          </w:tblCellMar>
        </w:tblPrEx>
        <w:trPr>
          <w:trHeight w:val="312" w:hRule="atLeast"/>
        </w:trPr>
        <w:tc>
          <w:tcPr>
            <w:tcW w:w="2696" w:type="dxa"/>
            <w:tcBorders>
              <w:top w:val="nil"/>
              <w:left w:val="single" w:color="auto" w:sz="4" w:space="0"/>
              <w:bottom w:val="single" w:color="auto" w:sz="4" w:space="0"/>
              <w:right w:val="single" w:color="auto" w:sz="4" w:space="0"/>
            </w:tcBorders>
            <w:shd w:val="clear" w:color="auto" w:fill="auto"/>
            <w:noWrap/>
            <w:vAlign w:val="center"/>
          </w:tcPr>
          <w:p>
            <w:pPr>
              <w:jc w:val="both"/>
              <w:rPr>
                <w:rFonts w:ascii="Verdana" w:hAnsi="Verdana" w:eastAsia="华文细黑" w:cs="宋体"/>
                <w:color w:val="000000"/>
                <w:sz w:val="20"/>
                <w:szCs w:val="20"/>
              </w:rPr>
            </w:pPr>
            <w:r>
              <w:rPr>
                <w:rFonts w:ascii="Verdana" w:hAnsi="Verdana" w:eastAsia="华文细黑" w:cs="宋体"/>
                <w:color w:val="000000"/>
                <w:sz w:val="20"/>
                <w:szCs w:val="20"/>
              </w:rPr>
              <w:t>运营期现金流入</w:t>
            </w:r>
          </w:p>
        </w:tc>
        <w:tc>
          <w:tcPr>
            <w:tcW w:w="1355"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color w:val="000000"/>
                <w:sz w:val="20"/>
                <w:szCs w:val="20"/>
              </w:rPr>
            </w:pPr>
            <w:r>
              <w:rPr>
                <w:rFonts w:eastAsia="等线" w:cs="Arial" w:asciiTheme="minorHAnsi" w:hAnsiTheme="minorHAnsi"/>
                <w:color w:val="000000"/>
                <w:sz w:val="20"/>
                <w:szCs w:val="20"/>
              </w:rPr>
              <w:t>-</w:t>
            </w:r>
          </w:p>
        </w:tc>
        <w:tc>
          <w:tcPr>
            <w:tcW w:w="1512"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color w:val="000000"/>
                <w:sz w:val="20"/>
                <w:szCs w:val="20"/>
              </w:rPr>
            </w:pPr>
            <w:r>
              <w:rPr>
                <w:rFonts w:eastAsia="等线" w:cs="Arial" w:asciiTheme="minorHAnsi" w:hAnsiTheme="minorHAnsi"/>
                <w:color w:val="000000"/>
                <w:sz w:val="20"/>
                <w:szCs w:val="20"/>
              </w:rPr>
              <w:t>136.80</w:t>
            </w:r>
          </w:p>
        </w:tc>
        <w:tc>
          <w:tcPr>
            <w:tcW w:w="1671"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color w:val="000000"/>
                <w:sz w:val="20"/>
                <w:szCs w:val="20"/>
              </w:rPr>
            </w:pPr>
            <w:r>
              <w:rPr>
                <w:rFonts w:eastAsia="等线" w:cs="Arial" w:asciiTheme="minorHAnsi" w:hAnsiTheme="minorHAnsi"/>
                <w:color w:val="000000"/>
                <w:sz w:val="20"/>
                <w:szCs w:val="20"/>
              </w:rPr>
              <w:t>136.80</w:t>
            </w:r>
          </w:p>
        </w:tc>
        <w:tc>
          <w:tcPr>
            <w:tcW w:w="1511"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color w:val="000000"/>
                <w:sz w:val="20"/>
                <w:szCs w:val="20"/>
              </w:rPr>
            </w:pPr>
            <w:r>
              <w:rPr>
                <w:rFonts w:eastAsia="等线" w:cs="Arial" w:asciiTheme="minorHAnsi" w:hAnsiTheme="minorHAnsi"/>
                <w:color w:val="000000"/>
                <w:sz w:val="20"/>
                <w:szCs w:val="20"/>
              </w:rPr>
              <w:t>136.80</w:t>
            </w:r>
          </w:p>
        </w:tc>
        <w:tc>
          <w:tcPr>
            <w:tcW w:w="1511"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color w:val="000000"/>
                <w:sz w:val="20"/>
                <w:szCs w:val="20"/>
              </w:rPr>
            </w:pPr>
            <w:r>
              <w:rPr>
                <w:rFonts w:eastAsia="等线" w:cs="Arial" w:asciiTheme="minorHAnsi" w:hAnsiTheme="minorHAnsi"/>
                <w:color w:val="000000"/>
                <w:sz w:val="20"/>
                <w:szCs w:val="20"/>
              </w:rPr>
              <w:t>136.80</w:t>
            </w:r>
          </w:p>
        </w:tc>
        <w:tc>
          <w:tcPr>
            <w:tcW w:w="1511"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color w:val="000000"/>
                <w:sz w:val="20"/>
                <w:szCs w:val="20"/>
              </w:rPr>
            </w:pPr>
            <w:r>
              <w:rPr>
                <w:rFonts w:eastAsia="等线" w:cs="Arial" w:asciiTheme="minorHAnsi" w:hAnsiTheme="minorHAnsi"/>
                <w:color w:val="000000"/>
                <w:sz w:val="20"/>
                <w:szCs w:val="20"/>
              </w:rPr>
              <w:t>136.80</w:t>
            </w:r>
          </w:p>
        </w:tc>
        <w:tc>
          <w:tcPr>
            <w:tcW w:w="1511"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b/>
                <w:bCs/>
                <w:color w:val="000000"/>
                <w:sz w:val="20"/>
                <w:szCs w:val="20"/>
              </w:rPr>
            </w:pPr>
            <w:r>
              <w:rPr>
                <w:rFonts w:asciiTheme="minorHAnsi" w:hAnsiTheme="minorHAnsi"/>
                <w:b/>
                <w:bCs/>
                <w:sz w:val="20"/>
                <w:szCs w:val="20"/>
              </w:rPr>
              <w:t>684.00</w:t>
            </w:r>
          </w:p>
        </w:tc>
      </w:tr>
      <w:tr>
        <w:tblPrEx>
          <w:tblLayout w:type="fixed"/>
          <w:tblCellMar>
            <w:top w:w="0" w:type="dxa"/>
            <w:left w:w="108" w:type="dxa"/>
            <w:bottom w:w="0" w:type="dxa"/>
            <w:right w:w="108" w:type="dxa"/>
          </w:tblCellMar>
        </w:tblPrEx>
        <w:trPr>
          <w:trHeight w:val="312" w:hRule="atLeast"/>
        </w:trPr>
        <w:tc>
          <w:tcPr>
            <w:tcW w:w="2696" w:type="dxa"/>
            <w:tcBorders>
              <w:top w:val="nil"/>
              <w:left w:val="single" w:color="auto" w:sz="4" w:space="0"/>
              <w:bottom w:val="single" w:color="auto" w:sz="4" w:space="0"/>
              <w:right w:val="single" w:color="auto" w:sz="4" w:space="0"/>
            </w:tcBorders>
            <w:shd w:val="clear" w:color="auto" w:fill="auto"/>
            <w:noWrap/>
            <w:vAlign w:val="center"/>
          </w:tcPr>
          <w:p>
            <w:pPr>
              <w:jc w:val="both"/>
              <w:rPr>
                <w:rFonts w:ascii="Verdana" w:hAnsi="Verdana" w:eastAsia="华文细黑" w:cs="宋体"/>
                <w:b/>
                <w:bCs/>
                <w:color w:val="000000"/>
                <w:sz w:val="20"/>
                <w:szCs w:val="20"/>
              </w:rPr>
            </w:pPr>
            <w:r>
              <w:rPr>
                <w:rFonts w:ascii="Verdana" w:hAnsi="Verdana" w:eastAsia="华文细黑" w:cs="宋体"/>
                <w:b/>
                <w:bCs/>
                <w:color w:val="000000"/>
                <w:sz w:val="20"/>
                <w:szCs w:val="20"/>
              </w:rPr>
              <w:t>现金流入总额</w:t>
            </w:r>
          </w:p>
        </w:tc>
        <w:tc>
          <w:tcPr>
            <w:tcW w:w="1355"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b/>
                <w:bCs/>
                <w:color w:val="000000"/>
                <w:sz w:val="20"/>
                <w:szCs w:val="20"/>
              </w:rPr>
            </w:pPr>
            <w:r>
              <w:rPr>
                <w:rFonts w:eastAsia="等线" w:cs="Arial" w:asciiTheme="minorHAnsi" w:hAnsiTheme="minorHAnsi"/>
                <w:b/>
                <w:bCs/>
                <w:color w:val="000000"/>
                <w:sz w:val="20"/>
                <w:szCs w:val="20"/>
              </w:rPr>
              <w:t>839.49</w:t>
            </w:r>
          </w:p>
        </w:tc>
        <w:tc>
          <w:tcPr>
            <w:tcW w:w="1512"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b/>
                <w:bCs/>
                <w:color w:val="000000"/>
                <w:sz w:val="20"/>
                <w:szCs w:val="20"/>
              </w:rPr>
            </w:pPr>
            <w:r>
              <w:rPr>
                <w:rFonts w:eastAsia="等线" w:cs="Arial" w:asciiTheme="minorHAnsi" w:hAnsiTheme="minorHAnsi"/>
                <w:b/>
                <w:bCs/>
                <w:color w:val="000000"/>
                <w:sz w:val="20"/>
                <w:szCs w:val="20"/>
              </w:rPr>
              <w:t>136.80</w:t>
            </w:r>
          </w:p>
        </w:tc>
        <w:tc>
          <w:tcPr>
            <w:tcW w:w="1671"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b/>
                <w:bCs/>
                <w:color w:val="000000"/>
                <w:sz w:val="20"/>
                <w:szCs w:val="20"/>
              </w:rPr>
            </w:pPr>
            <w:r>
              <w:rPr>
                <w:rFonts w:eastAsia="等线" w:cs="Arial" w:asciiTheme="minorHAnsi" w:hAnsiTheme="minorHAnsi"/>
                <w:b/>
                <w:bCs/>
                <w:color w:val="000000"/>
                <w:sz w:val="20"/>
                <w:szCs w:val="20"/>
              </w:rPr>
              <w:t>136.80</w:t>
            </w:r>
          </w:p>
        </w:tc>
        <w:tc>
          <w:tcPr>
            <w:tcW w:w="1511"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b/>
                <w:bCs/>
                <w:color w:val="000000"/>
                <w:sz w:val="20"/>
                <w:szCs w:val="20"/>
              </w:rPr>
            </w:pPr>
            <w:r>
              <w:rPr>
                <w:rFonts w:eastAsia="等线" w:cs="Arial" w:asciiTheme="minorHAnsi" w:hAnsiTheme="minorHAnsi"/>
                <w:b/>
                <w:bCs/>
                <w:color w:val="000000"/>
                <w:sz w:val="20"/>
                <w:szCs w:val="20"/>
              </w:rPr>
              <w:t>136.80</w:t>
            </w:r>
          </w:p>
        </w:tc>
        <w:tc>
          <w:tcPr>
            <w:tcW w:w="1511"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b/>
                <w:bCs/>
                <w:color w:val="000000"/>
                <w:sz w:val="20"/>
                <w:szCs w:val="20"/>
              </w:rPr>
            </w:pPr>
            <w:r>
              <w:rPr>
                <w:rFonts w:eastAsia="等线" w:cs="Arial" w:asciiTheme="minorHAnsi" w:hAnsiTheme="minorHAnsi"/>
                <w:b/>
                <w:bCs/>
                <w:color w:val="000000"/>
                <w:sz w:val="20"/>
                <w:szCs w:val="20"/>
              </w:rPr>
              <w:t>136.80</w:t>
            </w:r>
          </w:p>
        </w:tc>
        <w:tc>
          <w:tcPr>
            <w:tcW w:w="1511"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b/>
                <w:bCs/>
                <w:color w:val="000000"/>
                <w:sz w:val="20"/>
                <w:szCs w:val="20"/>
              </w:rPr>
            </w:pPr>
            <w:r>
              <w:rPr>
                <w:rFonts w:eastAsia="等线" w:cs="Arial" w:asciiTheme="minorHAnsi" w:hAnsiTheme="minorHAnsi"/>
                <w:b/>
                <w:bCs/>
                <w:color w:val="000000"/>
                <w:sz w:val="20"/>
                <w:szCs w:val="20"/>
              </w:rPr>
              <w:t>136.80</w:t>
            </w:r>
          </w:p>
        </w:tc>
        <w:tc>
          <w:tcPr>
            <w:tcW w:w="1511"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b/>
                <w:bCs/>
                <w:color w:val="000000"/>
                <w:sz w:val="20"/>
                <w:szCs w:val="20"/>
              </w:rPr>
            </w:pPr>
            <w:r>
              <w:rPr>
                <w:rFonts w:asciiTheme="minorHAnsi" w:hAnsiTheme="minorHAnsi"/>
                <w:b/>
                <w:bCs/>
                <w:sz w:val="20"/>
                <w:szCs w:val="20"/>
              </w:rPr>
              <w:t>1,523.49</w:t>
            </w:r>
          </w:p>
        </w:tc>
      </w:tr>
      <w:tr>
        <w:tblPrEx>
          <w:tblLayout w:type="fixed"/>
          <w:tblCellMar>
            <w:top w:w="0" w:type="dxa"/>
            <w:left w:w="108" w:type="dxa"/>
            <w:bottom w:w="0" w:type="dxa"/>
            <w:right w:w="108" w:type="dxa"/>
          </w:tblCellMar>
        </w:tblPrEx>
        <w:trPr>
          <w:trHeight w:val="312" w:hRule="atLeast"/>
        </w:trPr>
        <w:tc>
          <w:tcPr>
            <w:tcW w:w="2696" w:type="dxa"/>
            <w:tcBorders>
              <w:top w:val="nil"/>
              <w:left w:val="single" w:color="auto" w:sz="4" w:space="0"/>
              <w:bottom w:val="single" w:color="auto" w:sz="4" w:space="0"/>
              <w:right w:val="single" w:color="auto" w:sz="4" w:space="0"/>
            </w:tcBorders>
            <w:shd w:val="clear" w:color="000000" w:fill="D3DFEE"/>
            <w:noWrap/>
            <w:vAlign w:val="center"/>
          </w:tcPr>
          <w:p>
            <w:pPr>
              <w:jc w:val="both"/>
              <w:rPr>
                <w:rFonts w:ascii="Verdana" w:hAnsi="Verdana" w:eastAsia="华文细黑" w:cs="宋体"/>
                <w:b/>
                <w:bCs/>
                <w:color w:val="000000"/>
                <w:sz w:val="20"/>
                <w:szCs w:val="20"/>
              </w:rPr>
            </w:pPr>
            <w:r>
              <w:rPr>
                <w:rFonts w:ascii="Verdana" w:hAnsi="Verdana" w:eastAsia="华文细黑" w:cs="宋体"/>
                <w:b/>
                <w:bCs/>
                <w:color w:val="000000"/>
                <w:sz w:val="20"/>
                <w:szCs w:val="20"/>
              </w:rPr>
              <w:t>现金流出</w:t>
            </w:r>
          </w:p>
        </w:tc>
        <w:tc>
          <w:tcPr>
            <w:tcW w:w="1355" w:type="dxa"/>
            <w:tcBorders>
              <w:top w:val="nil"/>
              <w:left w:val="nil"/>
              <w:bottom w:val="single" w:color="auto" w:sz="4" w:space="0"/>
              <w:right w:val="single" w:color="auto" w:sz="4" w:space="0"/>
            </w:tcBorders>
            <w:shd w:val="clear" w:color="000000" w:fill="D3DFEE"/>
            <w:noWrap/>
            <w:vAlign w:val="center"/>
          </w:tcPr>
          <w:p>
            <w:pPr>
              <w:jc w:val="right"/>
              <w:rPr>
                <w:rFonts w:eastAsia="华文细黑" w:cs="Arial" w:asciiTheme="minorHAnsi" w:hAnsiTheme="minorHAnsi"/>
                <w:color w:val="000000"/>
                <w:sz w:val="20"/>
                <w:szCs w:val="20"/>
              </w:rPr>
            </w:pPr>
          </w:p>
        </w:tc>
        <w:tc>
          <w:tcPr>
            <w:tcW w:w="1512" w:type="dxa"/>
            <w:tcBorders>
              <w:top w:val="nil"/>
              <w:left w:val="nil"/>
              <w:bottom w:val="single" w:color="auto" w:sz="4" w:space="0"/>
              <w:right w:val="single" w:color="auto" w:sz="4" w:space="0"/>
            </w:tcBorders>
            <w:shd w:val="clear" w:color="000000" w:fill="D3DFEE"/>
            <w:noWrap/>
            <w:vAlign w:val="center"/>
          </w:tcPr>
          <w:p>
            <w:pPr>
              <w:jc w:val="right"/>
              <w:rPr>
                <w:rFonts w:eastAsia="华文细黑" w:cs="Arial" w:asciiTheme="minorHAnsi" w:hAnsiTheme="minorHAnsi"/>
                <w:color w:val="000000"/>
                <w:sz w:val="20"/>
                <w:szCs w:val="20"/>
              </w:rPr>
            </w:pPr>
          </w:p>
        </w:tc>
        <w:tc>
          <w:tcPr>
            <w:tcW w:w="1671" w:type="dxa"/>
            <w:tcBorders>
              <w:top w:val="nil"/>
              <w:left w:val="nil"/>
              <w:bottom w:val="single" w:color="auto" w:sz="4" w:space="0"/>
              <w:right w:val="single" w:color="auto" w:sz="4" w:space="0"/>
            </w:tcBorders>
            <w:shd w:val="clear" w:color="000000" w:fill="D3DFEE"/>
            <w:noWrap/>
            <w:vAlign w:val="center"/>
          </w:tcPr>
          <w:p>
            <w:pPr>
              <w:jc w:val="right"/>
              <w:rPr>
                <w:rFonts w:eastAsia="华文细黑" w:cs="Arial" w:asciiTheme="minorHAnsi" w:hAnsiTheme="minorHAnsi"/>
                <w:color w:val="000000"/>
                <w:sz w:val="20"/>
                <w:szCs w:val="20"/>
              </w:rPr>
            </w:pPr>
          </w:p>
        </w:tc>
        <w:tc>
          <w:tcPr>
            <w:tcW w:w="1511" w:type="dxa"/>
            <w:tcBorders>
              <w:top w:val="nil"/>
              <w:left w:val="nil"/>
              <w:bottom w:val="single" w:color="auto" w:sz="4" w:space="0"/>
              <w:right w:val="single" w:color="auto" w:sz="4" w:space="0"/>
            </w:tcBorders>
            <w:shd w:val="clear" w:color="000000" w:fill="D3DFEE"/>
            <w:noWrap/>
            <w:vAlign w:val="center"/>
          </w:tcPr>
          <w:p>
            <w:pPr>
              <w:jc w:val="right"/>
              <w:rPr>
                <w:rFonts w:eastAsia="华文细黑" w:cs="Arial" w:asciiTheme="minorHAnsi" w:hAnsiTheme="minorHAnsi"/>
                <w:color w:val="000000"/>
                <w:sz w:val="20"/>
                <w:szCs w:val="20"/>
              </w:rPr>
            </w:pPr>
          </w:p>
        </w:tc>
        <w:tc>
          <w:tcPr>
            <w:tcW w:w="1511" w:type="dxa"/>
            <w:tcBorders>
              <w:top w:val="nil"/>
              <w:left w:val="nil"/>
              <w:bottom w:val="single" w:color="auto" w:sz="4" w:space="0"/>
              <w:right w:val="single" w:color="auto" w:sz="4" w:space="0"/>
            </w:tcBorders>
            <w:shd w:val="clear" w:color="000000" w:fill="D3DFEE"/>
            <w:noWrap/>
            <w:vAlign w:val="center"/>
          </w:tcPr>
          <w:p>
            <w:pPr>
              <w:jc w:val="right"/>
              <w:rPr>
                <w:rFonts w:eastAsia="华文细黑" w:cs="Arial" w:asciiTheme="minorHAnsi" w:hAnsiTheme="minorHAnsi"/>
                <w:color w:val="000000"/>
                <w:sz w:val="20"/>
                <w:szCs w:val="20"/>
              </w:rPr>
            </w:pPr>
          </w:p>
        </w:tc>
        <w:tc>
          <w:tcPr>
            <w:tcW w:w="1511" w:type="dxa"/>
            <w:tcBorders>
              <w:top w:val="nil"/>
              <w:left w:val="nil"/>
              <w:bottom w:val="single" w:color="auto" w:sz="4" w:space="0"/>
              <w:right w:val="single" w:color="auto" w:sz="4" w:space="0"/>
            </w:tcBorders>
            <w:shd w:val="clear" w:color="000000" w:fill="D3DFEE"/>
            <w:noWrap/>
            <w:vAlign w:val="center"/>
          </w:tcPr>
          <w:p>
            <w:pPr>
              <w:jc w:val="right"/>
              <w:rPr>
                <w:rFonts w:eastAsia="华文细黑" w:cs="Arial" w:asciiTheme="minorHAnsi" w:hAnsiTheme="minorHAnsi"/>
                <w:color w:val="000000"/>
                <w:sz w:val="20"/>
                <w:szCs w:val="20"/>
              </w:rPr>
            </w:pPr>
          </w:p>
        </w:tc>
        <w:tc>
          <w:tcPr>
            <w:tcW w:w="1511" w:type="dxa"/>
            <w:tcBorders>
              <w:top w:val="nil"/>
              <w:left w:val="nil"/>
              <w:bottom w:val="single" w:color="auto" w:sz="4" w:space="0"/>
              <w:right w:val="single" w:color="auto" w:sz="4" w:space="0"/>
            </w:tcBorders>
            <w:shd w:val="clear" w:color="000000" w:fill="D3DFEE"/>
            <w:noWrap/>
            <w:vAlign w:val="center"/>
          </w:tcPr>
          <w:p>
            <w:pPr>
              <w:jc w:val="right"/>
              <w:rPr>
                <w:rFonts w:eastAsia="华文细黑" w:cs="Arial" w:asciiTheme="minorHAnsi" w:hAnsiTheme="minorHAnsi"/>
                <w:b/>
                <w:bCs/>
                <w:color w:val="000000"/>
                <w:sz w:val="20"/>
                <w:szCs w:val="20"/>
              </w:rPr>
            </w:pPr>
          </w:p>
        </w:tc>
      </w:tr>
      <w:tr>
        <w:tblPrEx>
          <w:tblLayout w:type="fixed"/>
          <w:tblCellMar>
            <w:top w:w="0" w:type="dxa"/>
            <w:left w:w="108" w:type="dxa"/>
            <w:bottom w:w="0" w:type="dxa"/>
            <w:right w:w="108" w:type="dxa"/>
          </w:tblCellMar>
        </w:tblPrEx>
        <w:trPr>
          <w:trHeight w:val="312" w:hRule="atLeast"/>
        </w:trPr>
        <w:tc>
          <w:tcPr>
            <w:tcW w:w="2696" w:type="dxa"/>
            <w:tcBorders>
              <w:top w:val="nil"/>
              <w:left w:val="single" w:color="auto" w:sz="4" w:space="0"/>
              <w:bottom w:val="single" w:color="auto" w:sz="4" w:space="0"/>
              <w:right w:val="single" w:color="auto" w:sz="4" w:space="0"/>
            </w:tcBorders>
            <w:shd w:val="clear" w:color="auto" w:fill="auto"/>
            <w:noWrap/>
            <w:vAlign w:val="center"/>
          </w:tcPr>
          <w:p>
            <w:pPr>
              <w:jc w:val="both"/>
              <w:rPr>
                <w:rFonts w:ascii="Verdana" w:hAnsi="Verdana" w:eastAsia="华文细黑" w:cs="宋体"/>
                <w:color w:val="000000"/>
                <w:sz w:val="20"/>
                <w:szCs w:val="20"/>
              </w:rPr>
            </w:pPr>
            <w:r>
              <w:rPr>
                <w:rFonts w:ascii="Verdana" w:hAnsi="Verdana" w:eastAsia="华文细黑" w:cs="宋体"/>
                <w:color w:val="000000"/>
                <w:sz w:val="20"/>
                <w:szCs w:val="20"/>
              </w:rPr>
              <w:t>建设期资金流出</w:t>
            </w:r>
          </w:p>
        </w:tc>
        <w:tc>
          <w:tcPr>
            <w:tcW w:w="1355"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color w:val="000000"/>
                <w:sz w:val="20"/>
                <w:szCs w:val="20"/>
              </w:rPr>
            </w:pPr>
            <w:r>
              <w:rPr>
                <w:rFonts w:eastAsia="等线" w:cs="Arial" w:asciiTheme="minorHAnsi" w:hAnsiTheme="minorHAnsi"/>
                <w:color w:val="000000"/>
                <w:sz w:val="20"/>
                <w:szCs w:val="20"/>
              </w:rPr>
              <w:t>838.99</w:t>
            </w:r>
          </w:p>
        </w:tc>
        <w:tc>
          <w:tcPr>
            <w:tcW w:w="1512"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color w:val="000000"/>
                <w:sz w:val="20"/>
                <w:szCs w:val="20"/>
              </w:rPr>
            </w:pPr>
            <w:r>
              <w:rPr>
                <w:rFonts w:eastAsia="等线" w:cs="Arial" w:asciiTheme="minorHAnsi" w:hAnsiTheme="minorHAnsi"/>
                <w:color w:val="000000"/>
                <w:sz w:val="20"/>
                <w:szCs w:val="20"/>
              </w:rPr>
              <w:t>-</w:t>
            </w:r>
          </w:p>
        </w:tc>
        <w:tc>
          <w:tcPr>
            <w:tcW w:w="1671"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color w:val="000000"/>
                <w:sz w:val="20"/>
                <w:szCs w:val="20"/>
              </w:rPr>
            </w:pPr>
            <w:r>
              <w:rPr>
                <w:rFonts w:eastAsia="等线" w:cs="Arial" w:asciiTheme="minorHAnsi" w:hAnsiTheme="minorHAnsi"/>
                <w:color w:val="000000"/>
                <w:sz w:val="20"/>
                <w:szCs w:val="20"/>
              </w:rPr>
              <w:t>-</w:t>
            </w:r>
          </w:p>
        </w:tc>
        <w:tc>
          <w:tcPr>
            <w:tcW w:w="1511"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color w:val="000000"/>
                <w:sz w:val="20"/>
                <w:szCs w:val="20"/>
              </w:rPr>
            </w:pPr>
            <w:r>
              <w:rPr>
                <w:rFonts w:eastAsia="等线" w:cs="Arial" w:asciiTheme="minorHAnsi" w:hAnsiTheme="minorHAnsi"/>
                <w:color w:val="000000"/>
                <w:sz w:val="20"/>
                <w:szCs w:val="20"/>
              </w:rPr>
              <w:t>-</w:t>
            </w:r>
          </w:p>
        </w:tc>
        <w:tc>
          <w:tcPr>
            <w:tcW w:w="1511"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color w:val="000000"/>
                <w:sz w:val="20"/>
                <w:szCs w:val="20"/>
              </w:rPr>
            </w:pPr>
            <w:r>
              <w:rPr>
                <w:rFonts w:eastAsia="等线" w:cs="Arial" w:asciiTheme="minorHAnsi" w:hAnsiTheme="minorHAnsi"/>
                <w:color w:val="000000"/>
                <w:sz w:val="20"/>
                <w:szCs w:val="20"/>
              </w:rPr>
              <w:t>-</w:t>
            </w:r>
          </w:p>
        </w:tc>
        <w:tc>
          <w:tcPr>
            <w:tcW w:w="1511"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color w:val="000000"/>
                <w:sz w:val="20"/>
                <w:szCs w:val="20"/>
              </w:rPr>
            </w:pPr>
            <w:r>
              <w:rPr>
                <w:rFonts w:eastAsia="等线" w:cs="Arial" w:asciiTheme="minorHAnsi" w:hAnsiTheme="minorHAnsi"/>
                <w:color w:val="000000"/>
                <w:sz w:val="20"/>
                <w:szCs w:val="20"/>
              </w:rPr>
              <w:t>-</w:t>
            </w:r>
          </w:p>
        </w:tc>
        <w:tc>
          <w:tcPr>
            <w:tcW w:w="1511"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b/>
                <w:bCs/>
                <w:color w:val="000000"/>
                <w:sz w:val="20"/>
                <w:szCs w:val="20"/>
              </w:rPr>
            </w:pPr>
            <w:r>
              <w:rPr>
                <w:rFonts w:asciiTheme="minorHAnsi" w:hAnsiTheme="minorHAnsi"/>
                <w:b/>
                <w:bCs/>
                <w:sz w:val="20"/>
                <w:szCs w:val="20"/>
              </w:rPr>
              <w:t>838.99</w:t>
            </w:r>
          </w:p>
        </w:tc>
      </w:tr>
      <w:tr>
        <w:tblPrEx>
          <w:tblLayout w:type="fixed"/>
          <w:tblCellMar>
            <w:top w:w="0" w:type="dxa"/>
            <w:left w:w="108" w:type="dxa"/>
            <w:bottom w:w="0" w:type="dxa"/>
            <w:right w:w="108" w:type="dxa"/>
          </w:tblCellMar>
        </w:tblPrEx>
        <w:trPr>
          <w:trHeight w:val="312" w:hRule="atLeast"/>
        </w:trPr>
        <w:tc>
          <w:tcPr>
            <w:tcW w:w="2696" w:type="dxa"/>
            <w:tcBorders>
              <w:top w:val="nil"/>
              <w:left w:val="single" w:color="auto" w:sz="4" w:space="0"/>
              <w:bottom w:val="single" w:color="auto" w:sz="4" w:space="0"/>
              <w:right w:val="single" w:color="auto" w:sz="4" w:space="0"/>
            </w:tcBorders>
            <w:shd w:val="clear" w:color="auto" w:fill="auto"/>
            <w:noWrap/>
            <w:vAlign w:val="center"/>
          </w:tcPr>
          <w:p>
            <w:pPr>
              <w:jc w:val="both"/>
              <w:rPr>
                <w:rFonts w:ascii="Verdana" w:hAnsi="Verdana" w:eastAsia="华文细黑" w:cs="宋体"/>
                <w:color w:val="000000"/>
                <w:sz w:val="20"/>
                <w:szCs w:val="20"/>
              </w:rPr>
            </w:pPr>
            <w:r>
              <w:rPr>
                <w:rFonts w:ascii="Verdana" w:hAnsi="Verdana" w:eastAsia="华文细黑" w:cs="宋体"/>
                <w:color w:val="000000"/>
                <w:sz w:val="20"/>
                <w:szCs w:val="20"/>
              </w:rPr>
              <w:t>债券发行费用</w:t>
            </w:r>
          </w:p>
        </w:tc>
        <w:tc>
          <w:tcPr>
            <w:tcW w:w="1355"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color w:val="000000"/>
                <w:sz w:val="20"/>
                <w:szCs w:val="20"/>
              </w:rPr>
            </w:pPr>
            <w:r>
              <w:rPr>
                <w:rFonts w:eastAsia="华文细黑" w:asciiTheme="minorHAnsi" w:hAnsiTheme="minorHAnsi"/>
                <w:color w:val="000000"/>
                <w:sz w:val="20"/>
                <w:szCs w:val="20"/>
              </w:rPr>
              <w:t>0.50</w:t>
            </w:r>
          </w:p>
        </w:tc>
        <w:tc>
          <w:tcPr>
            <w:tcW w:w="1512"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color w:val="000000"/>
                <w:sz w:val="20"/>
                <w:szCs w:val="20"/>
              </w:rPr>
            </w:pPr>
            <w:r>
              <w:rPr>
                <w:rFonts w:eastAsia="华文细黑" w:asciiTheme="minorHAnsi" w:hAnsiTheme="minorHAnsi"/>
                <w:color w:val="000000"/>
                <w:sz w:val="20"/>
                <w:szCs w:val="20"/>
              </w:rPr>
              <w:t>-</w:t>
            </w:r>
          </w:p>
        </w:tc>
        <w:tc>
          <w:tcPr>
            <w:tcW w:w="1671"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color w:val="000000"/>
                <w:sz w:val="20"/>
                <w:szCs w:val="20"/>
              </w:rPr>
            </w:pPr>
            <w:r>
              <w:rPr>
                <w:rFonts w:eastAsia="华文细黑" w:asciiTheme="minorHAnsi" w:hAnsiTheme="minorHAnsi"/>
                <w:color w:val="000000"/>
                <w:sz w:val="20"/>
                <w:szCs w:val="20"/>
              </w:rPr>
              <w:t>-</w:t>
            </w:r>
          </w:p>
        </w:tc>
        <w:tc>
          <w:tcPr>
            <w:tcW w:w="1511"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color w:val="000000"/>
                <w:sz w:val="20"/>
                <w:szCs w:val="20"/>
              </w:rPr>
            </w:pPr>
            <w:r>
              <w:rPr>
                <w:rFonts w:eastAsia="华文细黑" w:asciiTheme="minorHAnsi" w:hAnsiTheme="minorHAnsi"/>
                <w:color w:val="000000"/>
                <w:sz w:val="20"/>
                <w:szCs w:val="20"/>
              </w:rPr>
              <w:t>-</w:t>
            </w:r>
          </w:p>
        </w:tc>
        <w:tc>
          <w:tcPr>
            <w:tcW w:w="1511"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color w:val="000000"/>
                <w:sz w:val="20"/>
                <w:szCs w:val="20"/>
              </w:rPr>
            </w:pPr>
            <w:r>
              <w:rPr>
                <w:rFonts w:eastAsia="华文细黑" w:asciiTheme="minorHAnsi" w:hAnsiTheme="minorHAnsi"/>
                <w:color w:val="000000"/>
                <w:sz w:val="20"/>
                <w:szCs w:val="20"/>
              </w:rPr>
              <w:t>-</w:t>
            </w:r>
          </w:p>
        </w:tc>
        <w:tc>
          <w:tcPr>
            <w:tcW w:w="1511"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color w:val="000000"/>
                <w:sz w:val="20"/>
                <w:szCs w:val="20"/>
              </w:rPr>
            </w:pPr>
            <w:r>
              <w:rPr>
                <w:rFonts w:eastAsia="华文细黑" w:asciiTheme="minorHAnsi" w:hAnsiTheme="minorHAnsi"/>
                <w:color w:val="000000"/>
                <w:sz w:val="20"/>
                <w:szCs w:val="20"/>
              </w:rPr>
              <w:t>-</w:t>
            </w:r>
          </w:p>
        </w:tc>
        <w:tc>
          <w:tcPr>
            <w:tcW w:w="1511"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b/>
                <w:bCs/>
                <w:color w:val="000000"/>
                <w:sz w:val="20"/>
                <w:szCs w:val="20"/>
              </w:rPr>
            </w:pPr>
            <w:r>
              <w:rPr>
                <w:rFonts w:asciiTheme="minorHAnsi" w:hAnsiTheme="minorHAnsi"/>
                <w:b/>
                <w:bCs/>
                <w:sz w:val="20"/>
                <w:szCs w:val="20"/>
              </w:rPr>
              <w:t>0.50</w:t>
            </w:r>
          </w:p>
        </w:tc>
      </w:tr>
      <w:tr>
        <w:tblPrEx>
          <w:tblLayout w:type="fixed"/>
          <w:tblCellMar>
            <w:top w:w="0" w:type="dxa"/>
            <w:left w:w="108" w:type="dxa"/>
            <w:bottom w:w="0" w:type="dxa"/>
            <w:right w:w="108" w:type="dxa"/>
          </w:tblCellMar>
        </w:tblPrEx>
        <w:trPr>
          <w:trHeight w:val="312" w:hRule="atLeast"/>
        </w:trPr>
        <w:tc>
          <w:tcPr>
            <w:tcW w:w="2696" w:type="dxa"/>
            <w:tcBorders>
              <w:top w:val="nil"/>
              <w:left w:val="single" w:color="auto" w:sz="4" w:space="0"/>
              <w:bottom w:val="single" w:color="auto" w:sz="4" w:space="0"/>
              <w:right w:val="single" w:color="auto" w:sz="4" w:space="0"/>
            </w:tcBorders>
            <w:shd w:val="clear" w:color="auto" w:fill="auto"/>
            <w:noWrap/>
            <w:vAlign w:val="center"/>
          </w:tcPr>
          <w:p>
            <w:pPr>
              <w:jc w:val="both"/>
              <w:rPr>
                <w:rFonts w:ascii="Verdana" w:hAnsi="Verdana" w:eastAsia="华文细黑" w:cs="宋体"/>
                <w:color w:val="000000"/>
                <w:sz w:val="20"/>
                <w:szCs w:val="20"/>
              </w:rPr>
            </w:pPr>
            <w:r>
              <w:rPr>
                <w:rFonts w:ascii="Verdana" w:hAnsi="Verdana" w:eastAsia="华文细黑" w:cs="宋体"/>
                <w:color w:val="000000"/>
                <w:sz w:val="20"/>
                <w:szCs w:val="20"/>
              </w:rPr>
              <w:t>债券还本付息</w:t>
            </w:r>
          </w:p>
        </w:tc>
        <w:tc>
          <w:tcPr>
            <w:tcW w:w="1355"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color w:val="000000"/>
                <w:sz w:val="20"/>
                <w:szCs w:val="20"/>
              </w:rPr>
            </w:pPr>
            <w:r>
              <w:rPr>
                <w:rFonts w:eastAsia="等线" w:cs="Arial" w:asciiTheme="minorHAnsi" w:hAnsiTheme="minorHAnsi"/>
                <w:color w:val="000000"/>
                <w:sz w:val="20"/>
                <w:szCs w:val="20"/>
              </w:rPr>
              <w:t>-</w:t>
            </w:r>
          </w:p>
        </w:tc>
        <w:tc>
          <w:tcPr>
            <w:tcW w:w="1512"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color w:val="000000"/>
                <w:sz w:val="20"/>
                <w:szCs w:val="20"/>
              </w:rPr>
            </w:pPr>
            <w:r>
              <w:rPr>
                <w:rFonts w:eastAsia="等线" w:cs="Arial" w:asciiTheme="minorHAnsi" w:hAnsiTheme="minorHAnsi"/>
                <w:color w:val="000000"/>
                <w:sz w:val="20"/>
                <w:szCs w:val="20"/>
              </w:rPr>
              <w:t>13.50</w:t>
            </w:r>
          </w:p>
        </w:tc>
        <w:tc>
          <w:tcPr>
            <w:tcW w:w="1671"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color w:val="000000"/>
                <w:sz w:val="20"/>
                <w:szCs w:val="20"/>
              </w:rPr>
            </w:pPr>
            <w:r>
              <w:rPr>
                <w:rFonts w:eastAsia="等线" w:cs="Arial" w:asciiTheme="minorHAnsi" w:hAnsiTheme="minorHAnsi"/>
                <w:color w:val="000000"/>
                <w:sz w:val="20"/>
                <w:szCs w:val="20"/>
              </w:rPr>
              <w:t>13.50</w:t>
            </w:r>
          </w:p>
        </w:tc>
        <w:tc>
          <w:tcPr>
            <w:tcW w:w="1511"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color w:val="000000"/>
                <w:sz w:val="20"/>
                <w:szCs w:val="20"/>
              </w:rPr>
            </w:pPr>
            <w:r>
              <w:rPr>
                <w:rFonts w:eastAsia="等线" w:cs="Arial" w:asciiTheme="minorHAnsi" w:hAnsiTheme="minorHAnsi"/>
                <w:color w:val="000000"/>
                <w:sz w:val="20"/>
                <w:szCs w:val="20"/>
              </w:rPr>
              <w:t>13.50</w:t>
            </w:r>
          </w:p>
        </w:tc>
        <w:tc>
          <w:tcPr>
            <w:tcW w:w="1511"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color w:val="000000"/>
                <w:sz w:val="20"/>
                <w:szCs w:val="20"/>
              </w:rPr>
            </w:pPr>
            <w:r>
              <w:rPr>
                <w:rFonts w:eastAsia="等线" w:cs="Arial" w:asciiTheme="minorHAnsi" w:hAnsiTheme="minorHAnsi"/>
                <w:color w:val="000000"/>
                <w:sz w:val="20"/>
                <w:szCs w:val="20"/>
              </w:rPr>
              <w:t>13.50</w:t>
            </w:r>
          </w:p>
        </w:tc>
        <w:tc>
          <w:tcPr>
            <w:tcW w:w="1511"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color w:val="000000"/>
                <w:sz w:val="20"/>
                <w:szCs w:val="20"/>
              </w:rPr>
            </w:pPr>
            <w:r>
              <w:rPr>
                <w:rFonts w:eastAsia="等线" w:cs="Arial" w:asciiTheme="minorHAnsi" w:hAnsiTheme="minorHAnsi"/>
                <w:color w:val="000000"/>
                <w:sz w:val="20"/>
                <w:szCs w:val="20"/>
              </w:rPr>
              <w:t>513.50</w:t>
            </w:r>
          </w:p>
        </w:tc>
        <w:tc>
          <w:tcPr>
            <w:tcW w:w="1511"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b/>
                <w:bCs/>
                <w:color w:val="000000"/>
                <w:sz w:val="20"/>
                <w:szCs w:val="20"/>
              </w:rPr>
            </w:pPr>
            <w:r>
              <w:rPr>
                <w:rFonts w:asciiTheme="minorHAnsi" w:hAnsiTheme="minorHAnsi"/>
                <w:b/>
                <w:bCs/>
                <w:sz w:val="20"/>
                <w:szCs w:val="20"/>
              </w:rPr>
              <w:t>567.50</w:t>
            </w:r>
          </w:p>
        </w:tc>
      </w:tr>
      <w:tr>
        <w:tblPrEx>
          <w:tblLayout w:type="fixed"/>
          <w:tblCellMar>
            <w:top w:w="0" w:type="dxa"/>
            <w:left w:w="108" w:type="dxa"/>
            <w:bottom w:w="0" w:type="dxa"/>
            <w:right w:w="108" w:type="dxa"/>
          </w:tblCellMar>
        </w:tblPrEx>
        <w:trPr>
          <w:trHeight w:val="312" w:hRule="atLeast"/>
        </w:trPr>
        <w:tc>
          <w:tcPr>
            <w:tcW w:w="2696" w:type="dxa"/>
            <w:tcBorders>
              <w:top w:val="nil"/>
              <w:left w:val="single" w:color="auto" w:sz="4" w:space="0"/>
              <w:bottom w:val="single" w:color="auto" w:sz="4" w:space="0"/>
              <w:right w:val="single" w:color="auto" w:sz="4" w:space="0"/>
            </w:tcBorders>
            <w:shd w:val="clear" w:color="auto" w:fill="auto"/>
            <w:noWrap/>
            <w:vAlign w:val="center"/>
          </w:tcPr>
          <w:p>
            <w:pPr>
              <w:jc w:val="both"/>
              <w:rPr>
                <w:rFonts w:ascii="Verdana" w:hAnsi="Verdana" w:eastAsia="华文细黑" w:cs="宋体"/>
                <w:b/>
                <w:bCs/>
                <w:color w:val="000000"/>
                <w:sz w:val="20"/>
                <w:szCs w:val="20"/>
              </w:rPr>
            </w:pPr>
            <w:r>
              <w:rPr>
                <w:rFonts w:ascii="Verdana" w:hAnsi="Verdana" w:eastAsia="华文细黑" w:cs="宋体"/>
                <w:b/>
                <w:bCs/>
                <w:color w:val="000000"/>
                <w:sz w:val="20"/>
                <w:szCs w:val="20"/>
              </w:rPr>
              <w:t>现金流出总额</w:t>
            </w:r>
          </w:p>
        </w:tc>
        <w:tc>
          <w:tcPr>
            <w:tcW w:w="1355"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b/>
                <w:bCs/>
                <w:color w:val="000000"/>
                <w:sz w:val="20"/>
                <w:szCs w:val="20"/>
              </w:rPr>
            </w:pPr>
            <w:r>
              <w:rPr>
                <w:rFonts w:eastAsia="等线" w:cs="Arial" w:asciiTheme="minorHAnsi" w:hAnsiTheme="minorHAnsi"/>
                <w:b/>
                <w:bCs/>
                <w:color w:val="000000"/>
                <w:sz w:val="20"/>
                <w:szCs w:val="20"/>
              </w:rPr>
              <w:t>839.49</w:t>
            </w:r>
          </w:p>
        </w:tc>
        <w:tc>
          <w:tcPr>
            <w:tcW w:w="1512"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b/>
                <w:bCs/>
                <w:color w:val="000000"/>
                <w:sz w:val="20"/>
                <w:szCs w:val="20"/>
              </w:rPr>
            </w:pPr>
            <w:r>
              <w:rPr>
                <w:rFonts w:eastAsia="等线" w:cs="Arial" w:asciiTheme="minorHAnsi" w:hAnsiTheme="minorHAnsi"/>
                <w:b/>
                <w:bCs/>
                <w:color w:val="000000"/>
                <w:sz w:val="20"/>
                <w:szCs w:val="20"/>
              </w:rPr>
              <w:t>13.50</w:t>
            </w:r>
          </w:p>
        </w:tc>
        <w:tc>
          <w:tcPr>
            <w:tcW w:w="1671"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b/>
                <w:bCs/>
                <w:color w:val="000000"/>
                <w:sz w:val="20"/>
                <w:szCs w:val="20"/>
              </w:rPr>
            </w:pPr>
            <w:r>
              <w:rPr>
                <w:rFonts w:eastAsia="等线" w:cs="Arial" w:asciiTheme="minorHAnsi" w:hAnsiTheme="minorHAnsi"/>
                <w:b/>
                <w:bCs/>
                <w:color w:val="000000"/>
                <w:sz w:val="20"/>
                <w:szCs w:val="20"/>
              </w:rPr>
              <w:t>13.50</w:t>
            </w:r>
          </w:p>
        </w:tc>
        <w:tc>
          <w:tcPr>
            <w:tcW w:w="1511"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b/>
                <w:bCs/>
                <w:color w:val="000000"/>
                <w:sz w:val="20"/>
                <w:szCs w:val="20"/>
              </w:rPr>
            </w:pPr>
            <w:r>
              <w:rPr>
                <w:rFonts w:eastAsia="等线" w:cs="Arial" w:asciiTheme="minorHAnsi" w:hAnsiTheme="minorHAnsi"/>
                <w:b/>
                <w:bCs/>
                <w:color w:val="000000"/>
                <w:sz w:val="20"/>
                <w:szCs w:val="20"/>
              </w:rPr>
              <w:t>13.50</w:t>
            </w:r>
          </w:p>
        </w:tc>
        <w:tc>
          <w:tcPr>
            <w:tcW w:w="1511"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b/>
                <w:bCs/>
                <w:color w:val="000000"/>
                <w:sz w:val="20"/>
                <w:szCs w:val="20"/>
              </w:rPr>
            </w:pPr>
            <w:r>
              <w:rPr>
                <w:rFonts w:eastAsia="等线" w:cs="Arial" w:asciiTheme="minorHAnsi" w:hAnsiTheme="minorHAnsi"/>
                <w:b/>
                <w:bCs/>
                <w:color w:val="000000"/>
                <w:sz w:val="20"/>
                <w:szCs w:val="20"/>
              </w:rPr>
              <w:t>13.50</w:t>
            </w:r>
          </w:p>
        </w:tc>
        <w:tc>
          <w:tcPr>
            <w:tcW w:w="1511"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b/>
                <w:bCs/>
                <w:color w:val="000000"/>
                <w:sz w:val="20"/>
                <w:szCs w:val="20"/>
              </w:rPr>
            </w:pPr>
            <w:r>
              <w:rPr>
                <w:rFonts w:eastAsia="等线" w:cs="Arial" w:asciiTheme="minorHAnsi" w:hAnsiTheme="minorHAnsi"/>
                <w:b/>
                <w:bCs/>
                <w:color w:val="000000"/>
                <w:sz w:val="20"/>
                <w:szCs w:val="20"/>
              </w:rPr>
              <w:t>513.50</w:t>
            </w:r>
          </w:p>
        </w:tc>
        <w:tc>
          <w:tcPr>
            <w:tcW w:w="1511"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b/>
                <w:bCs/>
                <w:color w:val="000000"/>
                <w:sz w:val="20"/>
                <w:szCs w:val="20"/>
              </w:rPr>
            </w:pPr>
            <w:r>
              <w:rPr>
                <w:rFonts w:asciiTheme="minorHAnsi" w:hAnsiTheme="minorHAnsi"/>
                <w:b/>
                <w:bCs/>
                <w:sz w:val="20"/>
                <w:szCs w:val="20"/>
              </w:rPr>
              <w:t>1,406.99</w:t>
            </w:r>
          </w:p>
        </w:tc>
      </w:tr>
      <w:tr>
        <w:tblPrEx>
          <w:tblLayout w:type="fixed"/>
          <w:tblCellMar>
            <w:top w:w="0" w:type="dxa"/>
            <w:left w:w="108" w:type="dxa"/>
            <w:bottom w:w="0" w:type="dxa"/>
            <w:right w:w="108" w:type="dxa"/>
          </w:tblCellMar>
        </w:tblPrEx>
        <w:trPr>
          <w:trHeight w:val="312" w:hRule="atLeast"/>
        </w:trPr>
        <w:tc>
          <w:tcPr>
            <w:tcW w:w="2696" w:type="dxa"/>
            <w:tcBorders>
              <w:top w:val="nil"/>
              <w:left w:val="single" w:color="auto" w:sz="4" w:space="0"/>
              <w:bottom w:val="single" w:color="auto" w:sz="4" w:space="0"/>
              <w:right w:val="single" w:color="auto" w:sz="4" w:space="0"/>
            </w:tcBorders>
            <w:shd w:val="clear" w:color="000000" w:fill="D3DFEE"/>
            <w:noWrap/>
            <w:vAlign w:val="center"/>
          </w:tcPr>
          <w:p>
            <w:pPr>
              <w:jc w:val="both"/>
              <w:rPr>
                <w:rFonts w:ascii="Verdana" w:hAnsi="Verdana" w:eastAsia="华文细黑" w:cs="宋体"/>
                <w:b/>
                <w:bCs/>
                <w:color w:val="000000"/>
                <w:sz w:val="20"/>
                <w:szCs w:val="20"/>
              </w:rPr>
            </w:pPr>
            <w:r>
              <w:rPr>
                <w:rFonts w:ascii="Verdana" w:hAnsi="Verdana" w:eastAsia="华文细黑" w:cs="宋体"/>
                <w:b/>
                <w:bCs/>
                <w:color w:val="000000"/>
                <w:sz w:val="20"/>
                <w:szCs w:val="20"/>
              </w:rPr>
              <w:t>现金净流量</w:t>
            </w:r>
          </w:p>
        </w:tc>
        <w:tc>
          <w:tcPr>
            <w:tcW w:w="1355" w:type="dxa"/>
            <w:tcBorders>
              <w:top w:val="nil"/>
              <w:left w:val="nil"/>
              <w:bottom w:val="single" w:color="auto" w:sz="4" w:space="0"/>
              <w:right w:val="single" w:color="auto" w:sz="4" w:space="0"/>
            </w:tcBorders>
            <w:shd w:val="clear" w:color="000000" w:fill="D3DFEE"/>
            <w:noWrap/>
            <w:vAlign w:val="center"/>
          </w:tcPr>
          <w:p>
            <w:pPr>
              <w:jc w:val="right"/>
              <w:rPr>
                <w:rFonts w:eastAsia="华文细黑" w:cs="Arial" w:asciiTheme="minorHAnsi" w:hAnsiTheme="minorHAnsi"/>
                <w:b/>
                <w:bCs/>
                <w:color w:val="000000"/>
                <w:sz w:val="20"/>
                <w:szCs w:val="20"/>
              </w:rPr>
            </w:pPr>
          </w:p>
        </w:tc>
        <w:tc>
          <w:tcPr>
            <w:tcW w:w="1512" w:type="dxa"/>
            <w:tcBorders>
              <w:top w:val="nil"/>
              <w:left w:val="nil"/>
              <w:bottom w:val="single" w:color="auto" w:sz="4" w:space="0"/>
              <w:right w:val="single" w:color="auto" w:sz="4" w:space="0"/>
            </w:tcBorders>
            <w:shd w:val="clear" w:color="000000" w:fill="D3DFEE"/>
            <w:noWrap/>
            <w:vAlign w:val="center"/>
          </w:tcPr>
          <w:p>
            <w:pPr>
              <w:jc w:val="right"/>
              <w:rPr>
                <w:rFonts w:eastAsia="华文细黑" w:cs="Arial" w:asciiTheme="minorHAnsi" w:hAnsiTheme="minorHAnsi"/>
                <w:b/>
                <w:bCs/>
                <w:color w:val="000000"/>
                <w:sz w:val="20"/>
                <w:szCs w:val="20"/>
              </w:rPr>
            </w:pPr>
          </w:p>
        </w:tc>
        <w:tc>
          <w:tcPr>
            <w:tcW w:w="1671" w:type="dxa"/>
            <w:tcBorders>
              <w:top w:val="nil"/>
              <w:left w:val="nil"/>
              <w:bottom w:val="single" w:color="auto" w:sz="4" w:space="0"/>
              <w:right w:val="single" w:color="auto" w:sz="4" w:space="0"/>
            </w:tcBorders>
            <w:shd w:val="clear" w:color="000000" w:fill="D3DFEE"/>
            <w:noWrap/>
            <w:vAlign w:val="center"/>
          </w:tcPr>
          <w:p>
            <w:pPr>
              <w:jc w:val="right"/>
              <w:rPr>
                <w:rFonts w:eastAsia="华文细黑" w:cs="Arial" w:asciiTheme="minorHAnsi" w:hAnsiTheme="minorHAnsi"/>
                <w:b/>
                <w:bCs/>
                <w:color w:val="000000"/>
                <w:sz w:val="20"/>
                <w:szCs w:val="20"/>
              </w:rPr>
            </w:pPr>
          </w:p>
        </w:tc>
        <w:tc>
          <w:tcPr>
            <w:tcW w:w="1511" w:type="dxa"/>
            <w:tcBorders>
              <w:top w:val="nil"/>
              <w:left w:val="nil"/>
              <w:bottom w:val="single" w:color="auto" w:sz="4" w:space="0"/>
              <w:right w:val="single" w:color="auto" w:sz="4" w:space="0"/>
            </w:tcBorders>
            <w:shd w:val="clear" w:color="000000" w:fill="D3DFEE"/>
            <w:noWrap/>
            <w:vAlign w:val="center"/>
          </w:tcPr>
          <w:p>
            <w:pPr>
              <w:jc w:val="right"/>
              <w:rPr>
                <w:rFonts w:eastAsia="华文细黑" w:cs="Arial" w:asciiTheme="minorHAnsi" w:hAnsiTheme="minorHAnsi"/>
                <w:b/>
                <w:bCs/>
                <w:color w:val="000000"/>
                <w:sz w:val="20"/>
                <w:szCs w:val="20"/>
              </w:rPr>
            </w:pPr>
          </w:p>
        </w:tc>
        <w:tc>
          <w:tcPr>
            <w:tcW w:w="1511" w:type="dxa"/>
            <w:tcBorders>
              <w:top w:val="nil"/>
              <w:left w:val="nil"/>
              <w:bottom w:val="single" w:color="auto" w:sz="4" w:space="0"/>
              <w:right w:val="single" w:color="auto" w:sz="4" w:space="0"/>
            </w:tcBorders>
            <w:shd w:val="clear" w:color="000000" w:fill="D3DFEE"/>
            <w:noWrap/>
            <w:vAlign w:val="center"/>
          </w:tcPr>
          <w:p>
            <w:pPr>
              <w:jc w:val="right"/>
              <w:rPr>
                <w:rFonts w:eastAsia="华文细黑" w:cs="Arial" w:asciiTheme="minorHAnsi" w:hAnsiTheme="minorHAnsi"/>
                <w:b/>
                <w:bCs/>
                <w:color w:val="000000"/>
                <w:sz w:val="20"/>
                <w:szCs w:val="20"/>
              </w:rPr>
            </w:pPr>
          </w:p>
        </w:tc>
        <w:tc>
          <w:tcPr>
            <w:tcW w:w="1511" w:type="dxa"/>
            <w:tcBorders>
              <w:top w:val="nil"/>
              <w:left w:val="nil"/>
              <w:bottom w:val="single" w:color="auto" w:sz="4" w:space="0"/>
              <w:right w:val="single" w:color="auto" w:sz="4" w:space="0"/>
            </w:tcBorders>
            <w:shd w:val="clear" w:color="000000" w:fill="D3DFEE"/>
            <w:noWrap/>
            <w:vAlign w:val="center"/>
          </w:tcPr>
          <w:p>
            <w:pPr>
              <w:jc w:val="right"/>
              <w:rPr>
                <w:rFonts w:eastAsia="华文细黑" w:cs="Arial" w:asciiTheme="minorHAnsi" w:hAnsiTheme="minorHAnsi"/>
                <w:b/>
                <w:bCs/>
                <w:color w:val="000000"/>
                <w:sz w:val="20"/>
                <w:szCs w:val="20"/>
              </w:rPr>
            </w:pPr>
          </w:p>
        </w:tc>
        <w:tc>
          <w:tcPr>
            <w:tcW w:w="1511" w:type="dxa"/>
            <w:tcBorders>
              <w:top w:val="nil"/>
              <w:left w:val="nil"/>
              <w:bottom w:val="single" w:color="auto" w:sz="4" w:space="0"/>
              <w:right w:val="single" w:color="auto" w:sz="4" w:space="0"/>
            </w:tcBorders>
            <w:shd w:val="clear" w:color="000000" w:fill="D3DFEE"/>
            <w:noWrap/>
            <w:vAlign w:val="center"/>
          </w:tcPr>
          <w:p>
            <w:pPr>
              <w:jc w:val="right"/>
              <w:rPr>
                <w:rFonts w:eastAsia="华文细黑" w:cs="Arial" w:asciiTheme="minorHAnsi" w:hAnsiTheme="minorHAnsi"/>
                <w:b/>
                <w:bCs/>
                <w:color w:val="000000"/>
                <w:sz w:val="20"/>
                <w:szCs w:val="20"/>
              </w:rPr>
            </w:pPr>
          </w:p>
        </w:tc>
      </w:tr>
      <w:tr>
        <w:tblPrEx>
          <w:tblLayout w:type="fixed"/>
          <w:tblCellMar>
            <w:top w:w="0" w:type="dxa"/>
            <w:left w:w="108" w:type="dxa"/>
            <w:bottom w:w="0" w:type="dxa"/>
            <w:right w:w="108" w:type="dxa"/>
          </w:tblCellMar>
        </w:tblPrEx>
        <w:trPr>
          <w:trHeight w:val="276" w:hRule="atLeast"/>
        </w:trPr>
        <w:tc>
          <w:tcPr>
            <w:tcW w:w="2696" w:type="dxa"/>
            <w:tcBorders>
              <w:top w:val="nil"/>
              <w:left w:val="single" w:color="auto" w:sz="4" w:space="0"/>
              <w:bottom w:val="single" w:color="auto" w:sz="4" w:space="0"/>
              <w:right w:val="single" w:color="auto" w:sz="4" w:space="0"/>
            </w:tcBorders>
            <w:shd w:val="clear" w:color="auto" w:fill="auto"/>
            <w:noWrap/>
            <w:vAlign w:val="center"/>
          </w:tcPr>
          <w:p>
            <w:pPr>
              <w:jc w:val="both"/>
              <w:rPr>
                <w:rFonts w:ascii="Verdana" w:hAnsi="Verdana" w:eastAsia="华文细黑" w:cs="Arial"/>
                <w:b/>
                <w:bCs/>
                <w:color w:val="000000"/>
                <w:sz w:val="20"/>
                <w:szCs w:val="20"/>
              </w:rPr>
            </w:pPr>
            <w:r>
              <w:rPr>
                <w:rFonts w:ascii="Verdana" w:hAnsi="Verdana" w:eastAsia="华文细黑" w:cs="Arial"/>
                <w:b/>
                <w:bCs/>
                <w:color w:val="000000"/>
                <w:sz w:val="20"/>
                <w:szCs w:val="20"/>
              </w:rPr>
              <w:t>当年项目现金净流入</w:t>
            </w:r>
          </w:p>
        </w:tc>
        <w:tc>
          <w:tcPr>
            <w:tcW w:w="1355"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b/>
                <w:bCs/>
                <w:color w:val="000000"/>
                <w:sz w:val="20"/>
                <w:szCs w:val="20"/>
              </w:rPr>
            </w:pPr>
            <w:r>
              <w:rPr>
                <w:rFonts w:eastAsia="等线" w:cs="Arial" w:asciiTheme="minorHAnsi" w:hAnsiTheme="minorHAnsi"/>
                <w:b/>
                <w:bCs/>
                <w:color w:val="000000"/>
                <w:sz w:val="20"/>
                <w:szCs w:val="20"/>
              </w:rPr>
              <w:t>-</w:t>
            </w:r>
          </w:p>
        </w:tc>
        <w:tc>
          <w:tcPr>
            <w:tcW w:w="1512"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b/>
                <w:bCs/>
                <w:color w:val="000000"/>
                <w:sz w:val="20"/>
                <w:szCs w:val="20"/>
              </w:rPr>
            </w:pPr>
            <w:r>
              <w:rPr>
                <w:rFonts w:eastAsia="等线" w:cs="Arial" w:asciiTheme="minorHAnsi" w:hAnsiTheme="minorHAnsi"/>
                <w:b/>
                <w:bCs/>
                <w:color w:val="000000"/>
                <w:sz w:val="20"/>
                <w:szCs w:val="20"/>
              </w:rPr>
              <w:t>123.30</w:t>
            </w:r>
          </w:p>
        </w:tc>
        <w:tc>
          <w:tcPr>
            <w:tcW w:w="1671"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b/>
                <w:bCs/>
                <w:color w:val="000000"/>
                <w:sz w:val="20"/>
                <w:szCs w:val="20"/>
              </w:rPr>
            </w:pPr>
            <w:r>
              <w:rPr>
                <w:rFonts w:eastAsia="等线" w:cs="Arial" w:asciiTheme="minorHAnsi" w:hAnsiTheme="minorHAnsi"/>
                <w:b/>
                <w:bCs/>
                <w:color w:val="000000"/>
                <w:sz w:val="20"/>
                <w:szCs w:val="20"/>
              </w:rPr>
              <w:t>123.30</w:t>
            </w:r>
          </w:p>
        </w:tc>
        <w:tc>
          <w:tcPr>
            <w:tcW w:w="1511"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b/>
                <w:bCs/>
                <w:color w:val="000000"/>
                <w:sz w:val="20"/>
                <w:szCs w:val="20"/>
              </w:rPr>
            </w:pPr>
            <w:r>
              <w:rPr>
                <w:rFonts w:eastAsia="等线" w:cs="Arial" w:asciiTheme="minorHAnsi" w:hAnsiTheme="minorHAnsi"/>
                <w:b/>
                <w:bCs/>
                <w:color w:val="000000"/>
                <w:sz w:val="20"/>
                <w:szCs w:val="20"/>
              </w:rPr>
              <w:t>123.30</w:t>
            </w:r>
          </w:p>
        </w:tc>
        <w:tc>
          <w:tcPr>
            <w:tcW w:w="1511"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b/>
                <w:bCs/>
                <w:color w:val="000000"/>
                <w:sz w:val="20"/>
                <w:szCs w:val="20"/>
              </w:rPr>
            </w:pPr>
            <w:r>
              <w:rPr>
                <w:rFonts w:eastAsia="等线" w:cs="Arial" w:asciiTheme="minorHAnsi" w:hAnsiTheme="minorHAnsi"/>
                <w:b/>
                <w:bCs/>
                <w:color w:val="000000"/>
                <w:sz w:val="20"/>
                <w:szCs w:val="20"/>
              </w:rPr>
              <w:t>123.30</w:t>
            </w:r>
          </w:p>
        </w:tc>
        <w:tc>
          <w:tcPr>
            <w:tcW w:w="1511"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b/>
                <w:bCs/>
                <w:color w:val="000000"/>
                <w:sz w:val="20"/>
                <w:szCs w:val="20"/>
              </w:rPr>
            </w:pPr>
            <w:r>
              <w:rPr>
                <w:rFonts w:eastAsia="等线" w:cs="Arial" w:asciiTheme="minorHAnsi" w:hAnsiTheme="minorHAnsi"/>
                <w:b/>
                <w:bCs/>
                <w:color w:val="000000"/>
                <w:sz w:val="20"/>
                <w:szCs w:val="20"/>
              </w:rPr>
              <w:t>-376.70</w:t>
            </w:r>
          </w:p>
        </w:tc>
        <w:tc>
          <w:tcPr>
            <w:tcW w:w="1511"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b/>
                <w:bCs/>
                <w:color w:val="000000"/>
                <w:sz w:val="20"/>
                <w:szCs w:val="20"/>
              </w:rPr>
            </w:pPr>
            <w:r>
              <w:rPr>
                <w:rFonts w:eastAsia="等线" w:cs="Arial" w:asciiTheme="minorHAnsi" w:hAnsiTheme="minorHAnsi"/>
                <w:b/>
                <w:bCs/>
                <w:color w:val="000000"/>
                <w:sz w:val="20"/>
                <w:szCs w:val="20"/>
              </w:rPr>
              <w:t>-</w:t>
            </w:r>
          </w:p>
        </w:tc>
      </w:tr>
      <w:tr>
        <w:tblPrEx>
          <w:tblLayout w:type="fixed"/>
          <w:tblCellMar>
            <w:top w:w="0" w:type="dxa"/>
            <w:left w:w="108" w:type="dxa"/>
            <w:bottom w:w="0" w:type="dxa"/>
            <w:right w:w="108" w:type="dxa"/>
          </w:tblCellMar>
        </w:tblPrEx>
        <w:trPr>
          <w:trHeight w:val="276" w:hRule="atLeast"/>
        </w:trPr>
        <w:tc>
          <w:tcPr>
            <w:tcW w:w="2696" w:type="dxa"/>
            <w:tcBorders>
              <w:top w:val="nil"/>
              <w:left w:val="single" w:color="auto" w:sz="4" w:space="0"/>
              <w:bottom w:val="single" w:color="auto" w:sz="4" w:space="0"/>
              <w:right w:val="single" w:color="auto" w:sz="4" w:space="0"/>
            </w:tcBorders>
            <w:shd w:val="clear" w:color="auto" w:fill="auto"/>
            <w:noWrap/>
            <w:vAlign w:val="center"/>
          </w:tcPr>
          <w:p>
            <w:pPr>
              <w:jc w:val="both"/>
              <w:rPr>
                <w:rFonts w:ascii="Verdana" w:hAnsi="Verdana" w:eastAsia="华文细黑" w:cs="Arial"/>
                <w:b/>
                <w:bCs/>
                <w:color w:val="000000"/>
                <w:sz w:val="20"/>
                <w:szCs w:val="20"/>
              </w:rPr>
            </w:pPr>
            <w:r>
              <w:rPr>
                <w:rFonts w:ascii="Verdana" w:hAnsi="Verdana" w:eastAsia="华文细黑" w:cs="Arial"/>
                <w:b/>
                <w:bCs/>
                <w:color w:val="000000"/>
                <w:sz w:val="20"/>
                <w:szCs w:val="20"/>
              </w:rPr>
              <w:t>期末项目累计现金结存额</w:t>
            </w:r>
          </w:p>
        </w:tc>
        <w:tc>
          <w:tcPr>
            <w:tcW w:w="1355"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b/>
                <w:bCs/>
                <w:color w:val="000000"/>
                <w:sz w:val="20"/>
                <w:szCs w:val="20"/>
              </w:rPr>
            </w:pPr>
            <w:r>
              <w:rPr>
                <w:rFonts w:eastAsia="等线" w:cs="Arial" w:asciiTheme="minorHAnsi" w:hAnsiTheme="minorHAnsi"/>
                <w:b/>
                <w:bCs/>
                <w:color w:val="000000"/>
                <w:sz w:val="20"/>
                <w:szCs w:val="20"/>
              </w:rPr>
              <w:t>-</w:t>
            </w:r>
          </w:p>
        </w:tc>
        <w:tc>
          <w:tcPr>
            <w:tcW w:w="1512"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b/>
                <w:bCs/>
                <w:color w:val="000000"/>
                <w:sz w:val="20"/>
                <w:szCs w:val="20"/>
              </w:rPr>
            </w:pPr>
            <w:r>
              <w:rPr>
                <w:rFonts w:eastAsia="等线" w:cs="Arial" w:asciiTheme="minorHAnsi" w:hAnsiTheme="minorHAnsi"/>
                <w:b/>
                <w:bCs/>
                <w:color w:val="000000"/>
                <w:sz w:val="20"/>
                <w:szCs w:val="20"/>
              </w:rPr>
              <w:t>123.30</w:t>
            </w:r>
          </w:p>
        </w:tc>
        <w:tc>
          <w:tcPr>
            <w:tcW w:w="1671"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b/>
                <w:bCs/>
                <w:color w:val="000000"/>
                <w:sz w:val="20"/>
                <w:szCs w:val="20"/>
              </w:rPr>
            </w:pPr>
            <w:r>
              <w:rPr>
                <w:rFonts w:eastAsia="等线" w:cs="Arial" w:asciiTheme="minorHAnsi" w:hAnsiTheme="minorHAnsi"/>
                <w:b/>
                <w:bCs/>
                <w:color w:val="000000"/>
                <w:sz w:val="20"/>
                <w:szCs w:val="20"/>
              </w:rPr>
              <w:t>246.60</w:t>
            </w:r>
          </w:p>
        </w:tc>
        <w:tc>
          <w:tcPr>
            <w:tcW w:w="1511"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b/>
                <w:bCs/>
                <w:color w:val="000000"/>
                <w:sz w:val="20"/>
                <w:szCs w:val="20"/>
              </w:rPr>
            </w:pPr>
            <w:r>
              <w:rPr>
                <w:rFonts w:eastAsia="等线" w:cs="Arial" w:asciiTheme="minorHAnsi" w:hAnsiTheme="minorHAnsi"/>
                <w:b/>
                <w:bCs/>
                <w:color w:val="000000"/>
                <w:sz w:val="20"/>
                <w:szCs w:val="20"/>
              </w:rPr>
              <w:t>369.90</w:t>
            </w:r>
          </w:p>
        </w:tc>
        <w:tc>
          <w:tcPr>
            <w:tcW w:w="1511"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b/>
                <w:bCs/>
                <w:color w:val="000000"/>
                <w:sz w:val="20"/>
                <w:szCs w:val="20"/>
              </w:rPr>
            </w:pPr>
            <w:r>
              <w:rPr>
                <w:rFonts w:eastAsia="等线" w:cs="Arial" w:asciiTheme="minorHAnsi" w:hAnsiTheme="minorHAnsi"/>
                <w:b/>
                <w:bCs/>
                <w:color w:val="000000"/>
                <w:sz w:val="20"/>
                <w:szCs w:val="20"/>
              </w:rPr>
              <w:t>493.20</w:t>
            </w:r>
          </w:p>
        </w:tc>
        <w:tc>
          <w:tcPr>
            <w:tcW w:w="1511"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b/>
                <w:bCs/>
                <w:color w:val="000000"/>
                <w:sz w:val="20"/>
                <w:szCs w:val="20"/>
              </w:rPr>
            </w:pPr>
            <w:r>
              <w:rPr>
                <w:rFonts w:eastAsia="等线" w:cs="Arial" w:asciiTheme="minorHAnsi" w:hAnsiTheme="minorHAnsi"/>
                <w:b/>
                <w:bCs/>
                <w:color w:val="000000"/>
                <w:sz w:val="20"/>
                <w:szCs w:val="20"/>
              </w:rPr>
              <w:t>116.50</w:t>
            </w:r>
          </w:p>
        </w:tc>
        <w:tc>
          <w:tcPr>
            <w:tcW w:w="1511" w:type="dxa"/>
            <w:tcBorders>
              <w:top w:val="nil"/>
              <w:left w:val="nil"/>
              <w:bottom w:val="single" w:color="auto" w:sz="4" w:space="0"/>
              <w:right w:val="single" w:color="auto" w:sz="4" w:space="0"/>
            </w:tcBorders>
            <w:shd w:val="clear" w:color="auto" w:fill="auto"/>
            <w:noWrap/>
            <w:vAlign w:val="center"/>
          </w:tcPr>
          <w:p>
            <w:pPr>
              <w:jc w:val="right"/>
              <w:rPr>
                <w:rFonts w:eastAsia="华文细黑" w:cs="Arial" w:asciiTheme="minorHAnsi" w:hAnsiTheme="minorHAnsi"/>
                <w:b/>
                <w:bCs/>
                <w:color w:val="000000"/>
                <w:sz w:val="20"/>
                <w:szCs w:val="20"/>
              </w:rPr>
            </w:pPr>
            <w:r>
              <w:rPr>
                <w:rFonts w:eastAsia="等线" w:cs="Arial" w:asciiTheme="minorHAnsi" w:hAnsiTheme="minorHAnsi"/>
                <w:b/>
                <w:bCs/>
                <w:color w:val="000000"/>
                <w:sz w:val="20"/>
                <w:szCs w:val="20"/>
              </w:rPr>
              <w:t>-</w:t>
            </w:r>
          </w:p>
        </w:tc>
      </w:tr>
    </w:tbl>
    <w:p>
      <w:pPr>
        <w:jc w:val="right"/>
        <w:rPr>
          <w:rFonts w:ascii="Verdana" w:hAnsi="Verdana" w:eastAsia="华文细黑" w:cs="Calibri"/>
          <w:color w:val="000000"/>
          <w:sz w:val="20"/>
          <w:szCs w:val="20"/>
        </w:rPr>
      </w:pPr>
    </w:p>
    <w:p>
      <w:pPr>
        <w:ind w:right="54"/>
        <w:rPr>
          <w:rFonts w:ascii="Verdana" w:hAnsi="Verdana" w:eastAsia="华文细黑" w:cs="Calibri"/>
          <w:color w:val="000000"/>
          <w:sz w:val="20"/>
          <w:szCs w:val="20"/>
        </w:rPr>
      </w:pPr>
      <w:r>
        <w:rPr>
          <w:rFonts w:hint="eastAsia" w:ascii="Verdana" w:hAnsi="Verdana" w:eastAsia="华文细黑" w:cs="Calibri"/>
          <w:color w:val="000000"/>
          <w:sz w:val="20"/>
          <w:szCs w:val="20"/>
        </w:rPr>
        <w:t>、</w:t>
      </w:r>
    </w:p>
    <w:p>
      <w:pPr>
        <w:ind w:right="-746"/>
        <w:jc w:val="right"/>
        <w:rPr>
          <w:rFonts w:ascii="Verdana" w:hAnsi="Verdana" w:eastAsia="华文细黑" w:cs="Calibri"/>
          <w:color w:val="000000"/>
          <w:sz w:val="20"/>
          <w:szCs w:val="20"/>
        </w:rPr>
      </w:pPr>
    </w:p>
    <w:p>
      <w:pPr>
        <w:jc w:val="center"/>
        <w:rPr>
          <w:rFonts w:ascii="Verdana" w:hAnsi="Verdana" w:eastAsia="华文细黑" w:cs="Calibri"/>
          <w:color w:val="000000"/>
          <w:sz w:val="20"/>
          <w:szCs w:val="20"/>
        </w:rPr>
      </w:pPr>
    </w:p>
    <w:p>
      <w:pPr>
        <w:rPr>
          <w:rFonts w:ascii="Verdana" w:hAnsi="Verdana" w:eastAsia="华文细黑" w:cs="Calibri"/>
          <w:color w:val="000000"/>
          <w:sz w:val="20"/>
          <w:szCs w:val="20"/>
        </w:rPr>
      </w:pPr>
      <w:r>
        <w:rPr>
          <w:rFonts w:ascii="Verdana" w:hAnsi="Verdana" w:eastAsia="华文细黑" w:cs="Calibri"/>
          <w:color w:val="000000"/>
          <w:sz w:val="20"/>
          <w:szCs w:val="20"/>
        </w:rPr>
        <w:br w:type="page"/>
      </w:r>
    </w:p>
    <w:p>
      <w:pPr>
        <w:spacing w:before="120" w:after="120" w:line="360" w:lineRule="auto"/>
        <w:ind w:right="960"/>
        <w:rPr>
          <w:rFonts w:ascii="Verdana" w:hAnsi="Verdana" w:eastAsia="华文细黑" w:cs="Calibri"/>
          <w:color w:val="000000"/>
        </w:rPr>
        <w:sectPr>
          <w:footerReference r:id="rId15" w:type="default"/>
          <w:pgSz w:w="15840" w:h="12240" w:orient="landscape"/>
          <w:pgMar w:top="1800" w:right="1276" w:bottom="1800" w:left="1276" w:header="708" w:footer="850" w:gutter="0"/>
          <w:cols w:space="708" w:num="1"/>
          <w:docGrid w:linePitch="360" w:charSpace="0"/>
        </w:sectPr>
      </w:pPr>
    </w:p>
    <w:p>
      <w:pPr>
        <w:spacing w:before="120" w:after="120" w:line="360" w:lineRule="auto"/>
        <w:ind w:firstLine="556"/>
        <w:jc w:val="both"/>
        <w:rPr>
          <w:rFonts w:ascii="Verdana" w:hAnsi="Verdana" w:eastAsia="华文细黑" w:cs="Calibri"/>
          <w:color w:val="000000"/>
        </w:rPr>
      </w:pPr>
      <w:r>
        <w:rPr>
          <w:rFonts w:ascii="Verdana" w:hAnsi="Verdana" w:eastAsia="华文细黑" w:cs="Calibri"/>
          <w:color w:val="000000"/>
        </w:rPr>
        <w:t>基于以上投资计划、资金筹措安排，我们未发现建设期内所需建设资金存在缺口的情况，且项目每年资金余额为正值，满足项目自身收益还本付息的前提下，仍有富余资金，显示项目具备一定的盈利能力、偿债能力和可持续性。</w:t>
      </w:r>
    </w:p>
    <w:p>
      <w:pPr>
        <w:spacing w:before="120" w:after="120" w:line="360" w:lineRule="auto"/>
        <w:ind w:firstLine="480" w:firstLineChars="200"/>
        <w:jc w:val="both"/>
        <w:outlineLvl w:val="2"/>
        <w:rPr>
          <w:rFonts w:ascii="Verdana" w:hAnsi="Verdana" w:eastAsia="华文细黑" w:cs="Calibri"/>
          <w:b/>
          <w:color w:val="000000"/>
        </w:rPr>
      </w:pPr>
      <w:bookmarkStart w:id="70" w:name="_Toc135044149"/>
      <w:r>
        <w:rPr>
          <w:rFonts w:ascii="Verdana" w:hAnsi="Verdana" w:eastAsia="华文细黑" w:cs="Calibri"/>
          <w:b/>
          <w:color w:val="000000"/>
        </w:rPr>
        <w:t>1.4小结</w:t>
      </w:r>
      <w:bookmarkEnd w:id="70"/>
    </w:p>
    <w:p>
      <w:pPr>
        <w:spacing w:before="120" w:after="120" w:line="360" w:lineRule="auto"/>
        <w:ind w:firstLine="480" w:firstLineChars="200"/>
        <w:jc w:val="both"/>
        <w:rPr>
          <w:rFonts w:ascii="Verdana" w:hAnsi="Verdana" w:eastAsia="华文细黑" w:cs="Calibri"/>
          <w:color w:val="000000"/>
        </w:rPr>
      </w:pPr>
      <w:r>
        <w:rPr>
          <w:rFonts w:ascii="Verdana" w:hAnsi="Verdana" w:eastAsia="华文细黑" w:cs="Calibri"/>
          <w:color w:val="000000"/>
        </w:rPr>
        <w:t>综上，在本期专项债券存续期内，我们未注意到相关项目资金出现不能满足还本付息要求的情况。</w:t>
      </w:r>
    </w:p>
    <w:p>
      <w:pPr>
        <w:spacing w:before="120" w:after="120" w:line="360" w:lineRule="auto"/>
        <w:ind w:firstLine="561" w:firstLineChars="200"/>
        <w:outlineLvl w:val="0"/>
        <w:rPr>
          <w:rFonts w:ascii="Verdana" w:hAnsi="Verdana" w:eastAsia="华文细黑" w:cs="Calibri"/>
          <w:b/>
          <w:sz w:val="28"/>
        </w:rPr>
      </w:pPr>
      <w:bookmarkStart w:id="71" w:name="_Toc135044150"/>
      <w:r>
        <w:rPr>
          <w:rFonts w:ascii="Verdana" w:hAnsi="Verdana" w:eastAsia="华文细黑" w:cs="Calibri"/>
          <w:b/>
          <w:sz w:val="28"/>
        </w:rPr>
        <w:t>2.资金稳定性</w:t>
      </w:r>
      <w:bookmarkEnd w:id="71"/>
    </w:p>
    <w:p>
      <w:pPr>
        <w:spacing w:before="120" w:after="120" w:line="360" w:lineRule="auto"/>
        <w:ind w:firstLine="480" w:firstLineChars="200"/>
        <w:jc w:val="both"/>
        <w:rPr>
          <w:rFonts w:ascii="Verdana" w:hAnsi="Verdana" w:eastAsia="华文细黑" w:cs="Calibri"/>
          <w:lang w:val="en-GB"/>
        </w:rPr>
      </w:pPr>
      <w:r>
        <w:drawing>
          <wp:anchor distT="0" distB="0" distL="114300" distR="114300" simplePos="0" relativeHeight="251660288" behindDoc="1" locked="0" layoutInCell="1" allowOverlap="1">
            <wp:simplePos x="0" y="0"/>
            <wp:positionH relativeFrom="column">
              <wp:posOffset>289560</wp:posOffset>
            </wp:positionH>
            <wp:positionV relativeFrom="paragraph">
              <wp:posOffset>1731010</wp:posOffset>
            </wp:positionV>
            <wp:extent cx="4919980" cy="2797175"/>
            <wp:effectExtent l="4445" t="4445" r="9525" b="17780"/>
            <wp:wrapTight wrapText="bothSides">
              <wp:wrapPolygon>
                <wp:start x="-20" y="-34"/>
                <wp:lineTo x="-20" y="21443"/>
                <wp:lineTo x="21558" y="21443"/>
                <wp:lineTo x="21558" y="-34"/>
                <wp:lineTo x="-20" y="-34"/>
              </wp:wrapPolygon>
            </wp:wrapTight>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Pr>
          <w:rFonts w:ascii="Verdana" w:hAnsi="Verdana" w:eastAsia="华文细黑" w:cs="Calibri"/>
          <w:lang w:val="en-GB"/>
        </w:rPr>
        <w:t>本项目专项债券还本付息以</w:t>
      </w:r>
      <w:r>
        <w:rPr>
          <w:rFonts w:hint="eastAsia" w:ascii="Verdana" w:hAnsi="Verdana" w:eastAsia="华文细黑" w:cs="Calibri"/>
          <w:lang w:val="en-GB"/>
        </w:rPr>
        <w:t>供水</w:t>
      </w:r>
      <w:r>
        <w:rPr>
          <w:rFonts w:ascii="Verdana" w:hAnsi="Verdana" w:eastAsia="华文细黑" w:cs="Calibri"/>
          <w:lang w:val="en-GB"/>
        </w:rPr>
        <w:t>收入为基础，债券存续期（2023-2028年）内各年现金净流量，可覆盖债券存续期间各年利息及到期偿还本金的支出需求；且项目专项债券到期时，在偿还当年到期的债券本息后，仍有116.50万元的累计现金结余，本息覆盖率1.21</w:t>
      </w:r>
      <w:r>
        <w:rPr>
          <w:rStyle w:val="13"/>
          <w:rFonts w:ascii="Verdana" w:hAnsi="Verdana" w:eastAsia="华文细黑" w:cs="Calibri"/>
          <w:lang w:val="en-GB"/>
        </w:rPr>
        <w:footnoteReference w:id="3"/>
      </w:r>
      <w:r>
        <w:rPr>
          <w:rFonts w:ascii="Verdana" w:hAnsi="Verdana" w:eastAsia="华文细黑" w:cs="Calibri"/>
          <w:lang w:val="en-GB"/>
        </w:rPr>
        <w:t>。因此，本项目资金稳定性较可靠。项目债券存续期内资金留存情况如图1所示。</w:t>
      </w:r>
    </w:p>
    <w:p>
      <w:pPr>
        <w:spacing w:before="120" w:after="120" w:line="360" w:lineRule="auto"/>
        <w:ind w:firstLine="454"/>
        <w:jc w:val="center"/>
        <w:rPr>
          <w:rFonts w:ascii="Verdana" w:hAnsi="Verdana" w:eastAsia="华文细黑" w:cs="Calibri"/>
          <w:b/>
        </w:rPr>
      </w:pPr>
      <w:r>
        <w:rPr>
          <w:rFonts w:ascii="Verdana" w:hAnsi="Verdana" w:eastAsia="华文细黑" w:cs="Calibri"/>
          <w:b/>
        </w:rPr>
        <w:t>图1债券存续期内项目资金留存情况</w:t>
      </w:r>
    </w:p>
    <w:p>
      <w:pPr>
        <w:spacing w:before="120" w:after="120" w:line="360" w:lineRule="auto"/>
        <w:ind w:firstLine="454"/>
        <w:jc w:val="both"/>
        <w:rPr>
          <w:rFonts w:ascii="Verdana" w:hAnsi="Verdana" w:eastAsia="华文细黑" w:cs="Calibri"/>
          <w:lang w:val="en-GB"/>
        </w:rPr>
      </w:pPr>
      <w:r>
        <w:rPr>
          <w:rFonts w:ascii="Verdana" w:hAnsi="Verdana" w:eastAsia="华文细黑" w:cs="Calibri"/>
          <w:lang w:val="en-GB"/>
        </w:rPr>
        <w:t>综上，针对本项目在本期专项债券存续期内还本付息资金的测算，我们未注意到可能对本项目资金稳定性产生重大影响的情况。</w:t>
      </w:r>
    </w:p>
    <w:p>
      <w:pPr>
        <w:spacing w:before="120" w:after="120" w:line="360" w:lineRule="auto"/>
        <w:ind w:firstLine="641" w:firstLineChars="200"/>
        <w:jc w:val="both"/>
        <w:outlineLvl w:val="0"/>
        <w:rPr>
          <w:rFonts w:ascii="Verdana" w:hAnsi="Verdana" w:eastAsia="华文细黑" w:cs="Calibri"/>
          <w:b/>
          <w:sz w:val="32"/>
          <w:szCs w:val="32"/>
        </w:rPr>
      </w:pPr>
      <w:bookmarkStart w:id="72" w:name="_Toc135044151"/>
      <w:r>
        <w:rPr>
          <w:rFonts w:ascii="Verdana" w:hAnsi="Verdana" w:eastAsia="华文细黑" w:cs="Calibri"/>
          <w:b/>
          <w:sz w:val="32"/>
          <w:szCs w:val="32"/>
        </w:rPr>
        <w:t>四、风险分析</w:t>
      </w:r>
      <w:bookmarkEnd w:id="72"/>
    </w:p>
    <w:p>
      <w:pPr>
        <w:spacing w:before="120" w:after="120" w:line="360" w:lineRule="auto"/>
        <w:ind w:firstLine="454"/>
        <w:jc w:val="both"/>
        <w:rPr>
          <w:rFonts w:ascii="Verdana" w:hAnsi="Verdana" w:eastAsia="华文细黑" w:cs="Calibri"/>
          <w:b/>
          <w:color w:val="000000"/>
          <w:szCs w:val="20"/>
        </w:rPr>
      </w:pPr>
      <w:r>
        <w:rPr>
          <w:rFonts w:ascii="Verdana" w:hAnsi="Verdana" w:eastAsia="华文细黑" w:cs="Calibri"/>
          <w:lang w:val="en-GB"/>
        </w:rPr>
        <w:t>根据本项目收益与融资平衡的压力测试结果，当项目的运营收益在±15%范围内变动的情况下，项目的债券本息覆盖率仍然＞1；当项目的利率在±15%范围内变动的情况下，项目的债券本息覆盖率仍然＞1。因此，本项目的项目收益对债券还本付息保障性较高，项目可通过压力测试，还本付息资金具有一定的稳定性与风险抵抗能力。项目的压力测试情况详见下表</w:t>
      </w:r>
      <w:r>
        <w:rPr>
          <w:rFonts w:hint="eastAsia" w:ascii="Verdana" w:hAnsi="Verdana" w:eastAsia="华文细黑" w:cs="Calibri"/>
        </w:rPr>
        <w:t>7</w:t>
      </w:r>
      <w:r>
        <w:rPr>
          <w:rFonts w:ascii="Verdana" w:hAnsi="Verdana" w:eastAsia="华文细黑" w:cs="Calibri"/>
          <w:lang w:val="en-GB"/>
        </w:rPr>
        <w:t>：</w:t>
      </w:r>
    </w:p>
    <w:p>
      <w:pPr>
        <w:adjustRightInd w:val="0"/>
        <w:snapToGrid w:val="0"/>
        <w:spacing w:before="240" w:line="360" w:lineRule="auto"/>
        <w:ind w:firstLine="480" w:firstLineChars="200"/>
        <w:jc w:val="center"/>
        <w:rPr>
          <w:rFonts w:ascii="Verdana" w:hAnsi="Verdana" w:eastAsia="华文细黑" w:cs="Calibri"/>
          <w:b/>
          <w:kern w:val="2"/>
        </w:rPr>
      </w:pPr>
      <w:r>
        <w:rPr>
          <w:rFonts w:ascii="Verdana" w:hAnsi="Verdana" w:eastAsia="华文细黑" w:cs="Calibri"/>
          <w:b/>
          <w:color w:val="000000"/>
          <w:szCs w:val="20"/>
        </w:rPr>
        <w:t>表</w:t>
      </w:r>
      <w:r>
        <w:rPr>
          <w:rFonts w:hint="eastAsia" w:ascii="Verdana" w:hAnsi="Verdana" w:eastAsia="华文细黑" w:cs="Calibri"/>
          <w:b/>
          <w:color w:val="000000"/>
          <w:szCs w:val="20"/>
        </w:rPr>
        <w:t>7</w:t>
      </w:r>
      <w:r>
        <w:rPr>
          <w:rFonts w:ascii="Verdana" w:hAnsi="Verdana" w:eastAsia="华文细黑" w:cs="Calibri"/>
          <w:b/>
          <w:kern w:val="2"/>
        </w:rPr>
        <w:t>项目压力测试表</w:t>
      </w:r>
    </w:p>
    <w:tbl>
      <w:tblPr>
        <w:tblStyle w:val="9"/>
        <w:tblW w:w="8630" w:type="dxa"/>
        <w:jc w:val="center"/>
        <w:tblInd w:w="0" w:type="dxa"/>
        <w:tblLayout w:type="fixed"/>
        <w:tblCellMar>
          <w:top w:w="0" w:type="dxa"/>
          <w:left w:w="108" w:type="dxa"/>
          <w:bottom w:w="0" w:type="dxa"/>
          <w:right w:w="108" w:type="dxa"/>
        </w:tblCellMar>
      </w:tblPr>
      <w:tblGrid>
        <w:gridCol w:w="3010"/>
        <w:gridCol w:w="910"/>
        <w:gridCol w:w="908"/>
        <w:gridCol w:w="758"/>
        <w:gridCol w:w="716"/>
        <w:gridCol w:w="716"/>
        <w:gridCol w:w="806"/>
        <w:gridCol w:w="806"/>
      </w:tblGrid>
      <w:tr>
        <w:tblPrEx>
          <w:tblLayout w:type="fixed"/>
          <w:tblCellMar>
            <w:top w:w="0" w:type="dxa"/>
            <w:left w:w="108" w:type="dxa"/>
            <w:bottom w:w="0" w:type="dxa"/>
            <w:right w:w="108" w:type="dxa"/>
          </w:tblCellMar>
        </w:tblPrEx>
        <w:trPr>
          <w:trHeight w:val="264" w:hRule="atLeast"/>
          <w:jc w:val="center"/>
        </w:trPr>
        <w:tc>
          <w:tcPr>
            <w:tcW w:w="3010" w:type="dxa"/>
            <w:tcBorders>
              <w:top w:val="single" w:color="auto" w:sz="4" w:space="0"/>
              <w:left w:val="single" w:color="auto" w:sz="4" w:space="0"/>
              <w:bottom w:val="single" w:color="auto" w:sz="4" w:space="0"/>
              <w:right w:val="single" w:color="auto" w:sz="4" w:space="0"/>
            </w:tcBorders>
            <w:shd w:val="clear" w:color="000000" w:fill="0070C0"/>
            <w:noWrap/>
            <w:vAlign w:val="center"/>
          </w:tcPr>
          <w:p>
            <w:pPr>
              <w:jc w:val="center"/>
              <w:rPr>
                <w:rFonts w:ascii="Verdana" w:hAnsi="Verdana" w:eastAsia="华文细黑" w:cs="Arial"/>
                <w:b/>
                <w:bCs/>
                <w:color w:val="FFFFFF"/>
                <w:sz w:val="20"/>
                <w:szCs w:val="20"/>
              </w:rPr>
            </w:pPr>
            <w:r>
              <w:rPr>
                <w:rFonts w:ascii="Verdana" w:hAnsi="Verdana" w:eastAsia="华文细黑" w:cs="Arial"/>
                <w:b/>
                <w:bCs/>
                <w:color w:val="FFFFFF"/>
                <w:sz w:val="20"/>
                <w:szCs w:val="20"/>
              </w:rPr>
              <w:t>资金覆盖率 - 压力测试</w:t>
            </w:r>
          </w:p>
          <w:p>
            <w:pPr>
              <w:jc w:val="center"/>
              <w:rPr>
                <w:rFonts w:ascii="Verdana" w:hAnsi="Verdana" w:eastAsia="华文细黑" w:cs="Arial"/>
                <w:b/>
                <w:bCs/>
                <w:color w:val="FFFFFF"/>
                <w:sz w:val="20"/>
                <w:szCs w:val="20"/>
              </w:rPr>
            </w:pPr>
            <w:r>
              <w:rPr>
                <w:rFonts w:ascii="Verdana" w:hAnsi="Verdana" w:eastAsia="华文细黑" w:cs="Arial"/>
                <w:b/>
                <w:bCs/>
                <w:color w:val="FFFFFF"/>
                <w:sz w:val="20"/>
                <w:szCs w:val="20"/>
              </w:rPr>
              <w:t>（单因素敏感性分析）</w:t>
            </w:r>
          </w:p>
        </w:tc>
        <w:tc>
          <w:tcPr>
            <w:tcW w:w="910" w:type="dxa"/>
            <w:tcBorders>
              <w:top w:val="single" w:color="auto" w:sz="4" w:space="0"/>
              <w:left w:val="nil"/>
              <w:bottom w:val="single" w:color="auto" w:sz="4" w:space="0"/>
              <w:right w:val="single" w:color="auto" w:sz="4" w:space="0"/>
            </w:tcBorders>
            <w:shd w:val="clear" w:color="000000" w:fill="0070C0"/>
            <w:noWrap/>
            <w:vAlign w:val="center"/>
          </w:tcPr>
          <w:p>
            <w:pPr>
              <w:jc w:val="center"/>
              <w:rPr>
                <w:rFonts w:ascii="Verdana" w:hAnsi="Verdana" w:eastAsia="华文细黑" w:cs="Arial"/>
                <w:b/>
                <w:bCs/>
                <w:color w:val="FFFFFF"/>
                <w:sz w:val="20"/>
                <w:szCs w:val="20"/>
              </w:rPr>
            </w:pPr>
            <w:r>
              <w:rPr>
                <w:rFonts w:ascii="Verdana" w:hAnsi="Verdana" w:eastAsia="华文细黑" w:cs="Arial"/>
                <w:b/>
                <w:bCs/>
                <w:color w:val="FFFFFF"/>
                <w:sz w:val="20"/>
                <w:szCs w:val="20"/>
              </w:rPr>
              <w:t>-15%</w:t>
            </w:r>
          </w:p>
        </w:tc>
        <w:tc>
          <w:tcPr>
            <w:tcW w:w="908" w:type="dxa"/>
            <w:tcBorders>
              <w:top w:val="single" w:color="auto" w:sz="4" w:space="0"/>
              <w:left w:val="nil"/>
              <w:bottom w:val="single" w:color="auto" w:sz="4" w:space="0"/>
              <w:right w:val="single" w:color="auto" w:sz="4" w:space="0"/>
            </w:tcBorders>
            <w:shd w:val="clear" w:color="000000" w:fill="0070C0"/>
            <w:noWrap/>
            <w:vAlign w:val="center"/>
          </w:tcPr>
          <w:p>
            <w:pPr>
              <w:jc w:val="center"/>
              <w:rPr>
                <w:rFonts w:ascii="Verdana" w:hAnsi="Verdana" w:eastAsia="华文细黑" w:cs="Arial"/>
                <w:b/>
                <w:bCs/>
                <w:color w:val="FFFFFF"/>
                <w:sz w:val="20"/>
                <w:szCs w:val="20"/>
              </w:rPr>
            </w:pPr>
            <w:r>
              <w:rPr>
                <w:rFonts w:ascii="Verdana" w:hAnsi="Verdana" w:eastAsia="华文细黑" w:cs="Arial"/>
                <w:b/>
                <w:bCs/>
                <w:color w:val="FFFFFF"/>
                <w:sz w:val="20"/>
                <w:szCs w:val="20"/>
              </w:rPr>
              <w:t>-10%</w:t>
            </w:r>
          </w:p>
        </w:tc>
        <w:tc>
          <w:tcPr>
            <w:tcW w:w="758" w:type="dxa"/>
            <w:tcBorders>
              <w:top w:val="single" w:color="auto" w:sz="4" w:space="0"/>
              <w:left w:val="nil"/>
              <w:bottom w:val="single" w:color="auto" w:sz="4" w:space="0"/>
              <w:right w:val="single" w:color="auto" w:sz="4" w:space="0"/>
            </w:tcBorders>
            <w:shd w:val="clear" w:color="000000" w:fill="0070C0"/>
            <w:noWrap/>
            <w:vAlign w:val="center"/>
          </w:tcPr>
          <w:p>
            <w:pPr>
              <w:jc w:val="center"/>
              <w:rPr>
                <w:rFonts w:ascii="Verdana" w:hAnsi="Verdana" w:eastAsia="华文细黑" w:cs="Arial"/>
                <w:b/>
                <w:bCs/>
                <w:color w:val="FFFFFF"/>
                <w:sz w:val="20"/>
                <w:szCs w:val="20"/>
              </w:rPr>
            </w:pPr>
            <w:r>
              <w:rPr>
                <w:rFonts w:ascii="Verdana" w:hAnsi="Verdana" w:eastAsia="华文细黑" w:cs="Arial"/>
                <w:b/>
                <w:bCs/>
                <w:color w:val="FFFFFF"/>
                <w:sz w:val="20"/>
                <w:szCs w:val="20"/>
              </w:rPr>
              <w:t>-5%</w:t>
            </w:r>
          </w:p>
        </w:tc>
        <w:tc>
          <w:tcPr>
            <w:tcW w:w="716" w:type="dxa"/>
            <w:tcBorders>
              <w:top w:val="single" w:color="auto" w:sz="4" w:space="0"/>
              <w:left w:val="nil"/>
              <w:bottom w:val="single" w:color="auto" w:sz="4" w:space="0"/>
              <w:right w:val="single" w:color="auto" w:sz="4" w:space="0"/>
            </w:tcBorders>
            <w:shd w:val="clear" w:color="000000" w:fill="0070C0"/>
            <w:noWrap/>
            <w:vAlign w:val="center"/>
          </w:tcPr>
          <w:p>
            <w:pPr>
              <w:jc w:val="center"/>
              <w:rPr>
                <w:rFonts w:ascii="Verdana" w:hAnsi="Verdana" w:eastAsia="华文细黑" w:cs="Arial"/>
                <w:b/>
                <w:bCs/>
                <w:color w:val="FFFFFF"/>
                <w:sz w:val="20"/>
                <w:szCs w:val="20"/>
              </w:rPr>
            </w:pPr>
            <w:r>
              <w:rPr>
                <w:rFonts w:ascii="Verdana" w:hAnsi="Verdana" w:eastAsia="华文细黑" w:cs="Arial"/>
                <w:b/>
                <w:bCs/>
                <w:color w:val="FFFFFF"/>
                <w:sz w:val="20"/>
                <w:szCs w:val="20"/>
              </w:rPr>
              <w:t>0%</w:t>
            </w:r>
          </w:p>
        </w:tc>
        <w:tc>
          <w:tcPr>
            <w:tcW w:w="716" w:type="dxa"/>
            <w:tcBorders>
              <w:top w:val="single" w:color="auto" w:sz="4" w:space="0"/>
              <w:left w:val="nil"/>
              <w:bottom w:val="single" w:color="auto" w:sz="4" w:space="0"/>
              <w:right w:val="single" w:color="auto" w:sz="4" w:space="0"/>
            </w:tcBorders>
            <w:shd w:val="clear" w:color="000000" w:fill="0070C0"/>
            <w:noWrap/>
            <w:vAlign w:val="center"/>
          </w:tcPr>
          <w:p>
            <w:pPr>
              <w:jc w:val="center"/>
              <w:rPr>
                <w:rFonts w:ascii="Verdana" w:hAnsi="Verdana" w:eastAsia="华文细黑" w:cs="Arial"/>
                <w:b/>
                <w:bCs/>
                <w:color w:val="FFFFFF"/>
                <w:sz w:val="20"/>
                <w:szCs w:val="20"/>
              </w:rPr>
            </w:pPr>
            <w:r>
              <w:rPr>
                <w:rFonts w:ascii="Verdana" w:hAnsi="Verdana" w:eastAsia="华文细黑" w:cs="Arial"/>
                <w:b/>
                <w:bCs/>
                <w:color w:val="FFFFFF"/>
                <w:sz w:val="20"/>
                <w:szCs w:val="20"/>
              </w:rPr>
              <w:t>5%</w:t>
            </w:r>
          </w:p>
        </w:tc>
        <w:tc>
          <w:tcPr>
            <w:tcW w:w="806" w:type="dxa"/>
            <w:tcBorders>
              <w:top w:val="single" w:color="auto" w:sz="4" w:space="0"/>
              <w:left w:val="nil"/>
              <w:bottom w:val="single" w:color="auto" w:sz="4" w:space="0"/>
              <w:right w:val="single" w:color="auto" w:sz="4" w:space="0"/>
            </w:tcBorders>
            <w:shd w:val="clear" w:color="000000" w:fill="0070C0"/>
            <w:noWrap/>
            <w:vAlign w:val="center"/>
          </w:tcPr>
          <w:p>
            <w:pPr>
              <w:jc w:val="center"/>
              <w:rPr>
                <w:rFonts w:ascii="Verdana" w:hAnsi="Verdana" w:eastAsia="华文细黑" w:cs="Arial"/>
                <w:b/>
                <w:bCs/>
                <w:color w:val="FFFFFF"/>
                <w:sz w:val="20"/>
                <w:szCs w:val="20"/>
              </w:rPr>
            </w:pPr>
            <w:r>
              <w:rPr>
                <w:rFonts w:ascii="Verdana" w:hAnsi="Verdana" w:eastAsia="华文细黑" w:cs="Arial"/>
                <w:b/>
                <w:bCs/>
                <w:color w:val="FFFFFF"/>
                <w:sz w:val="20"/>
                <w:szCs w:val="20"/>
              </w:rPr>
              <w:t>10%</w:t>
            </w:r>
          </w:p>
        </w:tc>
        <w:tc>
          <w:tcPr>
            <w:tcW w:w="806" w:type="dxa"/>
            <w:tcBorders>
              <w:top w:val="single" w:color="auto" w:sz="4" w:space="0"/>
              <w:left w:val="nil"/>
              <w:bottom w:val="single" w:color="auto" w:sz="4" w:space="0"/>
              <w:right w:val="single" w:color="auto" w:sz="4" w:space="0"/>
            </w:tcBorders>
            <w:shd w:val="clear" w:color="000000" w:fill="0070C0"/>
            <w:noWrap/>
            <w:vAlign w:val="center"/>
          </w:tcPr>
          <w:p>
            <w:pPr>
              <w:jc w:val="center"/>
              <w:rPr>
                <w:rFonts w:ascii="Verdana" w:hAnsi="Verdana" w:eastAsia="华文细黑" w:cs="Arial"/>
                <w:b/>
                <w:bCs/>
                <w:color w:val="FFFFFF"/>
                <w:sz w:val="20"/>
                <w:szCs w:val="20"/>
              </w:rPr>
            </w:pPr>
            <w:r>
              <w:rPr>
                <w:rFonts w:ascii="Verdana" w:hAnsi="Verdana" w:eastAsia="华文细黑" w:cs="Arial"/>
                <w:b/>
                <w:bCs/>
                <w:color w:val="FFFFFF"/>
                <w:sz w:val="20"/>
                <w:szCs w:val="20"/>
              </w:rPr>
              <w:t>15%</w:t>
            </w:r>
          </w:p>
        </w:tc>
      </w:tr>
      <w:tr>
        <w:tblPrEx>
          <w:tblLayout w:type="fixed"/>
          <w:tblCellMar>
            <w:top w:w="0" w:type="dxa"/>
            <w:left w:w="108" w:type="dxa"/>
            <w:bottom w:w="0" w:type="dxa"/>
            <w:right w:w="108" w:type="dxa"/>
          </w:tblCellMar>
        </w:tblPrEx>
        <w:trPr>
          <w:trHeight w:val="264" w:hRule="atLeast"/>
          <w:jc w:val="center"/>
        </w:trPr>
        <w:tc>
          <w:tcPr>
            <w:tcW w:w="3010" w:type="dxa"/>
            <w:tcBorders>
              <w:top w:val="nil"/>
              <w:left w:val="single" w:color="auto" w:sz="4" w:space="0"/>
              <w:bottom w:val="single" w:color="auto" w:sz="4" w:space="0"/>
              <w:right w:val="single" w:color="auto" w:sz="4" w:space="0"/>
            </w:tcBorders>
            <w:shd w:val="clear" w:color="000000" w:fill="D3DFEE"/>
            <w:noWrap/>
            <w:vAlign w:val="center"/>
          </w:tcPr>
          <w:p>
            <w:pPr>
              <w:jc w:val="both"/>
              <w:rPr>
                <w:rFonts w:ascii="Verdana" w:hAnsi="Verdana" w:eastAsia="华文细黑" w:cs="Arial"/>
                <w:b/>
                <w:bCs/>
                <w:color w:val="000000"/>
                <w:sz w:val="20"/>
                <w:szCs w:val="20"/>
              </w:rPr>
            </w:pPr>
            <w:r>
              <w:rPr>
                <w:rFonts w:ascii="Verdana" w:hAnsi="Verdana" w:eastAsia="华文细黑" w:cs="Arial"/>
                <w:b/>
                <w:bCs/>
                <w:color w:val="000000"/>
                <w:sz w:val="20"/>
                <w:szCs w:val="20"/>
              </w:rPr>
              <w:t>收入变动情况敏感性分析</w:t>
            </w:r>
          </w:p>
        </w:tc>
        <w:tc>
          <w:tcPr>
            <w:tcW w:w="910" w:type="dxa"/>
            <w:tcBorders>
              <w:top w:val="nil"/>
              <w:left w:val="nil"/>
              <w:bottom w:val="single" w:color="auto" w:sz="4" w:space="0"/>
              <w:right w:val="single" w:color="auto" w:sz="4" w:space="0"/>
            </w:tcBorders>
            <w:shd w:val="clear" w:color="000000" w:fill="D3DFEE"/>
            <w:noWrap/>
            <w:vAlign w:val="center"/>
          </w:tcPr>
          <w:p>
            <w:pPr>
              <w:jc w:val="right"/>
              <w:rPr>
                <w:rFonts w:ascii="Verdana" w:hAnsi="Verdana" w:eastAsia="华文细黑" w:cs="Arial"/>
                <w:b/>
                <w:bCs/>
                <w:color w:val="000000"/>
                <w:sz w:val="20"/>
                <w:szCs w:val="20"/>
              </w:rPr>
            </w:pPr>
          </w:p>
        </w:tc>
        <w:tc>
          <w:tcPr>
            <w:tcW w:w="908" w:type="dxa"/>
            <w:tcBorders>
              <w:top w:val="nil"/>
              <w:left w:val="nil"/>
              <w:bottom w:val="single" w:color="auto" w:sz="4" w:space="0"/>
              <w:right w:val="single" w:color="auto" w:sz="4" w:space="0"/>
            </w:tcBorders>
            <w:shd w:val="clear" w:color="000000" w:fill="D3DFEE"/>
            <w:noWrap/>
            <w:vAlign w:val="center"/>
          </w:tcPr>
          <w:p>
            <w:pPr>
              <w:jc w:val="right"/>
              <w:rPr>
                <w:rFonts w:ascii="Verdana" w:hAnsi="Verdana" w:eastAsia="华文细黑" w:cs="Arial"/>
                <w:b/>
                <w:bCs/>
                <w:color w:val="000000"/>
                <w:sz w:val="20"/>
                <w:szCs w:val="20"/>
              </w:rPr>
            </w:pPr>
          </w:p>
        </w:tc>
        <w:tc>
          <w:tcPr>
            <w:tcW w:w="758" w:type="dxa"/>
            <w:tcBorders>
              <w:top w:val="nil"/>
              <w:left w:val="nil"/>
              <w:bottom w:val="single" w:color="auto" w:sz="4" w:space="0"/>
              <w:right w:val="single" w:color="auto" w:sz="4" w:space="0"/>
            </w:tcBorders>
            <w:shd w:val="clear" w:color="000000" w:fill="D3DFEE"/>
            <w:noWrap/>
            <w:vAlign w:val="center"/>
          </w:tcPr>
          <w:p>
            <w:pPr>
              <w:jc w:val="right"/>
              <w:rPr>
                <w:rFonts w:ascii="Verdana" w:hAnsi="Verdana" w:eastAsia="华文细黑" w:cs="Arial"/>
                <w:b/>
                <w:bCs/>
                <w:color w:val="000000"/>
                <w:sz w:val="20"/>
                <w:szCs w:val="20"/>
              </w:rPr>
            </w:pPr>
          </w:p>
        </w:tc>
        <w:tc>
          <w:tcPr>
            <w:tcW w:w="716" w:type="dxa"/>
            <w:tcBorders>
              <w:top w:val="nil"/>
              <w:left w:val="nil"/>
              <w:bottom w:val="single" w:color="auto" w:sz="4" w:space="0"/>
              <w:right w:val="single" w:color="auto" w:sz="4" w:space="0"/>
            </w:tcBorders>
            <w:shd w:val="clear" w:color="000000" w:fill="D3DFEE"/>
            <w:noWrap/>
            <w:vAlign w:val="center"/>
          </w:tcPr>
          <w:p>
            <w:pPr>
              <w:jc w:val="right"/>
              <w:rPr>
                <w:rFonts w:ascii="Verdana" w:hAnsi="Verdana" w:eastAsia="华文细黑" w:cs="Arial"/>
                <w:b/>
                <w:bCs/>
                <w:color w:val="000000"/>
                <w:sz w:val="20"/>
                <w:szCs w:val="20"/>
              </w:rPr>
            </w:pPr>
          </w:p>
        </w:tc>
        <w:tc>
          <w:tcPr>
            <w:tcW w:w="716" w:type="dxa"/>
            <w:tcBorders>
              <w:top w:val="nil"/>
              <w:left w:val="nil"/>
              <w:bottom w:val="single" w:color="auto" w:sz="4" w:space="0"/>
              <w:right w:val="single" w:color="auto" w:sz="4" w:space="0"/>
            </w:tcBorders>
            <w:shd w:val="clear" w:color="000000" w:fill="D3DFEE"/>
            <w:noWrap/>
            <w:vAlign w:val="center"/>
          </w:tcPr>
          <w:p>
            <w:pPr>
              <w:jc w:val="right"/>
              <w:rPr>
                <w:rFonts w:ascii="Verdana" w:hAnsi="Verdana" w:eastAsia="华文细黑" w:cs="Arial"/>
                <w:b/>
                <w:bCs/>
                <w:color w:val="000000"/>
                <w:sz w:val="20"/>
                <w:szCs w:val="20"/>
              </w:rPr>
            </w:pPr>
          </w:p>
        </w:tc>
        <w:tc>
          <w:tcPr>
            <w:tcW w:w="806" w:type="dxa"/>
            <w:tcBorders>
              <w:top w:val="nil"/>
              <w:left w:val="nil"/>
              <w:bottom w:val="single" w:color="auto" w:sz="4" w:space="0"/>
              <w:right w:val="single" w:color="auto" w:sz="4" w:space="0"/>
            </w:tcBorders>
            <w:shd w:val="clear" w:color="000000" w:fill="D3DFEE"/>
            <w:noWrap/>
            <w:vAlign w:val="center"/>
          </w:tcPr>
          <w:p>
            <w:pPr>
              <w:jc w:val="right"/>
              <w:rPr>
                <w:rFonts w:ascii="Verdana" w:hAnsi="Verdana" w:eastAsia="华文细黑" w:cs="Arial"/>
                <w:b/>
                <w:bCs/>
                <w:color w:val="000000"/>
                <w:sz w:val="20"/>
                <w:szCs w:val="20"/>
              </w:rPr>
            </w:pPr>
          </w:p>
        </w:tc>
        <w:tc>
          <w:tcPr>
            <w:tcW w:w="806" w:type="dxa"/>
            <w:tcBorders>
              <w:top w:val="nil"/>
              <w:left w:val="nil"/>
              <w:bottom w:val="single" w:color="auto" w:sz="4" w:space="0"/>
              <w:right w:val="single" w:color="auto" w:sz="4" w:space="0"/>
            </w:tcBorders>
            <w:shd w:val="clear" w:color="000000" w:fill="D3DFEE"/>
            <w:noWrap/>
            <w:vAlign w:val="center"/>
          </w:tcPr>
          <w:p>
            <w:pPr>
              <w:jc w:val="right"/>
              <w:rPr>
                <w:rFonts w:ascii="Verdana" w:hAnsi="Verdana" w:eastAsia="华文细黑" w:cs="Arial"/>
                <w:b/>
                <w:bCs/>
                <w:color w:val="000000"/>
                <w:sz w:val="20"/>
                <w:szCs w:val="20"/>
              </w:rPr>
            </w:pPr>
          </w:p>
        </w:tc>
      </w:tr>
      <w:tr>
        <w:tblPrEx>
          <w:tblLayout w:type="fixed"/>
          <w:tblCellMar>
            <w:top w:w="0" w:type="dxa"/>
            <w:left w:w="108" w:type="dxa"/>
            <w:bottom w:w="0" w:type="dxa"/>
            <w:right w:w="108" w:type="dxa"/>
          </w:tblCellMar>
        </w:tblPrEx>
        <w:trPr>
          <w:trHeight w:val="264" w:hRule="atLeast"/>
          <w:jc w:val="center"/>
        </w:trPr>
        <w:tc>
          <w:tcPr>
            <w:tcW w:w="3010" w:type="dxa"/>
            <w:tcBorders>
              <w:top w:val="nil"/>
              <w:left w:val="single" w:color="auto" w:sz="4" w:space="0"/>
              <w:bottom w:val="single" w:color="auto" w:sz="4" w:space="0"/>
              <w:right w:val="single" w:color="auto" w:sz="4" w:space="0"/>
            </w:tcBorders>
            <w:shd w:val="clear" w:color="auto" w:fill="auto"/>
            <w:noWrap/>
            <w:vAlign w:val="center"/>
          </w:tcPr>
          <w:p>
            <w:pPr>
              <w:jc w:val="both"/>
              <w:rPr>
                <w:rFonts w:ascii="Verdana" w:hAnsi="Verdana" w:eastAsia="华文细黑" w:cs="Arial"/>
                <w:color w:val="000000"/>
                <w:sz w:val="20"/>
                <w:szCs w:val="20"/>
              </w:rPr>
            </w:pPr>
            <w:r>
              <w:rPr>
                <w:rFonts w:ascii="Verdana" w:hAnsi="Verdana" w:eastAsia="华文细黑" w:cs="Arial"/>
                <w:color w:val="000000"/>
                <w:sz w:val="20"/>
                <w:szCs w:val="20"/>
              </w:rPr>
              <w:t>债券本金资金覆盖率</w:t>
            </w:r>
          </w:p>
        </w:tc>
        <w:tc>
          <w:tcPr>
            <w:tcW w:w="910" w:type="dxa"/>
            <w:tcBorders>
              <w:top w:val="nil"/>
              <w:left w:val="nil"/>
              <w:bottom w:val="single" w:color="auto" w:sz="4" w:space="0"/>
              <w:right w:val="single" w:color="auto" w:sz="4" w:space="0"/>
            </w:tcBorders>
            <w:shd w:val="clear" w:color="auto" w:fill="auto"/>
            <w:noWrap/>
            <w:vAlign w:val="center"/>
          </w:tcPr>
          <w:p>
            <w:pPr>
              <w:jc w:val="center"/>
              <w:rPr>
                <w:rFonts w:eastAsia="华文细黑" w:cs="Arial" w:asciiTheme="minorHAnsi" w:hAnsiTheme="minorHAnsi"/>
                <w:color w:val="000000"/>
                <w:sz w:val="20"/>
                <w:szCs w:val="20"/>
              </w:rPr>
            </w:pPr>
            <w:r>
              <w:rPr>
                <w:rFonts w:eastAsia="等线" w:cs="Arial" w:asciiTheme="minorHAnsi" w:hAnsiTheme="minorHAnsi"/>
                <w:color w:val="000000"/>
                <w:sz w:val="20"/>
                <w:szCs w:val="20"/>
              </w:rPr>
              <w:t>1.03</w:t>
            </w:r>
          </w:p>
        </w:tc>
        <w:tc>
          <w:tcPr>
            <w:tcW w:w="908" w:type="dxa"/>
            <w:tcBorders>
              <w:top w:val="nil"/>
              <w:left w:val="nil"/>
              <w:bottom w:val="single" w:color="auto" w:sz="4" w:space="0"/>
              <w:right w:val="single" w:color="auto" w:sz="4" w:space="0"/>
            </w:tcBorders>
            <w:shd w:val="clear" w:color="auto" w:fill="auto"/>
            <w:noWrap/>
            <w:vAlign w:val="center"/>
          </w:tcPr>
          <w:p>
            <w:pPr>
              <w:jc w:val="center"/>
              <w:rPr>
                <w:rFonts w:eastAsia="华文细黑" w:cs="Arial" w:asciiTheme="minorHAnsi" w:hAnsiTheme="minorHAnsi"/>
                <w:color w:val="000000"/>
                <w:sz w:val="20"/>
                <w:szCs w:val="20"/>
              </w:rPr>
            </w:pPr>
            <w:r>
              <w:rPr>
                <w:rFonts w:eastAsia="等线" w:cs="Arial" w:asciiTheme="minorHAnsi" w:hAnsiTheme="minorHAnsi"/>
                <w:color w:val="000000"/>
                <w:sz w:val="20"/>
                <w:szCs w:val="20"/>
              </w:rPr>
              <w:t>1.10</w:t>
            </w:r>
          </w:p>
        </w:tc>
        <w:tc>
          <w:tcPr>
            <w:tcW w:w="758" w:type="dxa"/>
            <w:tcBorders>
              <w:top w:val="nil"/>
              <w:left w:val="nil"/>
              <w:bottom w:val="single" w:color="auto" w:sz="4" w:space="0"/>
              <w:right w:val="single" w:color="auto" w:sz="4" w:space="0"/>
            </w:tcBorders>
            <w:shd w:val="clear" w:color="auto" w:fill="auto"/>
            <w:noWrap/>
            <w:vAlign w:val="center"/>
          </w:tcPr>
          <w:p>
            <w:pPr>
              <w:jc w:val="center"/>
              <w:rPr>
                <w:rFonts w:eastAsia="华文细黑" w:cs="Arial" w:asciiTheme="minorHAnsi" w:hAnsiTheme="minorHAnsi"/>
                <w:color w:val="000000"/>
                <w:sz w:val="20"/>
                <w:szCs w:val="20"/>
              </w:rPr>
            </w:pPr>
            <w:r>
              <w:rPr>
                <w:rFonts w:eastAsia="等线" w:cs="Arial" w:asciiTheme="minorHAnsi" w:hAnsiTheme="minorHAnsi"/>
                <w:color w:val="000000"/>
                <w:sz w:val="20"/>
                <w:szCs w:val="20"/>
              </w:rPr>
              <w:t>1.16</w:t>
            </w:r>
          </w:p>
        </w:tc>
        <w:tc>
          <w:tcPr>
            <w:tcW w:w="716" w:type="dxa"/>
            <w:tcBorders>
              <w:top w:val="nil"/>
              <w:left w:val="nil"/>
              <w:bottom w:val="single" w:color="auto" w:sz="4" w:space="0"/>
              <w:right w:val="single" w:color="auto" w:sz="4" w:space="0"/>
            </w:tcBorders>
            <w:shd w:val="clear" w:color="auto" w:fill="auto"/>
            <w:noWrap/>
            <w:vAlign w:val="center"/>
          </w:tcPr>
          <w:p>
            <w:pPr>
              <w:jc w:val="center"/>
              <w:rPr>
                <w:rFonts w:eastAsia="华文细黑" w:cs="Arial" w:asciiTheme="minorHAnsi" w:hAnsiTheme="minorHAnsi"/>
                <w:color w:val="000000"/>
                <w:sz w:val="20"/>
                <w:szCs w:val="20"/>
              </w:rPr>
            </w:pPr>
            <w:r>
              <w:rPr>
                <w:rFonts w:eastAsia="等线" w:cs="Arial" w:asciiTheme="minorHAnsi" w:hAnsiTheme="minorHAnsi"/>
                <w:color w:val="000000"/>
                <w:sz w:val="20"/>
                <w:szCs w:val="20"/>
              </w:rPr>
              <w:t>1.23</w:t>
            </w:r>
          </w:p>
        </w:tc>
        <w:tc>
          <w:tcPr>
            <w:tcW w:w="716" w:type="dxa"/>
            <w:tcBorders>
              <w:top w:val="nil"/>
              <w:left w:val="nil"/>
              <w:bottom w:val="single" w:color="auto" w:sz="4" w:space="0"/>
              <w:right w:val="single" w:color="auto" w:sz="4" w:space="0"/>
            </w:tcBorders>
            <w:shd w:val="clear" w:color="auto" w:fill="auto"/>
            <w:noWrap/>
            <w:vAlign w:val="center"/>
          </w:tcPr>
          <w:p>
            <w:pPr>
              <w:jc w:val="center"/>
              <w:rPr>
                <w:rFonts w:eastAsia="华文细黑" w:cs="Arial" w:asciiTheme="minorHAnsi" w:hAnsiTheme="minorHAnsi"/>
                <w:color w:val="000000"/>
                <w:sz w:val="20"/>
                <w:szCs w:val="20"/>
              </w:rPr>
            </w:pPr>
            <w:r>
              <w:rPr>
                <w:rFonts w:eastAsia="等线" w:cs="Arial" w:asciiTheme="minorHAnsi" w:hAnsiTheme="minorHAnsi"/>
                <w:color w:val="000000"/>
                <w:sz w:val="20"/>
                <w:szCs w:val="20"/>
              </w:rPr>
              <w:t>1.30</w:t>
            </w:r>
          </w:p>
        </w:tc>
        <w:tc>
          <w:tcPr>
            <w:tcW w:w="806" w:type="dxa"/>
            <w:tcBorders>
              <w:top w:val="nil"/>
              <w:left w:val="nil"/>
              <w:bottom w:val="single" w:color="auto" w:sz="4" w:space="0"/>
              <w:right w:val="single" w:color="auto" w:sz="4" w:space="0"/>
            </w:tcBorders>
            <w:shd w:val="clear" w:color="auto" w:fill="auto"/>
            <w:noWrap/>
            <w:vAlign w:val="center"/>
          </w:tcPr>
          <w:p>
            <w:pPr>
              <w:jc w:val="center"/>
              <w:rPr>
                <w:rFonts w:eastAsia="华文细黑" w:cs="Arial" w:asciiTheme="minorHAnsi" w:hAnsiTheme="minorHAnsi"/>
                <w:color w:val="000000"/>
                <w:sz w:val="20"/>
                <w:szCs w:val="20"/>
              </w:rPr>
            </w:pPr>
            <w:r>
              <w:rPr>
                <w:rFonts w:eastAsia="等线" w:cs="Arial" w:asciiTheme="minorHAnsi" w:hAnsiTheme="minorHAnsi"/>
                <w:color w:val="000000"/>
                <w:sz w:val="20"/>
                <w:szCs w:val="20"/>
              </w:rPr>
              <w:t>1.37</w:t>
            </w:r>
          </w:p>
        </w:tc>
        <w:tc>
          <w:tcPr>
            <w:tcW w:w="806" w:type="dxa"/>
            <w:tcBorders>
              <w:top w:val="nil"/>
              <w:left w:val="nil"/>
              <w:bottom w:val="single" w:color="auto" w:sz="4" w:space="0"/>
              <w:right w:val="single" w:color="auto" w:sz="4" w:space="0"/>
            </w:tcBorders>
            <w:shd w:val="clear" w:color="auto" w:fill="auto"/>
            <w:noWrap/>
            <w:vAlign w:val="center"/>
          </w:tcPr>
          <w:p>
            <w:pPr>
              <w:jc w:val="center"/>
              <w:rPr>
                <w:rFonts w:eastAsia="华文细黑" w:cs="Arial" w:asciiTheme="minorHAnsi" w:hAnsiTheme="minorHAnsi"/>
                <w:color w:val="000000"/>
                <w:sz w:val="20"/>
                <w:szCs w:val="20"/>
              </w:rPr>
            </w:pPr>
            <w:r>
              <w:rPr>
                <w:rFonts w:eastAsia="等线" w:cs="Arial" w:asciiTheme="minorHAnsi" w:hAnsiTheme="minorHAnsi"/>
                <w:color w:val="000000"/>
                <w:sz w:val="20"/>
                <w:szCs w:val="20"/>
              </w:rPr>
              <w:t>1.44</w:t>
            </w:r>
          </w:p>
        </w:tc>
      </w:tr>
      <w:tr>
        <w:tblPrEx>
          <w:tblLayout w:type="fixed"/>
          <w:tblCellMar>
            <w:top w:w="0" w:type="dxa"/>
            <w:left w:w="108" w:type="dxa"/>
            <w:bottom w:w="0" w:type="dxa"/>
            <w:right w:w="108" w:type="dxa"/>
          </w:tblCellMar>
        </w:tblPrEx>
        <w:trPr>
          <w:trHeight w:val="264" w:hRule="atLeast"/>
          <w:jc w:val="center"/>
        </w:trPr>
        <w:tc>
          <w:tcPr>
            <w:tcW w:w="3010" w:type="dxa"/>
            <w:tcBorders>
              <w:top w:val="nil"/>
              <w:left w:val="single" w:color="auto" w:sz="4" w:space="0"/>
              <w:bottom w:val="single" w:color="auto" w:sz="4" w:space="0"/>
              <w:right w:val="single" w:color="auto" w:sz="4" w:space="0"/>
            </w:tcBorders>
            <w:shd w:val="clear" w:color="auto" w:fill="auto"/>
            <w:noWrap/>
            <w:vAlign w:val="center"/>
          </w:tcPr>
          <w:p>
            <w:pPr>
              <w:jc w:val="both"/>
              <w:rPr>
                <w:rFonts w:ascii="Verdana" w:hAnsi="Verdana" w:eastAsia="华文细黑" w:cs="Arial"/>
                <w:color w:val="000000"/>
                <w:sz w:val="20"/>
                <w:szCs w:val="20"/>
              </w:rPr>
            </w:pPr>
            <w:r>
              <w:rPr>
                <w:rFonts w:ascii="Verdana" w:hAnsi="Verdana" w:eastAsia="华文细黑" w:cs="Arial"/>
                <w:color w:val="000000"/>
                <w:sz w:val="20"/>
                <w:szCs w:val="20"/>
              </w:rPr>
              <w:t>债券本息资金覆盖率</w:t>
            </w:r>
          </w:p>
        </w:tc>
        <w:tc>
          <w:tcPr>
            <w:tcW w:w="910" w:type="dxa"/>
            <w:tcBorders>
              <w:top w:val="nil"/>
              <w:left w:val="nil"/>
              <w:bottom w:val="single" w:color="auto" w:sz="4" w:space="0"/>
              <w:right w:val="single" w:color="auto" w:sz="4" w:space="0"/>
            </w:tcBorders>
            <w:shd w:val="clear" w:color="auto" w:fill="auto"/>
            <w:noWrap/>
            <w:vAlign w:val="center"/>
          </w:tcPr>
          <w:p>
            <w:pPr>
              <w:jc w:val="center"/>
              <w:rPr>
                <w:rFonts w:eastAsia="华文细黑" w:cs="Arial" w:asciiTheme="minorHAnsi" w:hAnsiTheme="minorHAnsi"/>
                <w:color w:val="000000"/>
                <w:sz w:val="20"/>
                <w:szCs w:val="20"/>
              </w:rPr>
            </w:pPr>
            <w:r>
              <w:rPr>
                <w:rFonts w:eastAsia="等线" w:cs="Arial" w:asciiTheme="minorHAnsi" w:hAnsiTheme="minorHAnsi"/>
                <w:color w:val="000000"/>
                <w:sz w:val="20"/>
                <w:szCs w:val="20"/>
              </w:rPr>
              <w:t>1.02</w:t>
            </w:r>
          </w:p>
        </w:tc>
        <w:tc>
          <w:tcPr>
            <w:tcW w:w="908" w:type="dxa"/>
            <w:tcBorders>
              <w:top w:val="nil"/>
              <w:left w:val="nil"/>
              <w:bottom w:val="single" w:color="auto" w:sz="4" w:space="0"/>
              <w:right w:val="single" w:color="auto" w:sz="4" w:space="0"/>
            </w:tcBorders>
            <w:shd w:val="clear" w:color="auto" w:fill="auto"/>
            <w:noWrap/>
            <w:vAlign w:val="center"/>
          </w:tcPr>
          <w:p>
            <w:pPr>
              <w:jc w:val="center"/>
              <w:rPr>
                <w:rFonts w:eastAsia="华文细黑" w:cs="Arial" w:asciiTheme="minorHAnsi" w:hAnsiTheme="minorHAnsi"/>
                <w:color w:val="000000"/>
                <w:sz w:val="20"/>
                <w:szCs w:val="20"/>
              </w:rPr>
            </w:pPr>
            <w:r>
              <w:rPr>
                <w:rFonts w:eastAsia="等线" w:cs="Arial" w:asciiTheme="minorHAnsi" w:hAnsiTheme="minorHAnsi"/>
                <w:color w:val="000000"/>
                <w:sz w:val="20"/>
                <w:szCs w:val="20"/>
              </w:rPr>
              <w:t>1.08</w:t>
            </w:r>
          </w:p>
        </w:tc>
        <w:tc>
          <w:tcPr>
            <w:tcW w:w="758" w:type="dxa"/>
            <w:tcBorders>
              <w:top w:val="nil"/>
              <w:left w:val="nil"/>
              <w:bottom w:val="single" w:color="auto" w:sz="4" w:space="0"/>
              <w:right w:val="single" w:color="auto" w:sz="4" w:space="0"/>
            </w:tcBorders>
            <w:shd w:val="clear" w:color="auto" w:fill="auto"/>
            <w:noWrap/>
            <w:vAlign w:val="center"/>
          </w:tcPr>
          <w:p>
            <w:pPr>
              <w:jc w:val="center"/>
              <w:rPr>
                <w:rFonts w:eastAsia="华文细黑" w:cs="Arial" w:asciiTheme="minorHAnsi" w:hAnsiTheme="minorHAnsi"/>
                <w:color w:val="000000"/>
                <w:sz w:val="20"/>
                <w:szCs w:val="20"/>
              </w:rPr>
            </w:pPr>
            <w:r>
              <w:rPr>
                <w:rFonts w:eastAsia="等线" w:cs="Arial" w:asciiTheme="minorHAnsi" w:hAnsiTheme="minorHAnsi"/>
                <w:color w:val="000000"/>
                <w:sz w:val="20"/>
                <w:szCs w:val="20"/>
              </w:rPr>
              <w:t>1.15</w:t>
            </w:r>
          </w:p>
        </w:tc>
        <w:tc>
          <w:tcPr>
            <w:tcW w:w="716" w:type="dxa"/>
            <w:tcBorders>
              <w:top w:val="nil"/>
              <w:left w:val="nil"/>
              <w:bottom w:val="single" w:color="auto" w:sz="4" w:space="0"/>
              <w:right w:val="single" w:color="auto" w:sz="4" w:space="0"/>
            </w:tcBorders>
            <w:shd w:val="clear" w:color="auto" w:fill="auto"/>
            <w:noWrap/>
            <w:vAlign w:val="center"/>
          </w:tcPr>
          <w:p>
            <w:pPr>
              <w:jc w:val="center"/>
              <w:rPr>
                <w:rFonts w:eastAsia="华文细黑" w:cs="Arial" w:asciiTheme="minorHAnsi" w:hAnsiTheme="minorHAnsi"/>
                <w:color w:val="000000"/>
                <w:sz w:val="20"/>
                <w:szCs w:val="20"/>
              </w:rPr>
            </w:pPr>
            <w:r>
              <w:rPr>
                <w:rFonts w:eastAsia="等线" w:cs="Arial" w:asciiTheme="minorHAnsi" w:hAnsiTheme="minorHAnsi"/>
                <w:color w:val="000000"/>
                <w:sz w:val="20"/>
                <w:szCs w:val="20"/>
              </w:rPr>
              <w:t>1.21</w:t>
            </w:r>
          </w:p>
        </w:tc>
        <w:tc>
          <w:tcPr>
            <w:tcW w:w="716" w:type="dxa"/>
            <w:tcBorders>
              <w:top w:val="nil"/>
              <w:left w:val="nil"/>
              <w:bottom w:val="single" w:color="auto" w:sz="4" w:space="0"/>
              <w:right w:val="single" w:color="auto" w:sz="4" w:space="0"/>
            </w:tcBorders>
            <w:shd w:val="clear" w:color="auto" w:fill="auto"/>
            <w:noWrap/>
            <w:vAlign w:val="center"/>
          </w:tcPr>
          <w:p>
            <w:pPr>
              <w:jc w:val="center"/>
              <w:rPr>
                <w:rFonts w:eastAsia="华文细黑" w:cs="Arial" w:asciiTheme="minorHAnsi" w:hAnsiTheme="minorHAnsi"/>
                <w:color w:val="000000"/>
                <w:sz w:val="20"/>
                <w:szCs w:val="20"/>
              </w:rPr>
            </w:pPr>
            <w:r>
              <w:rPr>
                <w:rFonts w:eastAsia="等线" w:cs="Arial" w:asciiTheme="minorHAnsi" w:hAnsiTheme="minorHAnsi"/>
                <w:color w:val="000000"/>
                <w:sz w:val="20"/>
                <w:szCs w:val="20"/>
              </w:rPr>
              <w:t>1.27</w:t>
            </w:r>
          </w:p>
        </w:tc>
        <w:tc>
          <w:tcPr>
            <w:tcW w:w="806" w:type="dxa"/>
            <w:tcBorders>
              <w:top w:val="nil"/>
              <w:left w:val="nil"/>
              <w:bottom w:val="single" w:color="auto" w:sz="4" w:space="0"/>
              <w:right w:val="single" w:color="auto" w:sz="4" w:space="0"/>
            </w:tcBorders>
            <w:shd w:val="clear" w:color="auto" w:fill="auto"/>
            <w:noWrap/>
            <w:vAlign w:val="center"/>
          </w:tcPr>
          <w:p>
            <w:pPr>
              <w:jc w:val="center"/>
              <w:rPr>
                <w:rFonts w:eastAsia="华文细黑" w:cs="Arial" w:asciiTheme="minorHAnsi" w:hAnsiTheme="minorHAnsi"/>
                <w:color w:val="000000"/>
                <w:sz w:val="20"/>
                <w:szCs w:val="20"/>
              </w:rPr>
            </w:pPr>
            <w:r>
              <w:rPr>
                <w:rFonts w:eastAsia="等线" w:cs="Arial" w:asciiTheme="minorHAnsi" w:hAnsiTheme="minorHAnsi"/>
                <w:color w:val="000000"/>
                <w:sz w:val="20"/>
                <w:szCs w:val="20"/>
              </w:rPr>
              <w:t>1.33</w:t>
            </w:r>
          </w:p>
        </w:tc>
        <w:tc>
          <w:tcPr>
            <w:tcW w:w="806" w:type="dxa"/>
            <w:tcBorders>
              <w:top w:val="nil"/>
              <w:left w:val="nil"/>
              <w:bottom w:val="single" w:color="auto" w:sz="4" w:space="0"/>
              <w:right w:val="single" w:color="auto" w:sz="4" w:space="0"/>
            </w:tcBorders>
            <w:shd w:val="clear" w:color="auto" w:fill="auto"/>
            <w:noWrap/>
            <w:vAlign w:val="center"/>
          </w:tcPr>
          <w:p>
            <w:pPr>
              <w:jc w:val="center"/>
              <w:rPr>
                <w:rFonts w:eastAsia="华文细黑" w:cs="Arial" w:asciiTheme="minorHAnsi" w:hAnsiTheme="minorHAnsi"/>
                <w:color w:val="000000"/>
                <w:sz w:val="20"/>
                <w:szCs w:val="20"/>
              </w:rPr>
            </w:pPr>
            <w:r>
              <w:rPr>
                <w:rFonts w:eastAsia="等线" w:cs="Arial" w:asciiTheme="minorHAnsi" w:hAnsiTheme="minorHAnsi"/>
                <w:color w:val="000000"/>
                <w:sz w:val="20"/>
                <w:szCs w:val="20"/>
              </w:rPr>
              <w:t>1.39</w:t>
            </w:r>
          </w:p>
        </w:tc>
      </w:tr>
      <w:tr>
        <w:tblPrEx>
          <w:tblLayout w:type="fixed"/>
          <w:tblCellMar>
            <w:top w:w="0" w:type="dxa"/>
            <w:left w:w="108" w:type="dxa"/>
            <w:bottom w:w="0" w:type="dxa"/>
            <w:right w:w="108" w:type="dxa"/>
          </w:tblCellMar>
        </w:tblPrEx>
        <w:trPr>
          <w:trHeight w:val="264" w:hRule="atLeast"/>
          <w:jc w:val="center"/>
        </w:trPr>
        <w:tc>
          <w:tcPr>
            <w:tcW w:w="3010" w:type="dxa"/>
            <w:tcBorders>
              <w:top w:val="nil"/>
              <w:left w:val="single" w:color="auto" w:sz="4" w:space="0"/>
              <w:bottom w:val="single" w:color="auto" w:sz="4" w:space="0"/>
              <w:right w:val="single" w:color="auto" w:sz="4" w:space="0"/>
            </w:tcBorders>
            <w:shd w:val="clear" w:color="auto" w:fill="auto"/>
            <w:noWrap/>
            <w:vAlign w:val="center"/>
          </w:tcPr>
          <w:p>
            <w:pPr>
              <w:jc w:val="both"/>
              <w:rPr>
                <w:rFonts w:ascii="Verdana" w:hAnsi="Verdana" w:eastAsia="华文细黑" w:cs="宋体"/>
                <w:sz w:val="20"/>
                <w:szCs w:val="20"/>
              </w:rPr>
            </w:pPr>
            <w:r>
              <w:rPr>
                <w:rFonts w:ascii="Verdana" w:hAnsi="Verdana" w:eastAsia="华文细黑" w:cs="宋体"/>
                <w:sz w:val="20"/>
                <w:szCs w:val="20"/>
              </w:rPr>
              <w:t>债券本息资金覆盖倍数</w:t>
            </w:r>
          </w:p>
        </w:tc>
        <w:tc>
          <w:tcPr>
            <w:tcW w:w="910" w:type="dxa"/>
            <w:tcBorders>
              <w:top w:val="nil"/>
              <w:left w:val="nil"/>
              <w:bottom w:val="single" w:color="auto" w:sz="4" w:space="0"/>
              <w:right w:val="single" w:color="auto" w:sz="4" w:space="0"/>
            </w:tcBorders>
            <w:shd w:val="clear" w:color="auto" w:fill="auto"/>
            <w:noWrap/>
            <w:vAlign w:val="center"/>
          </w:tcPr>
          <w:p>
            <w:pPr>
              <w:jc w:val="center"/>
              <w:rPr>
                <w:rFonts w:eastAsia="华文细黑" w:cs="Arial" w:asciiTheme="minorHAnsi" w:hAnsiTheme="minorHAnsi"/>
                <w:sz w:val="20"/>
                <w:szCs w:val="20"/>
              </w:rPr>
            </w:pPr>
            <w:r>
              <w:rPr>
                <w:rFonts w:eastAsia="等线" w:cs="Arial" w:asciiTheme="minorHAnsi" w:hAnsiTheme="minorHAnsi"/>
                <w:sz w:val="20"/>
                <w:szCs w:val="20"/>
              </w:rPr>
              <w:t>1.02</w:t>
            </w:r>
          </w:p>
        </w:tc>
        <w:tc>
          <w:tcPr>
            <w:tcW w:w="908" w:type="dxa"/>
            <w:tcBorders>
              <w:top w:val="nil"/>
              <w:left w:val="nil"/>
              <w:bottom w:val="single" w:color="auto" w:sz="4" w:space="0"/>
              <w:right w:val="single" w:color="auto" w:sz="4" w:space="0"/>
            </w:tcBorders>
            <w:shd w:val="clear" w:color="auto" w:fill="auto"/>
            <w:noWrap/>
            <w:vAlign w:val="center"/>
          </w:tcPr>
          <w:p>
            <w:pPr>
              <w:jc w:val="center"/>
              <w:rPr>
                <w:rFonts w:eastAsia="华文细黑" w:cs="Arial" w:asciiTheme="minorHAnsi" w:hAnsiTheme="minorHAnsi"/>
                <w:sz w:val="20"/>
                <w:szCs w:val="20"/>
              </w:rPr>
            </w:pPr>
            <w:r>
              <w:rPr>
                <w:rFonts w:eastAsia="等线" w:cs="Arial" w:asciiTheme="minorHAnsi" w:hAnsiTheme="minorHAnsi"/>
                <w:sz w:val="20"/>
                <w:szCs w:val="20"/>
              </w:rPr>
              <w:t>1.08</w:t>
            </w:r>
          </w:p>
        </w:tc>
        <w:tc>
          <w:tcPr>
            <w:tcW w:w="758" w:type="dxa"/>
            <w:tcBorders>
              <w:top w:val="nil"/>
              <w:left w:val="nil"/>
              <w:bottom w:val="single" w:color="auto" w:sz="4" w:space="0"/>
              <w:right w:val="single" w:color="auto" w:sz="4" w:space="0"/>
            </w:tcBorders>
            <w:shd w:val="clear" w:color="auto" w:fill="auto"/>
            <w:noWrap/>
            <w:vAlign w:val="center"/>
          </w:tcPr>
          <w:p>
            <w:pPr>
              <w:jc w:val="center"/>
              <w:rPr>
                <w:rFonts w:eastAsia="华文细黑" w:cs="Arial" w:asciiTheme="minorHAnsi" w:hAnsiTheme="minorHAnsi"/>
                <w:sz w:val="20"/>
                <w:szCs w:val="20"/>
              </w:rPr>
            </w:pPr>
            <w:r>
              <w:rPr>
                <w:rFonts w:eastAsia="等线" w:cs="Arial" w:asciiTheme="minorHAnsi" w:hAnsiTheme="minorHAnsi"/>
                <w:sz w:val="20"/>
                <w:szCs w:val="20"/>
              </w:rPr>
              <w:t>1.15</w:t>
            </w:r>
          </w:p>
        </w:tc>
        <w:tc>
          <w:tcPr>
            <w:tcW w:w="716" w:type="dxa"/>
            <w:tcBorders>
              <w:top w:val="nil"/>
              <w:left w:val="nil"/>
              <w:bottom w:val="single" w:color="auto" w:sz="4" w:space="0"/>
              <w:right w:val="single" w:color="auto" w:sz="4" w:space="0"/>
            </w:tcBorders>
            <w:shd w:val="clear" w:color="auto" w:fill="auto"/>
            <w:noWrap/>
            <w:vAlign w:val="center"/>
          </w:tcPr>
          <w:p>
            <w:pPr>
              <w:jc w:val="center"/>
              <w:rPr>
                <w:rFonts w:eastAsia="华文细黑" w:cs="Arial" w:asciiTheme="minorHAnsi" w:hAnsiTheme="minorHAnsi"/>
                <w:sz w:val="20"/>
                <w:szCs w:val="20"/>
              </w:rPr>
            </w:pPr>
            <w:r>
              <w:rPr>
                <w:rFonts w:eastAsia="等线" w:cs="Arial" w:asciiTheme="minorHAnsi" w:hAnsiTheme="minorHAnsi"/>
                <w:sz w:val="20"/>
                <w:szCs w:val="20"/>
              </w:rPr>
              <w:t>1.21</w:t>
            </w:r>
          </w:p>
        </w:tc>
        <w:tc>
          <w:tcPr>
            <w:tcW w:w="716" w:type="dxa"/>
            <w:tcBorders>
              <w:top w:val="nil"/>
              <w:left w:val="nil"/>
              <w:bottom w:val="single" w:color="auto" w:sz="4" w:space="0"/>
              <w:right w:val="single" w:color="auto" w:sz="4" w:space="0"/>
            </w:tcBorders>
            <w:shd w:val="clear" w:color="auto" w:fill="auto"/>
            <w:noWrap/>
            <w:vAlign w:val="center"/>
          </w:tcPr>
          <w:p>
            <w:pPr>
              <w:jc w:val="center"/>
              <w:rPr>
                <w:rFonts w:eastAsia="华文细黑" w:cs="Arial" w:asciiTheme="minorHAnsi" w:hAnsiTheme="minorHAnsi"/>
                <w:sz w:val="20"/>
                <w:szCs w:val="20"/>
              </w:rPr>
            </w:pPr>
            <w:r>
              <w:rPr>
                <w:rFonts w:eastAsia="等线" w:cs="Arial" w:asciiTheme="minorHAnsi" w:hAnsiTheme="minorHAnsi"/>
                <w:sz w:val="20"/>
                <w:szCs w:val="20"/>
              </w:rPr>
              <w:t>1.27</w:t>
            </w:r>
          </w:p>
        </w:tc>
        <w:tc>
          <w:tcPr>
            <w:tcW w:w="806" w:type="dxa"/>
            <w:tcBorders>
              <w:top w:val="nil"/>
              <w:left w:val="nil"/>
              <w:bottom w:val="single" w:color="auto" w:sz="4" w:space="0"/>
              <w:right w:val="single" w:color="auto" w:sz="4" w:space="0"/>
            </w:tcBorders>
            <w:shd w:val="clear" w:color="auto" w:fill="auto"/>
            <w:noWrap/>
            <w:vAlign w:val="center"/>
          </w:tcPr>
          <w:p>
            <w:pPr>
              <w:jc w:val="center"/>
              <w:rPr>
                <w:rFonts w:eastAsia="华文细黑" w:cs="Arial" w:asciiTheme="minorHAnsi" w:hAnsiTheme="minorHAnsi"/>
                <w:sz w:val="20"/>
                <w:szCs w:val="20"/>
              </w:rPr>
            </w:pPr>
            <w:r>
              <w:rPr>
                <w:rFonts w:eastAsia="等线" w:cs="Arial" w:asciiTheme="minorHAnsi" w:hAnsiTheme="minorHAnsi"/>
                <w:sz w:val="20"/>
                <w:szCs w:val="20"/>
              </w:rPr>
              <w:t>1.33</w:t>
            </w:r>
          </w:p>
        </w:tc>
        <w:tc>
          <w:tcPr>
            <w:tcW w:w="806" w:type="dxa"/>
            <w:tcBorders>
              <w:top w:val="nil"/>
              <w:left w:val="nil"/>
              <w:bottom w:val="single" w:color="auto" w:sz="4" w:space="0"/>
              <w:right w:val="single" w:color="auto" w:sz="4" w:space="0"/>
            </w:tcBorders>
            <w:shd w:val="clear" w:color="auto" w:fill="auto"/>
            <w:noWrap/>
            <w:vAlign w:val="center"/>
          </w:tcPr>
          <w:p>
            <w:pPr>
              <w:jc w:val="center"/>
              <w:rPr>
                <w:rFonts w:eastAsia="华文细黑" w:cs="Arial" w:asciiTheme="minorHAnsi" w:hAnsiTheme="minorHAnsi"/>
                <w:sz w:val="20"/>
                <w:szCs w:val="20"/>
              </w:rPr>
            </w:pPr>
            <w:r>
              <w:rPr>
                <w:rFonts w:eastAsia="等线" w:cs="Arial" w:asciiTheme="minorHAnsi" w:hAnsiTheme="minorHAnsi"/>
                <w:sz w:val="20"/>
                <w:szCs w:val="20"/>
              </w:rPr>
              <w:t>1.39</w:t>
            </w:r>
          </w:p>
        </w:tc>
      </w:tr>
      <w:tr>
        <w:tblPrEx>
          <w:tblLayout w:type="fixed"/>
          <w:tblCellMar>
            <w:top w:w="0" w:type="dxa"/>
            <w:left w:w="108" w:type="dxa"/>
            <w:bottom w:w="0" w:type="dxa"/>
            <w:right w:w="108" w:type="dxa"/>
          </w:tblCellMar>
        </w:tblPrEx>
        <w:trPr>
          <w:trHeight w:val="264" w:hRule="atLeast"/>
          <w:jc w:val="center"/>
        </w:trPr>
        <w:tc>
          <w:tcPr>
            <w:tcW w:w="3010" w:type="dxa"/>
            <w:tcBorders>
              <w:top w:val="nil"/>
              <w:left w:val="single" w:color="auto" w:sz="4" w:space="0"/>
              <w:bottom w:val="single" w:color="auto" w:sz="4" w:space="0"/>
              <w:right w:val="single" w:color="auto" w:sz="4" w:space="0"/>
            </w:tcBorders>
            <w:shd w:val="clear" w:color="000000" w:fill="D3DFEE"/>
            <w:noWrap/>
            <w:vAlign w:val="center"/>
          </w:tcPr>
          <w:p>
            <w:pPr>
              <w:jc w:val="both"/>
              <w:rPr>
                <w:rFonts w:ascii="Verdana" w:hAnsi="Verdana" w:eastAsia="华文细黑" w:cs="Arial"/>
                <w:b/>
                <w:bCs/>
                <w:color w:val="000000"/>
                <w:sz w:val="20"/>
                <w:szCs w:val="20"/>
              </w:rPr>
            </w:pPr>
            <w:r>
              <w:rPr>
                <w:rFonts w:ascii="Verdana" w:hAnsi="Verdana" w:eastAsia="华文细黑" w:cs="Arial"/>
                <w:b/>
                <w:bCs/>
                <w:color w:val="000000"/>
                <w:sz w:val="20"/>
                <w:szCs w:val="20"/>
              </w:rPr>
              <w:t>利率成本变动情况敏感性分析</w:t>
            </w:r>
          </w:p>
        </w:tc>
        <w:tc>
          <w:tcPr>
            <w:tcW w:w="910" w:type="dxa"/>
            <w:tcBorders>
              <w:top w:val="nil"/>
              <w:left w:val="nil"/>
              <w:bottom w:val="single" w:color="auto" w:sz="4" w:space="0"/>
              <w:right w:val="single" w:color="auto" w:sz="4" w:space="0"/>
            </w:tcBorders>
            <w:shd w:val="clear" w:color="000000" w:fill="D3DFEE"/>
            <w:noWrap/>
            <w:vAlign w:val="center"/>
          </w:tcPr>
          <w:p>
            <w:pPr>
              <w:jc w:val="center"/>
              <w:rPr>
                <w:rFonts w:eastAsia="华文细黑" w:cs="Arial" w:asciiTheme="minorHAnsi" w:hAnsiTheme="minorHAnsi"/>
                <w:b/>
                <w:bCs/>
                <w:color w:val="000000"/>
                <w:sz w:val="20"/>
                <w:szCs w:val="20"/>
              </w:rPr>
            </w:pPr>
          </w:p>
        </w:tc>
        <w:tc>
          <w:tcPr>
            <w:tcW w:w="908" w:type="dxa"/>
            <w:tcBorders>
              <w:top w:val="nil"/>
              <w:left w:val="nil"/>
              <w:bottom w:val="single" w:color="auto" w:sz="4" w:space="0"/>
              <w:right w:val="single" w:color="auto" w:sz="4" w:space="0"/>
            </w:tcBorders>
            <w:shd w:val="clear" w:color="000000" w:fill="D3DFEE"/>
            <w:noWrap/>
            <w:vAlign w:val="center"/>
          </w:tcPr>
          <w:p>
            <w:pPr>
              <w:jc w:val="center"/>
              <w:rPr>
                <w:rFonts w:eastAsia="华文细黑" w:cs="Arial" w:asciiTheme="minorHAnsi" w:hAnsiTheme="minorHAnsi"/>
                <w:b/>
                <w:bCs/>
                <w:color w:val="000000"/>
                <w:sz w:val="20"/>
                <w:szCs w:val="20"/>
              </w:rPr>
            </w:pPr>
          </w:p>
        </w:tc>
        <w:tc>
          <w:tcPr>
            <w:tcW w:w="758" w:type="dxa"/>
            <w:tcBorders>
              <w:top w:val="nil"/>
              <w:left w:val="nil"/>
              <w:bottom w:val="single" w:color="auto" w:sz="4" w:space="0"/>
              <w:right w:val="single" w:color="auto" w:sz="4" w:space="0"/>
            </w:tcBorders>
            <w:shd w:val="clear" w:color="000000" w:fill="D3DFEE"/>
            <w:noWrap/>
            <w:vAlign w:val="center"/>
          </w:tcPr>
          <w:p>
            <w:pPr>
              <w:jc w:val="center"/>
              <w:rPr>
                <w:rFonts w:eastAsia="华文细黑" w:cs="Arial" w:asciiTheme="minorHAnsi" w:hAnsiTheme="minorHAnsi"/>
                <w:b/>
                <w:bCs/>
                <w:color w:val="000000"/>
                <w:sz w:val="20"/>
                <w:szCs w:val="20"/>
              </w:rPr>
            </w:pPr>
          </w:p>
        </w:tc>
        <w:tc>
          <w:tcPr>
            <w:tcW w:w="716" w:type="dxa"/>
            <w:tcBorders>
              <w:top w:val="nil"/>
              <w:left w:val="nil"/>
              <w:bottom w:val="single" w:color="auto" w:sz="4" w:space="0"/>
              <w:right w:val="single" w:color="auto" w:sz="4" w:space="0"/>
            </w:tcBorders>
            <w:shd w:val="clear" w:color="000000" w:fill="D3DFEE"/>
            <w:noWrap/>
            <w:vAlign w:val="center"/>
          </w:tcPr>
          <w:p>
            <w:pPr>
              <w:jc w:val="center"/>
              <w:rPr>
                <w:rFonts w:eastAsia="华文细黑" w:cs="Arial" w:asciiTheme="minorHAnsi" w:hAnsiTheme="minorHAnsi"/>
                <w:b/>
                <w:bCs/>
                <w:color w:val="000000"/>
                <w:sz w:val="20"/>
                <w:szCs w:val="20"/>
              </w:rPr>
            </w:pPr>
          </w:p>
        </w:tc>
        <w:tc>
          <w:tcPr>
            <w:tcW w:w="716" w:type="dxa"/>
            <w:tcBorders>
              <w:top w:val="nil"/>
              <w:left w:val="nil"/>
              <w:bottom w:val="single" w:color="auto" w:sz="4" w:space="0"/>
              <w:right w:val="single" w:color="auto" w:sz="4" w:space="0"/>
            </w:tcBorders>
            <w:shd w:val="clear" w:color="000000" w:fill="D3DFEE"/>
            <w:noWrap/>
            <w:vAlign w:val="center"/>
          </w:tcPr>
          <w:p>
            <w:pPr>
              <w:jc w:val="center"/>
              <w:rPr>
                <w:rFonts w:eastAsia="华文细黑" w:cs="Arial" w:asciiTheme="minorHAnsi" w:hAnsiTheme="minorHAnsi"/>
                <w:b/>
                <w:bCs/>
                <w:color w:val="000000"/>
                <w:sz w:val="20"/>
                <w:szCs w:val="20"/>
              </w:rPr>
            </w:pPr>
          </w:p>
        </w:tc>
        <w:tc>
          <w:tcPr>
            <w:tcW w:w="806" w:type="dxa"/>
            <w:tcBorders>
              <w:top w:val="nil"/>
              <w:left w:val="nil"/>
              <w:bottom w:val="single" w:color="auto" w:sz="4" w:space="0"/>
              <w:right w:val="single" w:color="auto" w:sz="4" w:space="0"/>
            </w:tcBorders>
            <w:shd w:val="clear" w:color="000000" w:fill="D3DFEE"/>
            <w:noWrap/>
            <w:vAlign w:val="center"/>
          </w:tcPr>
          <w:p>
            <w:pPr>
              <w:jc w:val="center"/>
              <w:rPr>
                <w:rFonts w:eastAsia="华文细黑" w:cs="Arial" w:asciiTheme="minorHAnsi" w:hAnsiTheme="minorHAnsi"/>
                <w:b/>
                <w:bCs/>
                <w:color w:val="000000"/>
                <w:sz w:val="20"/>
                <w:szCs w:val="20"/>
              </w:rPr>
            </w:pPr>
          </w:p>
        </w:tc>
        <w:tc>
          <w:tcPr>
            <w:tcW w:w="806" w:type="dxa"/>
            <w:tcBorders>
              <w:top w:val="nil"/>
              <w:left w:val="nil"/>
              <w:bottom w:val="single" w:color="auto" w:sz="4" w:space="0"/>
              <w:right w:val="single" w:color="auto" w:sz="4" w:space="0"/>
            </w:tcBorders>
            <w:shd w:val="clear" w:color="000000" w:fill="D3DFEE"/>
            <w:noWrap/>
            <w:vAlign w:val="center"/>
          </w:tcPr>
          <w:p>
            <w:pPr>
              <w:jc w:val="center"/>
              <w:rPr>
                <w:rFonts w:eastAsia="华文细黑" w:cs="Arial" w:asciiTheme="minorHAnsi" w:hAnsiTheme="minorHAnsi"/>
                <w:b/>
                <w:bCs/>
                <w:color w:val="000000"/>
                <w:sz w:val="20"/>
                <w:szCs w:val="20"/>
              </w:rPr>
            </w:pPr>
          </w:p>
        </w:tc>
      </w:tr>
      <w:tr>
        <w:tblPrEx>
          <w:tblLayout w:type="fixed"/>
          <w:tblCellMar>
            <w:top w:w="0" w:type="dxa"/>
            <w:left w:w="108" w:type="dxa"/>
            <w:bottom w:w="0" w:type="dxa"/>
            <w:right w:w="108" w:type="dxa"/>
          </w:tblCellMar>
        </w:tblPrEx>
        <w:trPr>
          <w:trHeight w:val="264" w:hRule="atLeast"/>
          <w:jc w:val="center"/>
        </w:trPr>
        <w:tc>
          <w:tcPr>
            <w:tcW w:w="3010" w:type="dxa"/>
            <w:tcBorders>
              <w:top w:val="nil"/>
              <w:left w:val="single" w:color="auto" w:sz="4" w:space="0"/>
              <w:bottom w:val="single" w:color="auto" w:sz="4" w:space="0"/>
              <w:right w:val="single" w:color="auto" w:sz="4" w:space="0"/>
            </w:tcBorders>
            <w:shd w:val="clear" w:color="auto" w:fill="auto"/>
            <w:noWrap/>
            <w:vAlign w:val="center"/>
          </w:tcPr>
          <w:p>
            <w:pPr>
              <w:jc w:val="both"/>
              <w:rPr>
                <w:rFonts w:ascii="Verdana" w:hAnsi="Verdana" w:eastAsia="华文细黑" w:cs="Arial"/>
                <w:color w:val="000000"/>
                <w:sz w:val="20"/>
                <w:szCs w:val="20"/>
              </w:rPr>
            </w:pPr>
            <w:r>
              <w:rPr>
                <w:rFonts w:ascii="Verdana" w:hAnsi="Verdana" w:eastAsia="华文细黑" w:cs="Arial"/>
                <w:color w:val="000000"/>
                <w:sz w:val="20"/>
                <w:szCs w:val="20"/>
              </w:rPr>
              <w:t>债券本金资金覆盖率</w:t>
            </w:r>
          </w:p>
        </w:tc>
        <w:tc>
          <w:tcPr>
            <w:tcW w:w="910" w:type="dxa"/>
            <w:tcBorders>
              <w:top w:val="nil"/>
              <w:left w:val="nil"/>
              <w:bottom w:val="single" w:color="auto" w:sz="4" w:space="0"/>
              <w:right w:val="single" w:color="auto" w:sz="4" w:space="0"/>
            </w:tcBorders>
            <w:shd w:val="clear" w:color="auto" w:fill="auto"/>
            <w:noWrap/>
            <w:vAlign w:val="center"/>
          </w:tcPr>
          <w:p>
            <w:pPr>
              <w:jc w:val="center"/>
              <w:rPr>
                <w:rFonts w:eastAsia="华文细黑" w:cs="Arial" w:asciiTheme="minorHAnsi" w:hAnsiTheme="minorHAnsi"/>
                <w:color w:val="000000"/>
                <w:sz w:val="20"/>
                <w:szCs w:val="20"/>
              </w:rPr>
            </w:pPr>
            <w:r>
              <w:rPr>
                <w:rFonts w:eastAsia="等线" w:cs="Arial" w:asciiTheme="minorHAnsi" w:hAnsiTheme="minorHAnsi"/>
                <w:color w:val="000000"/>
                <w:sz w:val="20"/>
                <w:szCs w:val="20"/>
              </w:rPr>
              <w:t>1.25</w:t>
            </w:r>
          </w:p>
        </w:tc>
        <w:tc>
          <w:tcPr>
            <w:tcW w:w="908" w:type="dxa"/>
            <w:tcBorders>
              <w:top w:val="nil"/>
              <w:left w:val="nil"/>
              <w:bottom w:val="single" w:color="auto" w:sz="4" w:space="0"/>
              <w:right w:val="single" w:color="auto" w:sz="4" w:space="0"/>
            </w:tcBorders>
            <w:shd w:val="clear" w:color="auto" w:fill="auto"/>
            <w:noWrap/>
            <w:vAlign w:val="center"/>
          </w:tcPr>
          <w:p>
            <w:pPr>
              <w:jc w:val="center"/>
              <w:rPr>
                <w:rFonts w:eastAsia="华文细黑" w:cs="Arial" w:asciiTheme="minorHAnsi" w:hAnsiTheme="minorHAnsi"/>
                <w:color w:val="000000"/>
                <w:sz w:val="20"/>
                <w:szCs w:val="20"/>
              </w:rPr>
            </w:pPr>
            <w:r>
              <w:rPr>
                <w:rFonts w:eastAsia="等线" w:cs="Arial" w:asciiTheme="minorHAnsi" w:hAnsiTheme="minorHAnsi"/>
                <w:color w:val="000000"/>
                <w:sz w:val="20"/>
                <w:szCs w:val="20"/>
              </w:rPr>
              <w:t>1.25</w:t>
            </w:r>
          </w:p>
        </w:tc>
        <w:tc>
          <w:tcPr>
            <w:tcW w:w="758" w:type="dxa"/>
            <w:tcBorders>
              <w:top w:val="nil"/>
              <w:left w:val="nil"/>
              <w:bottom w:val="single" w:color="auto" w:sz="4" w:space="0"/>
              <w:right w:val="single" w:color="auto" w:sz="4" w:space="0"/>
            </w:tcBorders>
            <w:shd w:val="clear" w:color="auto" w:fill="auto"/>
            <w:noWrap/>
            <w:vAlign w:val="center"/>
          </w:tcPr>
          <w:p>
            <w:pPr>
              <w:jc w:val="center"/>
              <w:rPr>
                <w:rFonts w:eastAsia="华文细黑" w:cs="Arial" w:asciiTheme="minorHAnsi" w:hAnsiTheme="minorHAnsi"/>
                <w:color w:val="000000"/>
                <w:sz w:val="20"/>
                <w:szCs w:val="20"/>
              </w:rPr>
            </w:pPr>
            <w:r>
              <w:rPr>
                <w:rFonts w:eastAsia="等线" w:cs="Arial" w:asciiTheme="minorHAnsi" w:hAnsiTheme="minorHAnsi"/>
                <w:color w:val="000000"/>
                <w:sz w:val="20"/>
                <w:szCs w:val="20"/>
              </w:rPr>
              <w:t>1.24</w:t>
            </w:r>
          </w:p>
        </w:tc>
        <w:tc>
          <w:tcPr>
            <w:tcW w:w="716" w:type="dxa"/>
            <w:tcBorders>
              <w:top w:val="nil"/>
              <w:left w:val="nil"/>
              <w:bottom w:val="single" w:color="auto" w:sz="4" w:space="0"/>
              <w:right w:val="single" w:color="auto" w:sz="4" w:space="0"/>
            </w:tcBorders>
            <w:shd w:val="clear" w:color="auto" w:fill="auto"/>
            <w:noWrap/>
            <w:vAlign w:val="center"/>
          </w:tcPr>
          <w:p>
            <w:pPr>
              <w:jc w:val="center"/>
              <w:rPr>
                <w:rFonts w:eastAsia="华文细黑" w:cs="Arial" w:asciiTheme="minorHAnsi" w:hAnsiTheme="minorHAnsi"/>
                <w:color w:val="000000"/>
                <w:sz w:val="20"/>
                <w:szCs w:val="20"/>
              </w:rPr>
            </w:pPr>
            <w:r>
              <w:rPr>
                <w:rFonts w:eastAsia="等线" w:cs="Arial" w:asciiTheme="minorHAnsi" w:hAnsiTheme="minorHAnsi"/>
                <w:color w:val="000000"/>
                <w:sz w:val="20"/>
                <w:szCs w:val="20"/>
              </w:rPr>
              <w:t>1.23</w:t>
            </w:r>
          </w:p>
        </w:tc>
        <w:tc>
          <w:tcPr>
            <w:tcW w:w="716" w:type="dxa"/>
            <w:tcBorders>
              <w:top w:val="nil"/>
              <w:left w:val="nil"/>
              <w:bottom w:val="single" w:color="auto" w:sz="4" w:space="0"/>
              <w:right w:val="single" w:color="auto" w:sz="4" w:space="0"/>
            </w:tcBorders>
            <w:shd w:val="clear" w:color="auto" w:fill="auto"/>
            <w:noWrap/>
            <w:vAlign w:val="center"/>
          </w:tcPr>
          <w:p>
            <w:pPr>
              <w:jc w:val="center"/>
              <w:rPr>
                <w:rFonts w:eastAsia="华文细黑" w:cs="Arial" w:asciiTheme="minorHAnsi" w:hAnsiTheme="minorHAnsi"/>
                <w:color w:val="000000"/>
                <w:sz w:val="20"/>
                <w:szCs w:val="20"/>
              </w:rPr>
            </w:pPr>
            <w:r>
              <w:rPr>
                <w:rFonts w:eastAsia="等线" w:cs="Arial" w:asciiTheme="minorHAnsi" w:hAnsiTheme="minorHAnsi"/>
                <w:color w:val="000000"/>
                <w:sz w:val="20"/>
                <w:szCs w:val="20"/>
              </w:rPr>
              <w:t>1.23</w:t>
            </w:r>
          </w:p>
        </w:tc>
        <w:tc>
          <w:tcPr>
            <w:tcW w:w="806" w:type="dxa"/>
            <w:tcBorders>
              <w:top w:val="nil"/>
              <w:left w:val="nil"/>
              <w:bottom w:val="single" w:color="auto" w:sz="4" w:space="0"/>
              <w:right w:val="single" w:color="auto" w:sz="4" w:space="0"/>
            </w:tcBorders>
            <w:shd w:val="clear" w:color="auto" w:fill="auto"/>
            <w:noWrap/>
            <w:vAlign w:val="center"/>
          </w:tcPr>
          <w:p>
            <w:pPr>
              <w:jc w:val="center"/>
              <w:rPr>
                <w:rFonts w:eastAsia="华文细黑" w:cs="Arial" w:asciiTheme="minorHAnsi" w:hAnsiTheme="minorHAnsi"/>
                <w:color w:val="000000"/>
                <w:sz w:val="20"/>
                <w:szCs w:val="20"/>
              </w:rPr>
            </w:pPr>
            <w:r>
              <w:rPr>
                <w:rFonts w:eastAsia="等线" w:cs="Arial" w:asciiTheme="minorHAnsi" w:hAnsiTheme="minorHAnsi"/>
                <w:color w:val="000000"/>
                <w:sz w:val="20"/>
                <w:szCs w:val="20"/>
              </w:rPr>
              <w:t>1.22</w:t>
            </w:r>
          </w:p>
        </w:tc>
        <w:tc>
          <w:tcPr>
            <w:tcW w:w="806" w:type="dxa"/>
            <w:tcBorders>
              <w:top w:val="nil"/>
              <w:left w:val="nil"/>
              <w:bottom w:val="single" w:color="auto" w:sz="4" w:space="0"/>
              <w:right w:val="single" w:color="auto" w:sz="4" w:space="0"/>
            </w:tcBorders>
            <w:shd w:val="clear" w:color="auto" w:fill="auto"/>
            <w:noWrap/>
            <w:vAlign w:val="center"/>
          </w:tcPr>
          <w:p>
            <w:pPr>
              <w:jc w:val="center"/>
              <w:rPr>
                <w:rFonts w:eastAsia="华文细黑" w:cs="Arial" w:asciiTheme="minorHAnsi" w:hAnsiTheme="minorHAnsi"/>
                <w:color w:val="000000"/>
                <w:sz w:val="20"/>
                <w:szCs w:val="20"/>
              </w:rPr>
            </w:pPr>
            <w:r>
              <w:rPr>
                <w:rFonts w:eastAsia="等线" w:cs="Arial" w:asciiTheme="minorHAnsi" w:hAnsiTheme="minorHAnsi"/>
                <w:color w:val="000000"/>
                <w:sz w:val="20"/>
                <w:szCs w:val="20"/>
              </w:rPr>
              <w:t>1.21</w:t>
            </w:r>
          </w:p>
        </w:tc>
      </w:tr>
      <w:tr>
        <w:tblPrEx>
          <w:tblLayout w:type="fixed"/>
          <w:tblCellMar>
            <w:top w:w="0" w:type="dxa"/>
            <w:left w:w="108" w:type="dxa"/>
            <w:bottom w:w="0" w:type="dxa"/>
            <w:right w:w="108" w:type="dxa"/>
          </w:tblCellMar>
        </w:tblPrEx>
        <w:trPr>
          <w:trHeight w:val="264" w:hRule="atLeast"/>
          <w:jc w:val="center"/>
        </w:trPr>
        <w:tc>
          <w:tcPr>
            <w:tcW w:w="3010" w:type="dxa"/>
            <w:tcBorders>
              <w:top w:val="nil"/>
              <w:left w:val="single" w:color="auto" w:sz="4" w:space="0"/>
              <w:bottom w:val="single" w:color="auto" w:sz="4" w:space="0"/>
              <w:right w:val="single" w:color="auto" w:sz="4" w:space="0"/>
            </w:tcBorders>
            <w:shd w:val="clear" w:color="auto" w:fill="auto"/>
            <w:noWrap/>
            <w:vAlign w:val="center"/>
          </w:tcPr>
          <w:p>
            <w:pPr>
              <w:jc w:val="both"/>
              <w:rPr>
                <w:rFonts w:ascii="Verdana" w:hAnsi="Verdana" w:eastAsia="华文细黑" w:cs="Arial"/>
                <w:color w:val="000000"/>
                <w:sz w:val="20"/>
                <w:szCs w:val="20"/>
              </w:rPr>
            </w:pPr>
            <w:r>
              <w:rPr>
                <w:rFonts w:ascii="Verdana" w:hAnsi="Verdana" w:eastAsia="华文细黑" w:cs="Arial"/>
                <w:color w:val="000000"/>
                <w:sz w:val="20"/>
                <w:szCs w:val="20"/>
              </w:rPr>
              <w:t>债券本息资金覆盖率</w:t>
            </w:r>
          </w:p>
        </w:tc>
        <w:tc>
          <w:tcPr>
            <w:tcW w:w="910" w:type="dxa"/>
            <w:tcBorders>
              <w:top w:val="nil"/>
              <w:left w:val="nil"/>
              <w:bottom w:val="single" w:color="auto" w:sz="4" w:space="0"/>
              <w:right w:val="single" w:color="auto" w:sz="4" w:space="0"/>
            </w:tcBorders>
            <w:shd w:val="clear" w:color="auto" w:fill="auto"/>
            <w:noWrap/>
            <w:vAlign w:val="center"/>
          </w:tcPr>
          <w:p>
            <w:pPr>
              <w:jc w:val="center"/>
              <w:rPr>
                <w:rFonts w:eastAsia="华文细黑" w:cs="Arial" w:asciiTheme="minorHAnsi" w:hAnsiTheme="minorHAnsi"/>
                <w:color w:val="000000"/>
                <w:sz w:val="20"/>
                <w:szCs w:val="20"/>
              </w:rPr>
            </w:pPr>
            <w:r>
              <w:rPr>
                <w:rFonts w:eastAsia="等线" w:cs="Arial" w:asciiTheme="minorHAnsi" w:hAnsiTheme="minorHAnsi"/>
                <w:color w:val="000000"/>
                <w:sz w:val="20"/>
                <w:szCs w:val="20"/>
              </w:rPr>
              <w:t>1.23</w:t>
            </w:r>
          </w:p>
        </w:tc>
        <w:tc>
          <w:tcPr>
            <w:tcW w:w="908" w:type="dxa"/>
            <w:tcBorders>
              <w:top w:val="nil"/>
              <w:left w:val="nil"/>
              <w:bottom w:val="single" w:color="auto" w:sz="4" w:space="0"/>
              <w:right w:val="single" w:color="auto" w:sz="4" w:space="0"/>
            </w:tcBorders>
            <w:shd w:val="clear" w:color="auto" w:fill="auto"/>
            <w:noWrap/>
            <w:vAlign w:val="center"/>
          </w:tcPr>
          <w:p>
            <w:pPr>
              <w:jc w:val="center"/>
              <w:rPr>
                <w:rFonts w:eastAsia="华文细黑" w:cs="Arial" w:asciiTheme="minorHAnsi" w:hAnsiTheme="minorHAnsi"/>
                <w:color w:val="000000"/>
                <w:sz w:val="20"/>
                <w:szCs w:val="20"/>
              </w:rPr>
            </w:pPr>
            <w:r>
              <w:rPr>
                <w:rFonts w:eastAsia="等线" w:cs="Arial" w:asciiTheme="minorHAnsi" w:hAnsiTheme="minorHAnsi"/>
                <w:color w:val="000000"/>
                <w:sz w:val="20"/>
                <w:szCs w:val="20"/>
              </w:rPr>
              <w:t>1.22</w:t>
            </w:r>
          </w:p>
        </w:tc>
        <w:tc>
          <w:tcPr>
            <w:tcW w:w="758" w:type="dxa"/>
            <w:tcBorders>
              <w:top w:val="nil"/>
              <w:left w:val="nil"/>
              <w:bottom w:val="single" w:color="auto" w:sz="4" w:space="0"/>
              <w:right w:val="single" w:color="auto" w:sz="4" w:space="0"/>
            </w:tcBorders>
            <w:shd w:val="clear" w:color="auto" w:fill="auto"/>
            <w:noWrap/>
            <w:vAlign w:val="center"/>
          </w:tcPr>
          <w:p>
            <w:pPr>
              <w:jc w:val="center"/>
              <w:rPr>
                <w:rFonts w:eastAsia="华文细黑" w:cs="Arial" w:asciiTheme="minorHAnsi" w:hAnsiTheme="minorHAnsi"/>
                <w:color w:val="000000"/>
                <w:sz w:val="20"/>
                <w:szCs w:val="20"/>
              </w:rPr>
            </w:pPr>
            <w:r>
              <w:rPr>
                <w:rFonts w:eastAsia="等线" w:cs="Arial" w:asciiTheme="minorHAnsi" w:hAnsiTheme="minorHAnsi"/>
                <w:color w:val="000000"/>
                <w:sz w:val="20"/>
                <w:szCs w:val="20"/>
              </w:rPr>
              <w:t>1.21</w:t>
            </w:r>
          </w:p>
        </w:tc>
        <w:tc>
          <w:tcPr>
            <w:tcW w:w="716" w:type="dxa"/>
            <w:tcBorders>
              <w:top w:val="nil"/>
              <w:left w:val="nil"/>
              <w:bottom w:val="single" w:color="auto" w:sz="4" w:space="0"/>
              <w:right w:val="single" w:color="auto" w:sz="4" w:space="0"/>
            </w:tcBorders>
            <w:shd w:val="clear" w:color="auto" w:fill="auto"/>
            <w:noWrap/>
            <w:vAlign w:val="center"/>
          </w:tcPr>
          <w:p>
            <w:pPr>
              <w:jc w:val="center"/>
              <w:rPr>
                <w:rFonts w:eastAsia="华文细黑" w:cs="Arial" w:asciiTheme="minorHAnsi" w:hAnsiTheme="minorHAnsi"/>
                <w:color w:val="000000"/>
                <w:sz w:val="20"/>
                <w:szCs w:val="20"/>
              </w:rPr>
            </w:pPr>
            <w:r>
              <w:rPr>
                <w:rFonts w:eastAsia="等线" w:cs="Arial" w:asciiTheme="minorHAnsi" w:hAnsiTheme="minorHAnsi"/>
                <w:color w:val="000000"/>
                <w:sz w:val="20"/>
                <w:szCs w:val="20"/>
              </w:rPr>
              <w:t>1.21</w:t>
            </w:r>
          </w:p>
        </w:tc>
        <w:tc>
          <w:tcPr>
            <w:tcW w:w="716" w:type="dxa"/>
            <w:tcBorders>
              <w:top w:val="nil"/>
              <w:left w:val="nil"/>
              <w:bottom w:val="single" w:color="auto" w:sz="4" w:space="0"/>
              <w:right w:val="single" w:color="auto" w:sz="4" w:space="0"/>
            </w:tcBorders>
            <w:shd w:val="clear" w:color="auto" w:fill="auto"/>
            <w:noWrap/>
            <w:vAlign w:val="center"/>
          </w:tcPr>
          <w:p>
            <w:pPr>
              <w:jc w:val="center"/>
              <w:rPr>
                <w:rFonts w:eastAsia="华文细黑" w:cs="Arial" w:asciiTheme="minorHAnsi" w:hAnsiTheme="minorHAnsi"/>
                <w:color w:val="000000"/>
                <w:sz w:val="20"/>
                <w:szCs w:val="20"/>
              </w:rPr>
            </w:pPr>
            <w:r>
              <w:rPr>
                <w:rFonts w:eastAsia="等线" w:cs="Arial" w:asciiTheme="minorHAnsi" w:hAnsiTheme="minorHAnsi"/>
                <w:color w:val="000000"/>
                <w:sz w:val="20"/>
                <w:szCs w:val="20"/>
              </w:rPr>
              <w:t>1.20</w:t>
            </w:r>
          </w:p>
        </w:tc>
        <w:tc>
          <w:tcPr>
            <w:tcW w:w="806" w:type="dxa"/>
            <w:tcBorders>
              <w:top w:val="nil"/>
              <w:left w:val="nil"/>
              <w:bottom w:val="single" w:color="auto" w:sz="4" w:space="0"/>
              <w:right w:val="single" w:color="auto" w:sz="4" w:space="0"/>
            </w:tcBorders>
            <w:shd w:val="clear" w:color="auto" w:fill="auto"/>
            <w:noWrap/>
            <w:vAlign w:val="center"/>
          </w:tcPr>
          <w:p>
            <w:pPr>
              <w:jc w:val="center"/>
              <w:rPr>
                <w:rFonts w:eastAsia="华文细黑" w:cs="Arial" w:asciiTheme="minorHAnsi" w:hAnsiTheme="minorHAnsi"/>
                <w:color w:val="000000"/>
                <w:sz w:val="20"/>
                <w:szCs w:val="20"/>
              </w:rPr>
            </w:pPr>
            <w:r>
              <w:rPr>
                <w:rFonts w:eastAsia="等线" w:cs="Arial" w:asciiTheme="minorHAnsi" w:hAnsiTheme="minorHAnsi"/>
                <w:color w:val="000000"/>
                <w:sz w:val="20"/>
                <w:szCs w:val="20"/>
              </w:rPr>
              <w:t>1.19</w:t>
            </w:r>
          </w:p>
        </w:tc>
        <w:tc>
          <w:tcPr>
            <w:tcW w:w="806" w:type="dxa"/>
            <w:tcBorders>
              <w:top w:val="nil"/>
              <w:left w:val="nil"/>
              <w:bottom w:val="single" w:color="auto" w:sz="4" w:space="0"/>
              <w:right w:val="single" w:color="auto" w:sz="4" w:space="0"/>
            </w:tcBorders>
            <w:shd w:val="clear" w:color="auto" w:fill="auto"/>
            <w:noWrap/>
            <w:vAlign w:val="center"/>
          </w:tcPr>
          <w:p>
            <w:pPr>
              <w:jc w:val="center"/>
              <w:rPr>
                <w:rFonts w:eastAsia="华文细黑" w:cs="Arial" w:asciiTheme="minorHAnsi" w:hAnsiTheme="minorHAnsi"/>
                <w:color w:val="000000"/>
                <w:sz w:val="20"/>
                <w:szCs w:val="20"/>
              </w:rPr>
            </w:pPr>
            <w:r>
              <w:rPr>
                <w:rFonts w:eastAsia="等线" w:cs="Arial" w:asciiTheme="minorHAnsi" w:hAnsiTheme="minorHAnsi"/>
                <w:color w:val="000000"/>
                <w:sz w:val="20"/>
                <w:szCs w:val="20"/>
              </w:rPr>
              <w:t>1.18</w:t>
            </w:r>
          </w:p>
        </w:tc>
      </w:tr>
      <w:tr>
        <w:tblPrEx>
          <w:tblLayout w:type="fixed"/>
          <w:tblCellMar>
            <w:top w:w="0" w:type="dxa"/>
            <w:left w:w="108" w:type="dxa"/>
            <w:bottom w:w="0" w:type="dxa"/>
            <w:right w:w="108" w:type="dxa"/>
          </w:tblCellMar>
        </w:tblPrEx>
        <w:trPr>
          <w:trHeight w:val="264" w:hRule="atLeast"/>
          <w:jc w:val="center"/>
        </w:trPr>
        <w:tc>
          <w:tcPr>
            <w:tcW w:w="3010" w:type="dxa"/>
            <w:tcBorders>
              <w:top w:val="nil"/>
              <w:left w:val="single" w:color="auto" w:sz="4" w:space="0"/>
              <w:bottom w:val="single" w:color="auto" w:sz="4" w:space="0"/>
              <w:right w:val="single" w:color="auto" w:sz="4" w:space="0"/>
            </w:tcBorders>
            <w:shd w:val="clear" w:color="auto" w:fill="auto"/>
            <w:noWrap/>
            <w:vAlign w:val="center"/>
          </w:tcPr>
          <w:p>
            <w:pPr>
              <w:jc w:val="both"/>
              <w:rPr>
                <w:rFonts w:ascii="Verdana" w:hAnsi="Verdana" w:eastAsia="华文细黑" w:cs="宋体"/>
                <w:sz w:val="20"/>
                <w:szCs w:val="20"/>
              </w:rPr>
            </w:pPr>
            <w:r>
              <w:rPr>
                <w:rFonts w:ascii="Verdana" w:hAnsi="Verdana" w:eastAsia="华文细黑" w:cs="宋体"/>
                <w:sz w:val="20"/>
                <w:szCs w:val="20"/>
              </w:rPr>
              <w:t>债券本息资金覆盖倍数</w:t>
            </w:r>
          </w:p>
        </w:tc>
        <w:tc>
          <w:tcPr>
            <w:tcW w:w="910" w:type="dxa"/>
            <w:tcBorders>
              <w:top w:val="nil"/>
              <w:left w:val="nil"/>
              <w:bottom w:val="single" w:color="auto" w:sz="4" w:space="0"/>
              <w:right w:val="single" w:color="auto" w:sz="4" w:space="0"/>
            </w:tcBorders>
            <w:shd w:val="clear" w:color="auto" w:fill="auto"/>
            <w:noWrap/>
            <w:vAlign w:val="center"/>
          </w:tcPr>
          <w:p>
            <w:pPr>
              <w:jc w:val="center"/>
              <w:rPr>
                <w:rFonts w:eastAsia="华文细黑" w:cs="Arial" w:asciiTheme="minorHAnsi" w:hAnsiTheme="minorHAnsi"/>
                <w:sz w:val="20"/>
                <w:szCs w:val="20"/>
              </w:rPr>
            </w:pPr>
            <w:r>
              <w:rPr>
                <w:rFonts w:eastAsia="等线" w:cs="Arial" w:asciiTheme="minorHAnsi" w:hAnsiTheme="minorHAnsi"/>
                <w:sz w:val="20"/>
                <w:szCs w:val="20"/>
              </w:rPr>
              <w:t>1.23</w:t>
            </w:r>
          </w:p>
        </w:tc>
        <w:tc>
          <w:tcPr>
            <w:tcW w:w="908" w:type="dxa"/>
            <w:tcBorders>
              <w:top w:val="nil"/>
              <w:left w:val="nil"/>
              <w:bottom w:val="single" w:color="auto" w:sz="4" w:space="0"/>
              <w:right w:val="single" w:color="auto" w:sz="4" w:space="0"/>
            </w:tcBorders>
            <w:shd w:val="clear" w:color="auto" w:fill="auto"/>
            <w:noWrap/>
            <w:vAlign w:val="center"/>
          </w:tcPr>
          <w:p>
            <w:pPr>
              <w:jc w:val="center"/>
              <w:rPr>
                <w:rFonts w:eastAsia="华文细黑" w:cs="Arial" w:asciiTheme="minorHAnsi" w:hAnsiTheme="minorHAnsi"/>
                <w:sz w:val="20"/>
                <w:szCs w:val="20"/>
              </w:rPr>
            </w:pPr>
            <w:r>
              <w:rPr>
                <w:rFonts w:eastAsia="等线" w:cs="Arial" w:asciiTheme="minorHAnsi" w:hAnsiTheme="minorHAnsi"/>
                <w:sz w:val="20"/>
                <w:szCs w:val="20"/>
              </w:rPr>
              <w:t>1.22</w:t>
            </w:r>
          </w:p>
        </w:tc>
        <w:tc>
          <w:tcPr>
            <w:tcW w:w="758" w:type="dxa"/>
            <w:tcBorders>
              <w:top w:val="nil"/>
              <w:left w:val="nil"/>
              <w:bottom w:val="single" w:color="auto" w:sz="4" w:space="0"/>
              <w:right w:val="single" w:color="auto" w:sz="4" w:space="0"/>
            </w:tcBorders>
            <w:shd w:val="clear" w:color="auto" w:fill="auto"/>
            <w:noWrap/>
            <w:vAlign w:val="center"/>
          </w:tcPr>
          <w:p>
            <w:pPr>
              <w:jc w:val="center"/>
              <w:rPr>
                <w:rFonts w:eastAsia="华文细黑" w:cs="Arial" w:asciiTheme="minorHAnsi" w:hAnsiTheme="minorHAnsi"/>
                <w:sz w:val="20"/>
                <w:szCs w:val="20"/>
              </w:rPr>
            </w:pPr>
            <w:r>
              <w:rPr>
                <w:rFonts w:eastAsia="等线" w:cs="Arial" w:asciiTheme="minorHAnsi" w:hAnsiTheme="minorHAnsi"/>
                <w:sz w:val="20"/>
                <w:szCs w:val="20"/>
              </w:rPr>
              <w:t>1.21</w:t>
            </w:r>
          </w:p>
        </w:tc>
        <w:tc>
          <w:tcPr>
            <w:tcW w:w="716" w:type="dxa"/>
            <w:tcBorders>
              <w:top w:val="nil"/>
              <w:left w:val="nil"/>
              <w:bottom w:val="single" w:color="auto" w:sz="4" w:space="0"/>
              <w:right w:val="single" w:color="auto" w:sz="4" w:space="0"/>
            </w:tcBorders>
            <w:shd w:val="clear" w:color="auto" w:fill="auto"/>
            <w:noWrap/>
            <w:vAlign w:val="center"/>
          </w:tcPr>
          <w:p>
            <w:pPr>
              <w:jc w:val="center"/>
              <w:rPr>
                <w:rFonts w:eastAsia="华文细黑" w:cs="Arial" w:asciiTheme="minorHAnsi" w:hAnsiTheme="minorHAnsi"/>
                <w:sz w:val="20"/>
                <w:szCs w:val="20"/>
              </w:rPr>
            </w:pPr>
            <w:r>
              <w:rPr>
                <w:rFonts w:eastAsia="等线" w:cs="Arial" w:asciiTheme="minorHAnsi" w:hAnsiTheme="minorHAnsi"/>
                <w:sz w:val="20"/>
                <w:szCs w:val="20"/>
              </w:rPr>
              <w:t>1.21</w:t>
            </w:r>
          </w:p>
        </w:tc>
        <w:tc>
          <w:tcPr>
            <w:tcW w:w="716" w:type="dxa"/>
            <w:tcBorders>
              <w:top w:val="nil"/>
              <w:left w:val="nil"/>
              <w:bottom w:val="single" w:color="auto" w:sz="4" w:space="0"/>
              <w:right w:val="single" w:color="auto" w:sz="4" w:space="0"/>
            </w:tcBorders>
            <w:shd w:val="clear" w:color="auto" w:fill="auto"/>
            <w:noWrap/>
            <w:vAlign w:val="center"/>
          </w:tcPr>
          <w:p>
            <w:pPr>
              <w:jc w:val="center"/>
              <w:rPr>
                <w:rFonts w:eastAsia="华文细黑" w:cs="Arial" w:asciiTheme="minorHAnsi" w:hAnsiTheme="minorHAnsi"/>
                <w:sz w:val="20"/>
                <w:szCs w:val="20"/>
              </w:rPr>
            </w:pPr>
            <w:r>
              <w:rPr>
                <w:rFonts w:eastAsia="等线" w:cs="Arial" w:asciiTheme="minorHAnsi" w:hAnsiTheme="minorHAnsi"/>
                <w:sz w:val="20"/>
                <w:szCs w:val="20"/>
              </w:rPr>
              <w:t>1.20</w:t>
            </w:r>
          </w:p>
        </w:tc>
        <w:tc>
          <w:tcPr>
            <w:tcW w:w="806" w:type="dxa"/>
            <w:tcBorders>
              <w:top w:val="nil"/>
              <w:left w:val="nil"/>
              <w:bottom w:val="single" w:color="auto" w:sz="4" w:space="0"/>
              <w:right w:val="single" w:color="auto" w:sz="4" w:space="0"/>
            </w:tcBorders>
            <w:shd w:val="clear" w:color="auto" w:fill="auto"/>
            <w:noWrap/>
            <w:vAlign w:val="center"/>
          </w:tcPr>
          <w:p>
            <w:pPr>
              <w:jc w:val="center"/>
              <w:rPr>
                <w:rFonts w:eastAsia="华文细黑" w:cs="Arial" w:asciiTheme="minorHAnsi" w:hAnsiTheme="minorHAnsi"/>
                <w:sz w:val="20"/>
                <w:szCs w:val="20"/>
              </w:rPr>
            </w:pPr>
            <w:r>
              <w:rPr>
                <w:rFonts w:eastAsia="等线" w:cs="Arial" w:asciiTheme="minorHAnsi" w:hAnsiTheme="minorHAnsi"/>
                <w:sz w:val="20"/>
                <w:szCs w:val="20"/>
              </w:rPr>
              <w:t>1.19</w:t>
            </w:r>
          </w:p>
        </w:tc>
        <w:tc>
          <w:tcPr>
            <w:tcW w:w="806" w:type="dxa"/>
            <w:tcBorders>
              <w:top w:val="nil"/>
              <w:left w:val="nil"/>
              <w:bottom w:val="single" w:color="auto" w:sz="4" w:space="0"/>
              <w:right w:val="single" w:color="auto" w:sz="4" w:space="0"/>
            </w:tcBorders>
            <w:shd w:val="clear" w:color="auto" w:fill="auto"/>
            <w:noWrap/>
            <w:vAlign w:val="center"/>
          </w:tcPr>
          <w:p>
            <w:pPr>
              <w:jc w:val="center"/>
              <w:rPr>
                <w:rFonts w:eastAsia="华文细黑" w:cs="Arial" w:asciiTheme="minorHAnsi" w:hAnsiTheme="minorHAnsi"/>
                <w:sz w:val="20"/>
                <w:szCs w:val="20"/>
              </w:rPr>
            </w:pPr>
            <w:r>
              <w:rPr>
                <w:rFonts w:eastAsia="等线" w:cs="Arial" w:asciiTheme="minorHAnsi" w:hAnsiTheme="minorHAnsi"/>
                <w:sz w:val="20"/>
                <w:szCs w:val="20"/>
              </w:rPr>
              <w:t>1.18</w:t>
            </w:r>
          </w:p>
        </w:tc>
      </w:tr>
    </w:tbl>
    <w:p>
      <w:pPr>
        <w:spacing w:before="120" w:after="120" w:line="360" w:lineRule="auto"/>
        <w:ind w:firstLine="454"/>
        <w:jc w:val="both"/>
        <w:rPr>
          <w:rFonts w:ascii="Verdana" w:hAnsi="Verdana" w:eastAsia="华文细黑" w:cs="Calibri"/>
          <w:lang w:val="en-GB"/>
        </w:rPr>
      </w:pPr>
      <w:r>
        <w:rPr>
          <w:rFonts w:ascii="Verdana" w:hAnsi="Verdana" w:eastAsia="华文细黑" w:cs="Calibri"/>
          <w:lang w:val="en-GB"/>
        </w:rPr>
        <w:t>总体而言，本项目产生收入对其拟使用的募集资金保障程度较高。同时，因本项目还本付息资金主要来源于项目运营收入，建议进一步关注项目施工进度、项目选点的变化、政府定价风险、宏观经济以及利率等影响项目收益情况的风险要素。若未能实现收入计划，不能偿还到期债券本金，可在专项债务限额内以及满足覆盖倍数的情况下发行专项债券周转偿还，进而在项目收入实现后予以归还，或者通过追加自筹资金等方式来满足还本付息要求。</w:t>
      </w:r>
    </w:p>
    <w:p>
      <w:pPr>
        <w:spacing w:before="120" w:after="120" w:line="360" w:lineRule="auto"/>
        <w:ind w:firstLine="641" w:firstLineChars="200"/>
        <w:jc w:val="both"/>
        <w:outlineLvl w:val="0"/>
        <w:rPr>
          <w:rFonts w:ascii="Verdana" w:hAnsi="Verdana" w:eastAsia="华文细黑" w:cs="Calibri"/>
          <w:b/>
          <w:sz w:val="32"/>
          <w:szCs w:val="32"/>
        </w:rPr>
      </w:pPr>
      <w:bookmarkStart w:id="73" w:name="_Toc135044152"/>
      <w:r>
        <w:rPr>
          <w:rFonts w:ascii="Verdana" w:hAnsi="Verdana" w:eastAsia="华文细黑" w:cs="Calibri"/>
          <w:b/>
          <w:sz w:val="32"/>
          <w:szCs w:val="32"/>
        </w:rPr>
        <w:t>五、评估结论</w:t>
      </w:r>
      <w:bookmarkEnd w:id="73"/>
    </w:p>
    <w:p>
      <w:pPr>
        <w:spacing w:before="120" w:after="120" w:line="360" w:lineRule="auto"/>
        <w:ind w:firstLine="510"/>
        <w:jc w:val="both"/>
        <w:rPr>
          <w:rFonts w:ascii="Verdana" w:hAnsi="Verdana" w:eastAsia="华文细黑" w:cs="Calibri"/>
          <w:color w:val="000000"/>
        </w:rPr>
      </w:pPr>
      <w:r>
        <w:rPr>
          <w:rFonts w:ascii="Verdana" w:hAnsi="Verdana" w:eastAsia="华文细黑" w:cs="Calibri"/>
          <w:color w:val="000000"/>
        </w:rPr>
        <w:t>基于财政部对地方政府发行专项债券的要求，本项目可以通过</w:t>
      </w:r>
      <w:r>
        <w:rPr>
          <w:rFonts w:hint="eastAsia" w:ascii="Verdana" w:hAnsi="Verdana" w:eastAsia="华文细黑" w:cs="Calibri"/>
          <w:color w:val="000000"/>
        </w:rPr>
        <w:t>调剂和发行</w:t>
      </w:r>
      <w:r>
        <w:rPr>
          <w:rFonts w:ascii="Verdana" w:hAnsi="Verdana" w:eastAsia="华文细黑" w:cs="Calibri"/>
          <w:color w:val="000000"/>
        </w:rPr>
        <w:t>专项债券的方式进行融资以完成资金筹措，并以</w:t>
      </w:r>
      <w:r>
        <w:rPr>
          <w:rFonts w:ascii="Verdana" w:hAnsi="Verdana" w:eastAsia="华文细黑" w:cs="Calibri"/>
          <w:lang w:val="en-GB"/>
        </w:rPr>
        <w:t>项目运营收入</w:t>
      </w:r>
      <w:r>
        <w:rPr>
          <w:rFonts w:ascii="Verdana" w:hAnsi="Verdana" w:eastAsia="华文细黑" w:cs="Calibri"/>
          <w:color w:val="000000"/>
        </w:rPr>
        <w:t>所对应的充足、稳定现金流作为还本付息的资金来源。通过对本项目收益与融资自求平衡情况的分析，我们未注意到本期专项债券存续期内出现无法满足专项债券还本付息要求的情况。</w:t>
      </w:r>
    </w:p>
    <w:p>
      <w:pPr>
        <w:spacing w:before="120" w:after="120" w:line="360" w:lineRule="auto"/>
        <w:ind w:firstLine="510"/>
        <w:jc w:val="both"/>
        <w:rPr>
          <w:rFonts w:ascii="Verdana" w:hAnsi="Verdana" w:eastAsia="华文细黑" w:cs="Calibri"/>
          <w:color w:val="000000"/>
        </w:rPr>
      </w:pPr>
      <w:r>
        <w:rPr>
          <w:rFonts w:ascii="Verdana" w:hAnsi="Verdana" w:eastAsia="华文细黑" w:cs="Calibri"/>
          <w:color w:val="000000"/>
        </w:rPr>
        <w:t>综上所述，通过</w:t>
      </w:r>
      <w:r>
        <w:rPr>
          <w:rFonts w:hint="eastAsia" w:ascii="Verdana" w:hAnsi="Verdana" w:eastAsia="华文细黑" w:cs="Calibri"/>
          <w:color w:val="000000"/>
        </w:rPr>
        <w:t>调剂</w:t>
      </w:r>
      <w:r>
        <w:rPr>
          <w:rFonts w:ascii="Verdana" w:hAnsi="Verdana" w:eastAsia="华文细黑" w:cs="Calibri"/>
          <w:color w:val="000000"/>
        </w:rPr>
        <w:t>地方政府专项债券的方式，满足本项目专项债券的资金需求，应是现阶段符合项目情况的资金解决方案。</w:t>
      </w:r>
    </w:p>
    <w:p>
      <w:pPr>
        <w:spacing w:after="160" w:line="259" w:lineRule="auto"/>
        <w:rPr>
          <w:rFonts w:ascii="Verdana" w:hAnsi="Verdana" w:eastAsia="华文细黑" w:cs="Calibri"/>
          <w:color w:val="000000"/>
        </w:rPr>
      </w:pPr>
      <w:r>
        <w:rPr>
          <w:rFonts w:ascii="Verdana" w:hAnsi="Verdana" w:eastAsia="华文细黑" w:cs="Calibri"/>
          <w:color w:val="000000"/>
        </w:rPr>
        <w:br w:type="page"/>
      </w:r>
    </w:p>
    <w:p>
      <w:pPr>
        <w:spacing w:before="120" w:after="120" w:line="360" w:lineRule="auto"/>
        <w:jc w:val="both"/>
        <w:outlineLvl w:val="0"/>
        <w:rPr>
          <w:rFonts w:ascii="Verdana" w:hAnsi="Verdana" w:eastAsia="华文细黑" w:cs="Calibri"/>
          <w:b/>
          <w:sz w:val="32"/>
          <w:szCs w:val="32"/>
        </w:rPr>
      </w:pPr>
      <w:bookmarkStart w:id="74" w:name="_Toc135044153"/>
      <w:bookmarkStart w:id="75" w:name="_Toc38918457"/>
      <w:bookmarkStart w:id="84" w:name="_GoBack"/>
      <w:bookmarkEnd w:id="84"/>
      <w:r>
        <w:rPr>
          <w:rFonts w:ascii="Verdana" w:hAnsi="Verdana" w:eastAsia="华文细黑" w:cs="Calibri"/>
          <w:b/>
          <w:sz w:val="32"/>
          <w:szCs w:val="32"/>
        </w:rPr>
        <w:t>附件1：预期收益及成本分析</w:t>
      </w:r>
      <w:bookmarkEnd w:id="74"/>
    </w:p>
    <w:p>
      <w:pPr>
        <w:spacing w:before="120" w:after="120" w:line="360" w:lineRule="auto"/>
        <w:ind w:firstLine="454"/>
        <w:jc w:val="both"/>
        <w:rPr>
          <w:rFonts w:ascii="Verdana" w:hAnsi="Verdana" w:eastAsia="华文细黑" w:cs="Calibri"/>
          <w:color w:val="000000"/>
        </w:rPr>
      </w:pPr>
      <w:r>
        <w:rPr>
          <w:rFonts w:ascii="Verdana" w:hAnsi="Verdana" w:eastAsia="华文细黑" w:cs="Calibri"/>
          <w:color w:val="000000"/>
        </w:rPr>
        <w:t>本项目专项债券以经营收益为还本付息基础，</w:t>
      </w:r>
      <w:bookmarkStart w:id="76" w:name="_Hlk150181479"/>
      <w:r>
        <w:rPr>
          <w:rFonts w:ascii="Verdana" w:hAnsi="Verdana" w:eastAsia="华文细黑" w:cs="Calibri"/>
          <w:color w:val="000000"/>
        </w:rPr>
        <w:t>收入来源主要为</w:t>
      </w:r>
      <w:r>
        <w:rPr>
          <w:rFonts w:hint="eastAsia" w:ascii="Verdana" w:hAnsi="Verdana" w:eastAsia="华文细黑" w:cs="Calibri"/>
          <w:color w:val="000000"/>
        </w:rPr>
        <w:t>供水</w:t>
      </w:r>
      <w:r>
        <w:rPr>
          <w:rFonts w:ascii="Verdana" w:hAnsi="Verdana" w:eastAsia="华文细黑" w:cs="Calibri"/>
          <w:color w:val="000000"/>
        </w:rPr>
        <w:t>收入</w:t>
      </w:r>
      <w:bookmarkEnd w:id="76"/>
      <w:r>
        <w:rPr>
          <w:rFonts w:ascii="Verdana" w:hAnsi="Verdana" w:eastAsia="华文细黑" w:cs="Calibri"/>
          <w:color w:val="000000"/>
        </w:rPr>
        <w:t>，</w:t>
      </w:r>
      <w:bookmarkStart w:id="77" w:name="_Hlk150181582"/>
      <w:r>
        <w:rPr>
          <w:rFonts w:ascii="Verdana" w:hAnsi="Verdana" w:eastAsia="华文细黑" w:cs="Calibri"/>
          <w:color w:val="000000"/>
        </w:rPr>
        <w:t>运营成本由财政补贴覆盖，故本项目运营期内暂不考虑运营成本。</w:t>
      </w:r>
    </w:p>
    <w:bookmarkEnd w:id="77"/>
    <w:p>
      <w:pPr>
        <w:spacing w:before="120" w:after="120" w:line="360" w:lineRule="auto"/>
        <w:ind w:firstLine="454"/>
        <w:jc w:val="both"/>
        <w:rPr>
          <w:rFonts w:ascii="Verdana" w:hAnsi="Verdana" w:eastAsia="华文细黑" w:cs="Calibri"/>
          <w:color w:val="000000"/>
        </w:rPr>
      </w:pPr>
      <w:bookmarkStart w:id="78" w:name="_Hlk150181502"/>
      <w:r>
        <w:rPr>
          <w:rFonts w:ascii="Verdana" w:hAnsi="Verdana" w:eastAsia="华文细黑" w:cs="Calibri"/>
          <w:color w:val="000000"/>
        </w:rPr>
        <w:t>根据《</w:t>
      </w:r>
      <w:r>
        <w:rPr>
          <w:rFonts w:hint="eastAsia" w:ascii="Verdana" w:hAnsi="Verdana" w:eastAsia="华文细黑" w:cs="Calibri"/>
          <w:color w:val="000000"/>
        </w:rPr>
        <w:t>三亚市吉阳区发展和改革委员会关于吉阳区新村社区饮水巩固提升工程初步设计及概算的批复</w:t>
      </w:r>
      <w:r>
        <w:rPr>
          <w:rFonts w:ascii="Verdana" w:hAnsi="Verdana" w:eastAsia="华文细黑" w:cs="Calibri"/>
          <w:color w:val="000000"/>
        </w:rPr>
        <w:t>》（</w:t>
      </w:r>
      <w:r>
        <w:rPr>
          <w:rFonts w:hint="eastAsia" w:ascii="Verdana" w:hAnsi="Verdana" w:eastAsia="华文细黑" w:cs="Calibri"/>
          <w:color w:val="000000"/>
        </w:rPr>
        <w:t>吉发改〔</w:t>
      </w:r>
      <w:r>
        <w:rPr>
          <w:rFonts w:ascii="Verdana" w:hAnsi="Verdana" w:eastAsia="华文细黑" w:cs="Calibri"/>
          <w:color w:val="000000"/>
        </w:rPr>
        <w:t>2023</w:t>
      </w:r>
      <w:r>
        <w:rPr>
          <w:rFonts w:hint="eastAsia" w:ascii="Verdana" w:hAnsi="Verdana" w:eastAsia="华文细黑" w:cs="Calibri"/>
          <w:color w:val="000000"/>
        </w:rPr>
        <w:t>〕</w:t>
      </w:r>
      <w:r>
        <w:rPr>
          <w:rFonts w:ascii="Verdana" w:hAnsi="Verdana" w:eastAsia="华文细黑" w:cs="Calibri"/>
          <w:color w:val="000000"/>
        </w:rPr>
        <w:t>20</w:t>
      </w:r>
      <w:r>
        <w:rPr>
          <w:rFonts w:hint="eastAsia" w:ascii="Verdana" w:hAnsi="Verdana" w:eastAsia="华文细黑" w:cs="Calibri"/>
          <w:color w:val="000000"/>
        </w:rPr>
        <w:t>号</w:t>
      </w:r>
      <w:r>
        <w:rPr>
          <w:rFonts w:ascii="Verdana" w:hAnsi="Verdana" w:eastAsia="华文细黑" w:cs="Calibri"/>
          <w:color w:val="000000"/>
        </w:rPr>
        <w:t>），项目拟</w:t>
      </w:r>
      <w:r>
        <w:rPr>
          <w:rFonts w:hint="eastAsia" w:ascii="Verdana" w:hAnsi="Verdana" w:eastAsia="华文细黑" w:cs="Calibri"/>
          <w:color w:val="000000"/>
        </w:rPr>
        <w:t>新建</w:t>
      </w:r>
      <w:r>
        <w:rPr>
          <w:rFonts w:ascii="Verdana" w:hAnsi="Verdana" w:eastAsia="华文细黑" w:cs="Calibri"/>
          <w:color w:val="000000"/>
        </w:rPr>
        <w:t xml:space="preserve">DN300 </w:t>
      </w:r>
      <w:r>
        <w:rPr>
          <w:rFonts w:hint="eastAsia" w:ascii="Verdana" w:hAnsi="Verdana" w:eastAsia="华文细黑" w:cs="Calibri"/>
          <w:color w:val="000000"/>
        </w:rPr>
        <w:t>球墨</w:t>
      </w:r>
      <w:r>
        <w:rPr>
          <w:rFonts w:ascii="Verdana" w:hAnsi="Verdana" w:eastAsia="华文细黑" w:cs="Calibri"/>
          <w:color w:val="000000"/>
        </w:rPr>
        <w:t xml:space="preserve">  </w:t>
      </w:r>
      <w:r>
        <w:rPr>
          <w:rFonts w:hint="eastAsia" w:ascii="Verdana" w:hAnsi="Verdana" w:eastAsia="华文细黑" w:cs="Calibri"/>
          <w:color w:val="000000"/>
        </w:rPr>
        <w:t>铸铁管</w:t>
      </w:r>
      <w:r>
        <w:rPr>
          <w:rFonts w:ascii="Verdana" w:hAnsi="Verdana" w:eastAsia="华文细黑" w:cs="Calibri"/>
          <w:color w:val="000000"/>
        </w:rPr>
        <w:t>727m</w:t>
      </w:r>
      <w:r>
        <w:rPr>
          <w:rFonts w:hint="eastAsia" w:ascii="Verdana" w:hAnsi="Verdana" w:eastAsia="华文细黑" w:cs="Calibri"/>
          <w:color w:val="000000"/>
        </w:rPr>
        <w:t>、</w:t>
      </w:r>
      <w:r>
        <w:rPr>
          <w:rFonts w:ascii="Verdana" w:hAnsi="Verdana" w:eastAsia="华文细黑" w:cs="Calibri"/>
          <w:color w:val="000000"/>
        </w:rPr>
        <w:t>DN250</w:t>
      </w:r>
      <w:r>
        <w:rPr>
          <w:rFonts w:hint="eastAsia" w:ascii="Verdana" w:hAnsi="Verdana" w:eastAsia="华文细黑" w:cs="Calibri"/>
          <w:color w:val="000000"/>
        </w:rPr>
        <w:t>球墨铸铁管</w:t>
      </w:r>
      <w:r>
        <w:rPr>
          <w:rFonts w:ascii="Verdana" w:hAnsi="Verdana" w:eastAsia="华文细黑" w:cs="Calibri"/>
          <w:color w:val="000000"/>
        </w:rPr>
        <w:t>683m</w:t>
      </w:r>
      <w:r>
        <w:rPr>
          <w:rFonts w:hint="eastAsia" w:ascii="Verdana" w:hAnsi="Verdana" w:eastAsia="华文细黑" w:cs="Calibri"/>
          <w:color w:val="000000"/>
        </w:rPr>
        <w:t>、</w:t>
      </w:r>
      <w:r>
        <w:rPr>
          <w:rFonts w:ascii="Verdana" w:hAnsi="Verdana" w:eastAsia="华文细黑" w:cs="Calibri"/>
          <w:color w:val="000000"/>
        </w:rPr>
        <w:t>DN200</w:t>
      </w:r>
      <w:r>
        <w:rPr>
          <w:rFonts w:hint="eastAsia" w:ascii="Verdana" w:hAnsi="Verdana" w:eastAsia="华文细黑" w:cs="Calibri"/>
          <w:color w:val="000000"/>
        </w:rPr>
        <w:t>球墨铸铁管</w:t>
      </w:r>
      <w:r>
        <w:rPr>
          <w:rFonts w:ascii="Verdana" w:hAnsi="Verdana" w:eastAsia="华文细黑" w:cs="Calibri"/>
          <w:color w:val="000000"/>
        </w:rPr>
        <w:t>373m</w:t>
      </w:r>
      <w:r>
        <w:rPr>
          <w:rFonts w:hint="eastAsia" w:ascii="Verdana" w:hAnsi="Verdana" w:eastAsia="华文细黑" w:cs="Calibri"/>
          <w:color w:val="000000"/>
        </w:rPr>
        <w:t>、</w:t>
      </w:r>
      <w:r>
        <w:rPr>
          <w:rFonts w:ascii="Verdana" w:hAnsi="Verdana" w:eastAsia="华文细黑" w:cs="Calibri"/>
          <w:color w:val="000000"/>
        </w:rPr>
        <w:t xml:space="preserve"> DN150 </w:t>
      </w:r>
      <w:r>
        <w:rPr>
          <w:rFonts w:hint="eastAsia" w:ascii="Verdana" w:hAnsi="Verdana" w:eastAsia="华文细黑" w:cs="Calibri"/>
          <w:color w:val="000000"/>
        </w:rPr>
        <w:t>球墨铸铁管</w:t>
      </w:r>
      <w:r>
        <w:rPr>
          <w:rFonts w:ascii="Verdana" w:hAnsi="Verdana" w:eastAsia="华文细黑" w:cs="Calibri"/>
          <w:color w:val="000000"/>
        </w:rPr>
        <w:t xml:space="preserve">1073m </w:t>
      </w:r>
      <w:r>
        <w:rPr>
          <w:rFonts w:hint="eastAsia" w:ascii="Verdana" w:hAnsi="Verdana" w:eastAsia="华文细黑" w:cs="Calibri"/>
          <w:color w:val="000000"/>
        </w:rPr>
        <w:t>、</w:t>
      </w:r>
      <w:r>
        <w:rPr>
          <w:rFonts w:ascii="Verdana" w:hAnsi="Verdana" w:eastAsia="华文细黑" w:cs="Calibri"/>
          <w:color w:val="000000"/>
        </w:rPr>
        <w:t xml:space="preserve">DN100 </w:t>
      </w:r>
      <w:r>
        <w:rPr>
          <w:rFonts w:hint="eastAsia" w:ascii="Verdana" w:hAnsi="Verdana" w:eastAsia="华文细黑" w:cs="Calibri"/>
          <w:color w:val="000000"/>
        </w:rPr>
        <w:t>钢塑管</w:t>
      </w:r>
      <w:r>
        <w:rPr>
          <w:rFonts w:ascii="Verdana" w:hAnsi="Verdana" w:eastAsia="华文细黑" w:cs="Calibri"/>
          <w:color w:val="000000"/>
        </w:rPr>
        <w:t>917m</w:t>
      </w:r>
      <w:r>
        <w:rPr>
          <w:rFonts w:hint="eastAsia" w:ascii="Verdana" w:hAnsi="Verdana" w:eastAsia="华文细黑" w:cs="Calibri"/>
          <w:color w:val="000000"/>
        </w:rPr>
        <w:t>、</w:t>
      </w:r>
      <w:r>
        <w:rPr>
          <w:rFonts w:ascii="Verdana" w:hAnsi="Verdana" w:eastAsia="华文细黑" w:cs="Calibri"/>
          <w:color w:val="000000"/>
        </w:rPr>
        <w:t xml:space="preserve">DN80 </w:t>
      </w:r>
      <w:r>
        <w:rPr>
          <w:rFonts w:hint="eastAsia" w:ascii="Verdana" w:hAnsi="Verdana" w:eastAsia="华文细黑" w:cs="Calibri"/>
          <w:color w:val="000000"/>
        </w:rPr>
        <w:t>钢塑管</w:t>
      </w:r>
      <w:r>
        <w:rPr>
          <w:rFonts w:ascii="Verdana" w:hAnsi="Verdana" w:eastAsia="华文细黑" w:cs="Calibri"/>
          <w:color w:val="000000"/>
        </w:rPr>
        <w:t>4,293m</w:t>
      </w:r>
      <w:r>
        <w:rPr>
          <w:rFonts w:hint="eastAsia" w:ascii="Verdana" w:hAnsi="Verdana" w:eastAsia="华文细黑" w:cs="Calibri"/>
          <w:color w:val="000000"/>
        </w:rPr>
        <w:t>、</w:t>
      </w:r>
      <w:r>
        <w:rPr>
          <w:rFonts w:ascii="Verdana" w:hAnsi="Verdana" w:eastAsia="华文细黑" w:cs="Calibri"/>
          <w:color w:val="000000"/>
        </w:rPr>
        <w:t xml:space="preserve">DN65 </w:t>
      </w:r>
      <w:r>
        <w:rPr>
          <w:rFonts w:hint="eastAsia" w:ascii="Verdana" w:hAnsi="Verdana" w:eastAsia="华文细黑" w:cs="Calibri"/>
          <w:color w:val="000000"/>
        </w:rPr>
        <w:t>钢塑管</w:t>
      </w:r>
      <w:r>
        <w:rPr>
          <w:rFonts w:ascii="Verdana" w:hAnsi="Verdana" w:eastAsia="华文细黑" w:cs="Calibri"/>
          <w:color w:val="000000"/>
        </w:rPr>
        <w:t xml:space="preserve">2,796m </w:t>
      </w:r>
      <w:r>
        <w:rPr>
          <w:rFonts w:hint="eastAsia" w:ascii="Verdana" w:hAnsi="Verdana" w:eastAsia="华文细黑" w:cs="Calibri"/>
          <w:color w:val="000000"/>
        </w:rPr>
        <w:t>、</w:t>
      </w:r>
      <w:r>
        <w:rPr>
          <w:rFonts w:ascii="Verdana" w:hAnsi="Verdana" w:eastAsia="华文细黑" w:cs="Calibri"/>
          <w:color w:val="000000"/>
        </w:rPr>
        <w:t>DN50</w:t>
      </w:r>
      <w:r>
        <w:rPr>
          <w:rFonts w:hint="eastAsia" w:ascii="Verdana" w:hAnsi="Verdana" w:eastAsia="华文细黑" w:cs="Calibri"/>
          <w:color w:val="000000"/>
        </w:rPr>
        <w:t>钢塑管</w:t>
      </w:r>
      <w:r>
        <w:rPr>
          <w:rFonts w:ascii="Verdana" w:hAnsi="Verdana" w:eastAsia="华文细黑" w:cs="Calibri"/>
          <w:color w:val="000000"/>
        </w:rPr>
        <w:t>4,931m</w:t>
      </w:r>
      <w:r>
        <w:rPr>
          <w:rFonts w:hint="eastAsia" w:ascii="Verdana" w:hAnsi="Verdana" w:eastAsia="华文细黑" w:cs="Calibri"/>
          <w:color w:val="000000"/>
        </w:rPr>
        <w:t>、</w:t>
      </w:r>
      <w:r>
        <w:rPr>
          <w:rFonts w:ascii="Verdana" w:hAnsi="Verdana" w:eastAsia="华文细黑" w:cs="Calibri"/>
          <w:color w:val="000000"/>
        </w:rPr>
        <w:t xml:space="preserve">DN40 </w:t>
      </w:r>
      <w:r>
        <w:rPr>
          <w:rFonts w:hint="eastAsia" w:ascii="Verdana" w:hAnsi="Verdana" w:eastAsia="华文细黑" w:cs="Calibri"/>
          <w:color w:val="000000"/>
        </w:rPr>
        <w:t>钢塑</w:t>
      </w:r>
      <w:r>
        <w:rPr>
          <w:rFonts w:ascii="Verdana" w:hAnsi="Verdana" w:eastAsia="华文细黑" w:cs="Calibri"/>
          <w:color w:val="000000"/>
        </w:rPr>
        <w:t xml:space="preserve">  </w:t>
      </w:r>
      <w:r>
        <w:rPr>
          <w:rFonts w:hint="eastAsia" w:ascii="Verdana" w:hAnsi="Verdana" w:eastAsia="华文细黑" w:cs="Calibri"/>
          <w:color w:val="000000"/>
        </w:rPr>
        <w:t>管</w:t>
      </w:r>
      <w:r>
        <w:rPr>
          <w:rFonts w:ascii="Verdana" w:hAnsi="Verdana" w:eastAsia="华文细黑" w:cs="Calibri"/>
          <w:color w:val="000000"/>
        </w:rPr>
        <w:t>1,158m</w:t>
      </w:r>
      <w:r>
        <w:rPr>
          <w:rFonts w:hint="eastAsia" w:ascii="Verdana" w:hAnsi="Verdana" w:eastAsia="华文细黑" w:cs="Calibri"/>
          <w:color w:val="000000"/>
        </w:rPr>
        <w:t>、</w:t>
      </w:r>
      <w:r>
        <w:rPr>
          <w:rFonts w:ascii="Verdana" w:hAnsi="Verdana" w:eastAsia="华文细黑" w:cs="Calibri"/>
          <w:color w:val="000000"/>
        </w:rPr>
        <w:t>DN20</w:t>
      </w:r>
      <w:r>
        <w:rPr>
          <w:rFonts w:hint="eastAsia" w:ascii="Verdana" w:hAnsi="Verdana" w:eastAsia="华文细黑" w:cs="Calibri"/>
          <w:color w:val="000000"/>
        </w:rPr>
        <w:t>入户钢塑管</w:t>
      </w:r>
      <w:r>
        <w:rPr>
          <w:rFonts w:ascii="Verdana" w:hAnsi="Verdana" w:eastAsia="华文细黑" w:cs="Calibri"/>
          <w:color w:val="000000"/>
        </w:rPr>
        <w:t>67,425m</w:t>
      </w:r>
      <w:r>
        <w:rPr>
          <w:rFonts w:hint="eastAsia" w:ascii="Verdana" w:hAnsi="Verdana" w:eastAsia="华文细黑" w:cs="Calibri"/>
          <w:color w:val="000000"/>
        </w:rPr>
        <w:t>、</w:t>
      </w:r>
      <w:r>
        <w:rPr>
          <w:rFonts w:ascii="Verdana" w:hAnsi="Verdana" w:eastAsia="华文细黑" w:cs="Calibri"/>
          <w:color w:val="000000"/>
        </w:rPr>
        <w:t>PE100</w:t>
      </w:r>
      <w:r>
        <w:rPr>
          <w:rFonts w:hint="eastAsia" w:ascii="Verdana" w:hAnsi="Verdana" w:eastAsia="华文细黑" w:cs="Calibri"/>
          <w:color w:val="000000"/>
        </w:rPr>
        <w:t>聚乙烯给水管</w:t>
      </w:r>
      <w:r>
        <w:rPr>
          <w:rFonts w:ascii="Verdana" w:hAnsi="Verdana" w:eastAsia="华文细黑" w:cs="Calibri"/>
          <w:color w:val="000000"/>
        </w:rPr>
        <w:t xml:space="preserve">DN300 </w:t>
      </w:r>
      <w:r>
        <w:rPr>
          <w:rFonts w:hint="eastAsia" w:ascii="Verdana" w:hAnsi="Verdana" w:eastAsia="华文细黑" w:cs="Calibri"/>
          <w:color w:val="000000"/>
        </w:rPr>
        <w:t>共</w:t>
      </w:r>
      <w:r>
        <w:rPr>
          <w:rFonts w:ascii="Verdana" w:hAnsi="Verdana" w:eastAsia="华文细黑" w:cs="Calibri"/>
          <w:color w:val="000000"/>
        </w:rPr>
        <w:t>95m</w:t>
      </w:r>
      <w:r>
        <w:rPr>
          <w:rFonts w:hint="eastAsia" w:ascii="Verdana" w:hAnsi="Verdana" w:eastAsia="华文细黑" w:cs="Calibri"/>
          <w:color w:val="000000"/>
        </w:rPr>
        <w:t>、</w:t>
      </w:r>
      <w:r>
        <w:rPr>
          <w:rFonts w:ascii="Verdana" w:hAnsi="Verdana" w:eastAsia="华文细黑" w:cs="Calibri"/>
          <w:color w:val="000000"/>
        </w:rPr>
        <w:t>DN200</w:t>
      </w:r>
      <w:r>
        <w:rPr>
          <w:rFonts w:hint="eastAsia" w:ascii="Verdana" w:hAnsi="Verdana" w:eastAsia="华文细黑" w:cs="Calibri"/>
          <w:color w:val="000000"/>
        </w:rPr>
        <w:t>过路钢套管</w:t>
      </w:r>
      <w:r>
        <w:rPr>
          <w:rFonts w:ascii="Verdana" w:hAnsi="Verdana" w:eastAsia="华文细黑" w:cs="Calibri"/>
          <w:color w:val="000000"/>
        </w:rPr>
        <w:t>30m</w:t>
      </w:r>
      <w:r>
        <w:rPr>
          <w:rFonts w:hint="eastAsia" w:ascii="Verdana" w:hAnsi="Verdana" w:eastAsia="华文细黑" w:cs="Calibri"/>
          <w:color w:val="000000"/>
        </w:rPr>
        <w:t>、</w:t>
      </w:r>
      <w:r>
        <w:rPr>
          <w:rFonts w:ascii="Verdana" w:hAnsi="Verdana" w:eastAsia="华文细黑" w:cs="Calibri"/>
          <w:color w:val="000000"/>
        </w:rPr>
        <w:t>DN150</w:t>
      </w:r>
      <w:r>
        <w:rPr>
          <w:rFonts w:hint="eastAsia" w:ascii="Verdana" w:hAnsi="Verdana" w:eastAsia="华文细黑" w:cs="Calibri"/>
          <w:color w:val="000000"/>
        </w:rPr>
        <w:t>过路钢套管</w:t>
      </w:r>
      <w:r>
        <w:rPr>
          <w:rFonts w:ascii="Verdana" w:hAnsi="Verdana" w:eastAsia="华文细黑" w:cs="Calibri"/>
          <w:color w:val="000000"/>
        </w:rPr>
        <w:t>144m</w:t>
      </w:r>
      <w:r>
        <w:rPr>
          <w:rFonts w:hint="eastAsia" w:ascii="Verdana" w:hAnsi="Verdana" w:eastAsia="华文细黑" w:cs="Calibri"/>
          <w:color w:val="000000"/>
        </w:rPr>
        <w:t>、</w:t>
      </w:r>
      <w:r>
        <w:rPr>
          <w:rFonts w:ascii="Verdana" w:hAnsi="Verdana" w:eastAsia="华文细黑" w:cs="Calibri"/>
          <w:color w:val="000000"/>
        </w:rPr>
        <w:t xml:space="preserve">DN100 </w:t>
      </w:r>
      <w:r>
        <w:rPr>
          <w:rFonts w:hint="eastAsia" w:ascii="Verdana" w:hAnsi="Verdana" w:eastAsia="华文细黑" w:cs="Calibri"/>
          <w:color w:val="000000"/>
        </w:rPr>
        <w:t>过路钢套管</w:t>
      </w:r>
      <w:r>
        <w:rPr>
          <w:rFonts w:ascii="Verdana" w:hAnsi="Verdana" w:eastAsia="华文细黑" w:cs="Calibri"/>
          <w:color w:val="000000"/>
        </w:rPr>
        <w:t>673m</w:t>
      </w:r>
      <w:r>
        <w:rPr>
          <w:rFonts w:hint="eastAsia" w:ascii="Verdana" w:hAnsi="Verdana" w:eastAsia="华文细黑" w:cs="Calibri"/>
          <w:color w:val="000000"/>
        </w:rPr>
        <w:t>、用户水表组安装</w:t>
      </w:r>
      <w:r>
        <w:rPr>
          <w:rFonts w:ascii="Verdana" w:hAnsi="Verdana" w:eastAsia="华文细黑" w:cs="Calibri"/>
          <w:color w:val="000000"/>
        </w:rPr>
        <w:t>2,697</w:t>
      </w:r>
      <w:r>
        <w:rPr>
          <w:rFonts w:hint="eastAsia" w:ascii="Verdana" w:hAnsi="Verdana" w:eastAsia="华文细黑" w:cs="Calibri"/>
          <w:color w:val="000000"/>
        </w:rPr>
        <w:t>户，压力等级为</w:t>
      </w:r>
      <w:r>
        <w:rPr>
          <w:rFonts w:ascii="Verdana" w:hAnsi="Verdana" w:eastAsia="华文细黑" w:cs="Calibri"/>
          <w:color w:val="000000"/>
        </w:rPr>
        <w:t>1.0MPa</w:t>
      </w:r>
      <w:r>
        <w:rPr>
          <w:rFonts w:hint="eastAsia" w:ascii="Verdana" w:hAnsi="Verdana" w:eastAsia="华文细黑" w:cs="Calibri"/>
          <w:color w:val="000000"/>
        </w:rPr>
        <w:t>等</w:t>
      </w:r>
      <w:r>
        <w:rPr>
          <w:rFonts w:ascii="Verdana" w:hAnsi="Verdana" w:eastAsia="华文细黑" w:cs="Calibri"/>
          <w:color w:val="000000"/>
        </w:rPr>
        <w:t>。</w:t>
      </w:r>
    </w:p>
    <w:p>
      <w:pPr>
        <w:spacing w:before="120" w:after="120" w:line="360" w:lineRule="auto"/>
        <w:ind w:firstLine="454"/>
        <w:jc w:val="both"/>
        <w:rPr>
          <w:rFonts w:ascii="Verdana" w:hAnsi="Verdana" w:eastAsia="华文细黑" w:cs="Calibri"/>
          <w:color w:val="000000"/>
        </w:rPr>
      </w:pPr>
      <w:r>
        <w:rPr>
          <w:rFonts w:hint="eastAsia" w:ascii="Verdana" w:hAnsi="Verdana" w:eastAsia="华文细黑" w:cs="Calibri"/>
          <w:color w:val="000000"/>
        </w:rPr>
        <w:t>参考《水利工程供水价格管理办法》（中华人民共和国国家发展和改革委员会、中华人民共和国水利部第</w:t>
      </w:r>
      <w:r>
        <w:rPr>
          <w:rFonts w:ascii="Verdana" w:hAnsi="Verdana" w:eastAsia="华文细黑" w:cs="Calibri"/>
          <w:color w:val="000000"/>
        </w:rPr>
        <w:t xml:space="preserve">4 </w:t>
      </w:r>
      <w:r>
        <w:rPr>
          <w:rFonts w:hint="eastAsia" w:ascii="Verdana" w:hAnsi="Verdana" w:eastAsia="华文细黑" w:cs="Calibri"/>
          <w:color w:val="000000"/>
        </w:rPr>
        <w:t>号令，</w:t>
      </w:r>
      <w:r>
        <w:rPr>
          <w:rFonts w:ascii="Verdana" w:hAnsi="Verdana" w:eastAsia="华文细黑" w:cs="Calibri"/>
          <w:color w:val="000000"/>
        </w:rPr>
        <w:t xml:space="preserve">2003 </w:t>
      </w:r>
      <w:r>
        <w:rPr>
          <w:rFonts w:hint="eastAsia" w:ascii="Verdana" w:hAnsi="Verdana" w:eastAsia="华文细黑" w:cs="Calibri"/>
          <w:color w:val="000000"/>
        </w:rPr>
        <w:t>年</w:t>
      </w:r>
      <w:r>
        <w:rPr>
          <w:rFonts w:ascii="Verdana" w:hAnsi="Verdana" w:eastAsia="华文细黑" w:cs="Calibri"/>
          <w:color w:val="000000"/>
        </w:rPr>
        <w:t xml:space="preserve">7 </w:t>
      </w:r>
      <w:r>
        <w:rPr>
          <w:rFonts w:hint="eastAsia" w:ascii="Verdana" w:hAnsi="Verdana" w:eastAsia="华文细黑" w:cs="Calibri"/>
          <w:color w:val="000000"/>
        </w:rPr>
        <w:t>月）第九条：利用贷款、债券建设的水利供水工程，供水价格应使供水经营者在经营期内具备补偿成本、费用和偿还贷款、债券本息的能力并获得合理的利润。为保障拟发行债券还本付息，吉阳区政府拟安排辖区内部分供水收入作为还款来源。</w:t>
      </w:r>
    </w:p>
    <w:p>
      <w:pPr>
        <w:spacing w:before="120" w:after="120" w:line="360" w:lineRule="auto"/>
        <w:ind w:firstLine="454"/>
        <w:jc w:val="both"/>
        <w:rPr>
          <w:rFonts w:ascii="Verdana" w:hAnsi="Verdana" w:eastAsia="华文细黑" w:cs="Calibri"/>
          <w:color w:val="000000"/>
        </w:rPr>
      </w:pPr>
      <w:r>
        <w:rPr>
          <w:rFonts w:ascii="Verdana" w:hAnsi="Verdana" w:eastAsia="华文细黑" w:cs="Calibri"/>
          <w:color w:val="000000"/>
        </w:rPr>
        <w:t>本项目每年</w:t>
      </w:r>
      <w:r>
        <w:rPr>
          <w:rFonts w:hint="eastAsia" w:ascii="Verdana" w:hAnsi="Verdana" w:eastAsia="华文细黑" w:cs="Calibri"/>
          <w:color w:val="000000"/>
        </w:rPr>
        <w:t>供水</w:t>
      </w:r>
      <w:r>
        <w:rPr>
          <w:rFonts w:ascii="Verdana" w:hAnsi="Verdana" w:eastAsia="华文细黑" w:cs="Calibri"/>
          <w:color w:val="000000"/>
        </w:rPr>
        <w:t>收入为136.80万元</w:t>
      </w:r>
      <w:r>
        <w:rPr>
          <w:rFonts w:hint="eastAsia" w:ascii="Verdana" w:hAnsi="Verdana" w:eastAsia="华文细黑" w:cs="Calibri"/>
          <w:color w:val="000000"/>
        </w:rPr>
        <w:t>，拟安排用于本期债券的供水收入共计</w:t>
      </w:r>
      <w:r>
        <w:rPr>
          <w:rFonts w:ascii="Verdana" w:hAnsi="Verdana" w:eastAsia="华文细黑" w:cs="Calibri"/>
          <w:color w:val="000000"/>
        </w:rPr>
        <w:t>684.00</w:t>
      </w:r>
      <w:r>
        <w:rPr>
          <w:rFonts w:hint="eastAsia" w:ascii="Verdana" w:hAnsi="Verdana" w:eastAsia="华文细黑" w:cs="Calibri"/>
          <w:color w:val="000000"/>
        </w:rPr>
        <w:t>万元。</w:t>
      </w:r>
      <w:r>
        <w:rPr>
          <w:rFonts w:ascii="Verdana" w:hAnsi="Verdana" w:eastAsia="华文细黑" w:cs="Calibri"/>
          <w:color w:val="000000"/>
        </w:rPr>
        <w:t>本项目运营成本由财政拨款解决，本项目运营期债券还本付息层面不考虑运营成本。由于本项目为公益性项目，运营期产生税费较少因此暂不纳入还本付息考虑。</w:t>
      </w:r>
      <w:bookmarkEnd w:id="78"/>
      <w:r>
        <w:rPr>
          <w:rFonts w:ascii="Verdana" w:hAnsi="Verdana" w:eastAsia="华文细黑" w:cs="Calibri"/>
          <w:color w:val="000000"/>
        </w:rPr>
        <w:t>债券存续期运营收入情况详见附件2。</w:t>
      </w:r>
    </w:p>
    <w:p>
      <w:pPr>
        <w:spacing w:before="120" w:after="120" w:line="360" w:lineRule="auto"/>
        <w:ind w:firstLine="454"/>
        <w:jc w:val="both"/>
        <w:rPr>
          <w:rFonts w:ascii="Verdana" w:hAnsi="Verdana" w:eastAsia="华文细黑" w:cs="Calibri"/>
          <w:color w:val="000000"/>
        </w:rPr>
        <w:sectPr>
          <w:footerReference r:id="rId16" w:type="default"/>
          <w:pgSz w:w="12240" w:h="15840"/>
          <w:pgMar w:top="1276" w:right="1800" w:bottom="1276" w:left="1800" w:header="708" w:footer="850" w:gutter="0"/>
          <w:cols w:space="708" w:num="1"/>
          <w:docGrid w:linePitch="360" w:charSpace="0"/>
        </w:sectPr>
      </w:pPr>
      <w:r>
        <w:rPr>
          <w:rFonts w:ascii="Verdana" w:hAnsi="Verdana" w:eastAsia="华文细黑" w:cs="Calibri"/>
          <w:color w:val="000000"/>
        </w:rPr>
        <w:br w:type="page"/>
      </w:r>
    </w:p>
    <w:p>
      <w:pPr>
        <w:spacing w:before="120" w:after="120" w:line="360" w:lineRule="auto"/>
        <w:jc w:val="both"/>
        <w:outlineLvl w:val="0"/>
        <w:rPr>
          <w:rFonts w:ascii="Verdana" w:hAnsi="Verdana" w:eastAsia="华文细黑" w:cs="Calibri"/>
          <w:b/>
          <w:sz w:val="32"/>
          <w:szCs w:val="32"/>
        </w:rPr>
      </w:pPr>
      <w:bookmarkStart w:id="79" w:name="_Toc135044154"/>
      <w:bookmarkStart w:id="80" w:name="_Toc38918458"/>
      <w:bookmarkStart w:id="81" w:name="_Toc25162488"/>
      <w:r>
        <w:rPr>
          <w:rFonts w:ascii="Verdana" w:hAnsi="Verdana" w:eastAsia="华文细黑" w:cs="Calibri"/>
          <w:b/>
          <w:sz w:val="32"/>
          <w:szCs w:val="32"/>
        </w:rPr>
        <w:t>附件2：运营收入支出表</w:t>
      </w:r>
      <w:bookmarkEnd w:id="79"/>
      <w:bookmarkEnd w:id="80"/>
      <w:bookmarkEnd w:id="81"/>
    </w:p>
    <w:p>
      <w:pPr>
        <w:ind w:right="-604"/>
        <w:contextualSpacing/>
        <w:jc w:val="right"/>
        <w:rPr>
          <w:rFonts w:ascii="Verdana" w:hAnsi="Verdana" w:eastAsia="华文细黑" w:cs="Calibri"/>
          <w:sz w:val="21"/>
          <w:szCs w:val="20"/>
          <w:lang w:val="en-GB"/>
        </w:rPr>
      </w:pPr>
    </w:p>
    <w:p>
      <w:pPr>
        <w:jc w:val="center"/>
        <w:rPr>
          <w:rFonts w:ascii="Verdana" w:hAnsi="Verdana" w:eastAsia="华文细黑" w:cs="Calibri"/>
          <w:b/>
          <w:color w:val="000000"/>
        </w:rPr>
      </w:pPr>
      <w:r>
        <w:rPr>
          <w:rFonts w:ascii="Verdana" w:hAnsi="Verdana" w:eastAsia="华文细黑" w:cs="Calibri"/>
          <w:b/>
          <w:color w:val="000000"/>
        </w:rPr>
        <w:t>项目收入支出表</w:t>
      </w:r>
    </w:p>
    <w:p>
      <w:pPr>
        <w:ind w:right="60"/>
        <w:contextualSpacing/>
        <w:jc w:val="right"/>
        <w:rPr>
          <w:rFonts w:ascii="Verdana" w:hAnsi="Verdana" w:eastAsia="华文细黑" w:cs="Calibri"/>
          <w:sz w:val="21"/>
          <w:szCs w:val="20"/>
          <w:lang w:val="en-GB"/>
        </w:rPr>
      </w:pPr>
      <w:r>
        <w:rPr>
          <w:rFonts w:ascii="Verdana" w:hAnsi="Verdana" w:eastAsia="华文细黑" w:cs="Calibri"/>
          <w:sz w:val="21"/>
          <w:szCs w:val="20"/>
          <w:lang w:val="en-GB"/>
        </w:rPr>
        <w:t>单位：人民币万元</w:t>
      </w:r>
    </w:p>
    <w:tbl>
      <w:tblPr>
        <w:tblStyle w:val="9"/>
        <w:tblW w:w="129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0"/>
        <w:gridCol w:w="1770"/>
        <w:gridCol w:w="1769"/>
        <w:gridCol w:w="1769"/>
        <w:gridCol w:w="1769"/>
        <w:gridCol w:w="1769"/>
        <w:gridCol w:w="1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trPr>
        <w:tc>
          <w:tcPr>
            <w:tcW w:w="2340" w:type="dxa"/>
            <w:shd w:val="clear" w:color="000000" w:fill="0070C0"/>
            <w:vAlign w:val="center"/>
          </w:tcPr>
          <w:p>
            <w:pPr>
              <w:jc w:val="center"/>
              <w:rPr>
                <w:rFonts w:ascii="Verdana" w:hAnsi="Verdana" w:eastAsia="华文细黑" w:cs="宋体"/>
                <w:b/>
                <w:bCs/>
                <w:color w:val="FFFFFF"/>
                <w:sz w:val="20"/>
                <w:szCs w:val="20"/>
              </w:rPr>
            </w:pPr>
            <w:bookmarkStart w:id="82" w:name="_Hlk150181624"/>
            <w:r>
              <w:rPr>
                <w:rFonts w:ascii="Verdana" w:hAnsi="Verdana" w:eastAsia="华文细黑" w:cs="宋体"/>
                <w:b/>
                <w:bCs/>
                <w:color w:val="FFFFFF"/>
                <w:sz w:val="20"/>
                <w:szCs w:val="20"/>
              </w:rPr>
              <w:t>年度</w:t>
            </w:r>
          </w:p>
        </w:tc>
        <w:tc>
          <w:tcPr>
            <w:tcW w:w="1770" w:type="dxa"/>
            <w:shd w:val="clear" w:color="000000" w:fill="0070C0"/>
            <w:noWrap/>
            <w:vAlign w:val="center"/>
          </w:tcPr>
          <w:p>
            <w:pPr>
              <w:jc w:val="center"/>
              <w:rPr>
                <w:rFonts w:ascii="Verdana" w:hAnsi="Verdana" w:eastAsia="华文细黑" w:cs="宋体"/>
                <w:b/>
                <w:bCs/>
                <w:color w:val="FFFFFF"/>
                <w:sz w:val="20"/>
                <w:szCs w:val="20"/>
              </w:rPr>
            </w:pPr>
            <w:r>
              <w:rPr>
                <w:rFonts w:ascii="Verdana" w:hAnsi="Verdana" w:eastAsia="华文细黑" w:cs="宋体"/>
                <w:b/>
                <w:bCs/>
                <w:color w:val="FFFFFF"/>
                <w:sz w:val="20"/>
                <w:szCs w:val="20"/>
              </w:rPr>
              <w:t>2024</w:t>
            </w:r>
          </w:p>
        </w:tc>
        <w:tc>
          <w:tcPr>
            <w:tcW w:w="1769" w:type="dxa"/>
            <w:shd w:val="clear" w:color="000000" w:fill="0070C0"/>
            <w:noWrap/>
            <w:vAlign w:val="center"/>
          </w:tcPr>
          <w:p>
            <w:pPr>
              <w:jc w:val="center"/>
              <w:rPr>
                <w:rFonts w:ascii="Verdana" w:hAnsi="Verdana" w:eastAsia="华文细黑" w:cs="宋体"/>
                <w:b/>
                <w:bCs/>
                <w:color w:val="FFFFFF"/>
                <w:sz w:val="20"/>
                <w:szCs w:val="20"/>
              </w:rPr>
            </w:pPr>
            <w:r>
              <w:fldChar w:fldCharType="begin"/>
            </w:r>
            <w:r>
              <w:instrText xml:space="preserve"> HYPERLINK "file:///C:\\Karen%20Gong\\三亚专项债2022\\2023.03环投\\新发\\环投集团打包测算底稿-23年3月新发-20230327【剔除南岛居】.xlsm" \l "RANGE!_ftn1" </w:instrText>
            </w:r>
            <w:r>
              <w:fldChar w:fldCharType="separate"/>
            </w:r>
            <w:r>
              <w:rPr>
                <w:rFonts w:ascii="Verdana" w:hAnsi="Verdana" w:eastAsia="华文细黑" w:cs="宋体"/>
                <w:b/>
                <w:bCs/>
                <w:color w:val="FFFFFF"/>
                <w:sz w:val="20"/>
                <w:szCs w:val="20"/>
              </w:rPr>
              <w:t>2025</w:t>
            </w:r>
            <w:r>
              <w:rPr>
                <w:rFonts w:ascii="Verdana" w:hAnsi="Verdana" w:eastAsia="华文细黑" w:cs="宋体"/>
                <w:b/>
                <w:bCs/>
                <w:color w:val="FFFFFF"/>
                <w:sz w:val="20"/>
                <w:szCs w:val="20"/>
              </w:rPr>
              <w:fldChar w:fldCharType="end"/>
            </w:r>
          </w:p>
        </w:tc>
        <w:tc>
          <w:tcPr>
            <w:tcW w:w="1769" w:type="dxa"/>
            <w:shd w:val="clear" w:color="000000" w:fill="0070C0"/>
            <w:noWrap/>
            <w:vAlign w:val="center"/>
          </w:tcPr>
          <w:p>
            <w:pPr>
              <w:jc w:val="center"/>
              <w:rPr>
                <w:rFonts w:ascii="Verdana" w:hAnsi="Verdana" w:eastAsia="华文细黑" w:cs="宋体"/>
                <w:b/>
                <w:bCs/>
                <w:color w:val="FFFFFF"/>
                <w:sz w:val="20"/>
                <w:szCs w:val="20"/>
              </w:rPr>
            </w:pPr>
            <w:r>
              <w:rPr>
                <w:rFonts w:ascii="Verdana" w:hAnsi="Verdana" w:eastAsia="华文细黑" w:cs="宋体"/>
                <w:b/>
                <w:bCs/>
                <w:color w:val="FFFFFF"/>
                <w:sz w:val="20"/>
                <w:szCs w:val="20"/>
              </w:rPr>
              <w:t>2026</w:t>
            </w:r>
          </w:p>
        </w:tc>
        <w:tc>
          <w:tcPr>
            <w:tcW w:w="1769" w:type="dxa"/>
            <w:shd w:val="clear" w:color="000000" w:fill="0070C0"/>
            <w:noWrap/>
            <w:vAlign w:val="center"/>
          </w:tcPr>
          <w:p>
            <w:pPr>
              <w:jc w:val="center"/>
              <w:rPr>
                <w:rFonts w:ascii="Verdana" w:hAnsi="Verdana" w:eastAsia="华文细黑" w:cs="宋体"/>
                <w:b/>
                <w:bCs/>
                <w:color w:val="FFFFFF"/>
                <w:sz w:val="20"/>
                <w:szCs w:val="20"/>
              </w:rPr>
            </w:pPr>
            <w:r>
              <w:rPr>
                <w:rFonts w:ascii="Verdana" w:hAnsi="Verdana" w:eastAsia="华文细黑" w:cs="宋体"/>
                <w:b/>
                <w:bCs/>
                <w:color w:val="FFFFFF"/>
                <w:sz w:val="20"/>
                <w:szCs w:val="20"/>
              </w:rPr>
              <w:t>2027</w:t>
            </w:r>
          </w:p>
        </w:tc>
        <w:tc>
          <w:tcPr>
            <w:tcW w:w="1769" w:type="dxa"/>
            <w:shd w:val="clear" w:color="000000" w:fill="0070C0"/>
            <w:noWrap/>
            <w:vAlign w:val="center"/>
          </w:tcPr>
          <w:p>
            <w:pPr>
              <w:jc w:val="center"/>
              <w:rPr>
                <w:rFonts w:ascii="Verdana" w:hAnsi="Verdana" w:eastAsia="华文细黑" w:cs="宋体"/>
                <w:b/>
                <w:bCs/>
                <w:color w:val="FFFFFF"/>
                <w:sz w:val="20"/>
                <w:szCs w:val="20"/>
              </w:rPr>
            </w:pPr>
            <w:r>
              <w:rPr>
                <w:rFonts w:ascii="Verdana" w:hAnsi="Verdana" w:eastAsia="华文细黑" w:cs="宋体"/>
                <w:b/>
                <w:bCs/>
                <w:color w:val="FFFFFF"/>
                <w:sz w:val="20"/>
                <w:szCs w:val="20"/>
              </w:rPr>
              <w:t>2028</w:t>
            </w:r>
          </w:p>
        </w:tc>
        <w:tc>
          <w:tcPr>
            <w:tcW w:w="1764" w:type="dxa"/>
            <w:shd w:val="clear" w:color="000000" w:fill="0070C0"/>
            <w:noWrap/>
            <w:vAlign w:val="center"/>
          </w:tcPr>
          <w:p>
            <w:pPr>
              <w:jc w:val="center"/>
              <w:rPr>
                <w:rFonts w:ascii="Verdana" w:hAnsi="Verdana" w:eastAsia="华文细黑" w:cs="宋体"/>
                <w:b/>
                <w:bCs/>
                <w:color w:val="FFFFFF"/>
                <w:sz w:val="20"/>
                <w:szCs w:val="20"/>
              </w:rPr>
            </w:pPr>
            <w:r>
              <w:rPr>
                <w:rFonts w:hint="eastAsia" w:ascii="Verdana" w:hAnsi="Verdana" w:eastAsia="华文细黑" w:cs="宋体"/>
                <w:b/>
                <w:bCs/>
                <w:color w:val="FFFFFF"/>
                <w:sz w:val="20"/>
                <w:szCs w:val="20"/>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2340" w:type="dxa"/>
            <w:shd w:val="clear" w:color="auto" w:fill="auto"/>
            <w:vAlign w:val="center"/>
          </w:tcPr>
          <w:p>
            <w:pPr>
              <w:rPr>
                <w:rFonts w:ascii="Verdana" w:hAnsi="Verdana" w:eastAsia="华文细黑" w:cs="宋体"/>
                <w:color w:val="000000"/>
                <w:sz w:val="20"/>
                <w:szCs w:val="20"/>
              </w:rPr>
            </w:pPr>
            <w:r>
              <w:rPr>
                <w:rFonts w:hint="eastAsia" w:ascii="Verdana" w:hAnsi="Verdana" w:eastAsia="华文细黑" w:cs="宋体"/>
                <w:color w:val="000000"/>
                <w:sz w:val="20"/>
                <w:szCs w:val="20"/>
              </w:rPr>
              <w:t>供水</w:t>
            </w:r>
            <w:r>
              <w:rPr>
                <w:rFonts w:ascii="Verdana" w:hAnsi="Verdana" w:eastAsia="华文细黑" w:cs="宋体"/>
                <w:color w:val="000000"/>
                <w:sz w:val="20"/>
                <w:szCs w:val="20"/>
              </w:rPr>
              <w:t>收入</w:t>
            </w:r>
          </w:p>
        </w:tc>
        <w:tc>
          <w:tcPr>
            <w:tcW w:w="1770" w:type="dxa"/>
            <w:shd w:val="clear" w:color="auto" w:fill="auto"/>
            <w:noWrap/>
            <w:vAlign w:val="center"/>
          </w:tcPr>
          <w:p>
            <w:pPr>
              <w:jc w:val="right"/>
              <w:rPr>
                <w:rFonts w:eastAsia="华文细黑" w:cs="宋体" w:asciiTheme="minorHAnsi" w:hAnsiTheme="minorHAnsi"/>
                <w:color w:val="000000"/>
                <w:sz w:val="20"/>
                <w:szCs w:val="20"/>
              </w:rPr>
            </w:pPr>
            <w:r>
              <w:rPr>
                <w:rFonts w:asciiTheme="minorHAnsi" w:hAnsiTheme="minorHAnsi"/>
                <w:sz w:val="20"/>
                <w:szCs w:val="20"/>
              </w:rPr>
              <w:t xml:space="preserve"> 136.80 </w:t>
            </w:r>
          </w:p>
        </w:tc>
        <w:tc>
          <w:tcPr>
            <w:tcW w:w="1769" w:type="dxa"/>
            <w:shd w:val="clear" w:color="auto" w:fill="auto"/>
            <w:noWrap/>
            <w:vAlign w:val="center"/>
          </w:tcPr>
          <w:p>
            <w:pPr>
              <w:jc w:val="right"/>
              <w:rPr>
                <w:rFonts w:eastAsia="华文细黑" w:cs="宋体" w:asciiTheme="minorHAnsi" w:hAnsiTheme="minorHAnsi"/>
                <w:color w:val="000000"/>
                <w:sz w:val="20"/>
                <w:szCs w:val="20"/>
              </w:rPr>
            </w:pPr>
            <w:r>
              <w:rPr>
                <w:rFonts w:asciiTheme="minorHAnsi" w:hAnsiTheme="minorHAnsi"/>
                <w:sz w:val="20"/>
                <w:szCs w:val="20"/>
              </w:rPr>
              <w:t xml:space="preserve"> 136.80 </w:t>
            </w:r>
          </w:p>
        </w:tc>
        <w:tc>
          <w:tcPr>
            <w:tcW w:w="1769" w:type="dxa"/>
            <w:shd w:val="clear" w:color="auto" w:fill="auto"/>
            <w:noWrap/>
            <w:vAlign w:val="center"/>
          </w:tcPr>
          <w:p>
            <w:pPr>
              <w:jc w:val="right"/>
              <w:rPr>
                <w:rFonts w:eastAsia="华文细黑" w:cs="宋体" w:asciiTheme="minorHAnsi" w:hAnsiTheme="minorHAnsi"/>
                <w:color w:val="000000"/>
                <w:sz w:val="20"/>
                <w:szCs w:val="20"/>
              </w:rPr>
            </w:pPr>
            <w:r>
              <w:rPr>
                <w:rFonts w:asciiTheme="minorHAnsi" w:hAnsiTheme="minorHAnsi"/>
                <w:sz w:val="20"/>
                <w:szCs w:val="20"/>
              </w:rPr>
              <w:t xml:space="preserve"> 136.80 </w:t>
            </w:r>
          </w:p>
        </w:tc>
        <w:tc>
          <w:tcPr>
            <w:tcW w:w="1769" w:type="dxa"/>
            <w:shd w:val="clear" w:color="auto" w:fill="auto"/>
            <w:noWrap/>
            <w:vAlign w:val="center"/>
          </w:tcPr>
          <w:p>
            <w:pPr>
              <w:jc w:val="right"/>
              <w:rPr>
                <w:rFonts w:eastAsia="华文细黑" w:cs="宋体" w:asciiTheme="minorHAnsi" w:hAnsiTheme="minorHAnsi"/>
                <w:color w:val="000000"/>
                <w:sz w:val="20"/>
                <w:szCs w:val="20"/>
              </w:rPr>
            </w:pPr>
            <w:r>
              <w:rPr>
                <w:rFonts w:asciiTheme="minorHAnsi" w:hAnsiTheme="minorHAnsi"/>
                <w:sz w:val="20"/>
                <w:szCs w:val="20"/>
              </w:rPr>
              <w:t xml:space="preserve"> 136.80 </w:t>
            </w:r>
          </w:p>
        </w:tc>
        <w:tc>
          <w:tcPr>
            <w:tcW w:w="1769" w:type="dxa"/>
            <w:shd w:val="clear" w:color="auto" w:fill="auto"/>
            <w:noWrap/>
            <w:vAlign w:val="center"/>
          </w:tcPr>
          <w:p>
            <w:pPr>
              <w:jc w:val="right"/>
              <w:rPr>
                <w:rFonts w:eastAsia="华文细黑" w:cs="宋体" w:asciiTheme="minorHAnsi" w:hAnsiTheme="minorHAnsi"/>
                <w:color w:val="000000"/>
                <w:sz w:val="20"/>
                <w:szCs w:val="20"/>
              </w:rPr>
            </w:pPr>
            <w:r>
              <w:rPr>
                <w:rFonts w:asciiTheme="minorHAnsi" w:hAnsiTheme="minorHAnsi"/>
                <w:sz w:val="20"/>
                <w:szCs w:val="20"/>
              </w:rPr>
              <w:t xml:space="preserve"> 136.80 </w:t>
            </w:r>
          </w:p>
        </w:tc>
        <w:tc>
          <w:tcPr>
            <w:tcW w:w="1764" w:type="dxa"/>
            <w:shd w:val="clear" w:color="auto" w:fill="auto"/>
            <w:noWrap/>
            <w:vAlign w:val="center"/>
          </w:tcPr>
          <w:p>
            <w:pPr>
              <w:jc w:val="right"/>
              <w:rPr>
                <w:rFonts w:asciiTheme="minorHAnsi" w:hAnsiTheme="minorHAnsi"/>
                <w:sz w:val="20"/>
                <w:szCs w:val="20"/>
              </w:rPr>
            </w:pPr>
            <w:r>
              <w:rPr>
                <w:rFonts w:asciiTheme="minorHAnsi" w:hAnsiTheme="minorHAnsi"/>
                <w:sz w:val="20"/>
                <w:szCs w:val="20"/>
              </w:rPr>
              <w:t xml:space="preserve"> 684.00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2340" w:type="dxa"/>
            <w:shd w:val="clear" w:color="auto" w:fill="auto"/>
            <w:vAlign w:val="center"/>
          </w:tcPr>
          <w:p>
            <w:pPr>
              <w:rPr>
                <w:rFonts w:ascii="Verdana" w:hAnsi="Verdana" w:eastAsia="华文细黑" w:cs="宋体"/>
                <w:b/>
                <w:bCs/>
                <w:color w:val="000000"/>
                <w:sz w:val="20"/>
                <w:szCs w:val="20"/>
              </w:rPr>
            </w:pPr>
            <w:r>
              <w:rPr>
                <w:rFonts w:ascii="Verdana" w:hAnsi="Verdana" w:eastAsia="华文细黑" w:cs="宋体"/>
                <w:b/>
                <w:bCs/>
                <w:color w:val="000000"/>
                <w:sz w:val="20"/>
                <w:szCs w:val="20"/>
              </w:rPr>
              <w:t>收入合计</w:t>
            </w:r>
          </w:p>
        </w:tc>
        <w:tc>
          <w:tcPr>
            <w:tcW w:w="1770" w:type="dxa"/>
            <w:shd w:val="clear" w:color="auto" w:fill="auto"/>
            <w:noWrap/>
            <w:vAlign w:val="center"/>
          </w:tcPr>
          <w:p>
            <w:pPr>
              <w:jc w:val="right"/>
              <w:rPr>
                <w:rFonts w:eastAsia="华文细黑" w:cs="宋体" w:asciiTheme="minorHAnsi" w:hAnsiTheme="minorHAnsi"/>
                <w:b/>
                <w:bCs/>
                <w:color w:val="000000"/>
                <w:sz w:val="20"/>
                <w:szCs w:val="20"/>
              </w:rPr>
            </w:pPr>
            <w:r>
              <w:rPr>
                <w:rFonts w:asciiTheme="minorHAnsi" w:hAnsiTheme="minorHAnsi"/>
                <w:b/>
                <w:bCs/>
                <w:sz w:val="20"/>
                <w:szCs w:val="20"/>
              </w:rPr>
              <w:t xml:space="preserve"> 136.80 </w:t>
            </w:r>
          </w:p>
        </w:tc>
        <w:tc>
          <w:tcPr>
            <w:tcW w:w="1769" w:type="dxa"/>
            <w:shd w:val="clear" w:color="auto" w:fill="auto"/>
            <w:noWrap/>
            <w:vAlign w:val="center"/>
          </w:tcPr>
          <w:p>
            <w:pPr>
              <w:jc w:val="right"/>
              <w:rPr>
                <w:rFonts w:eastAsia="华文细黑" w:cs="宋体" w:asciiTheme="minorHAnsi" w:hAnsiTheme="minorHAnsi"/>
                <w:b/>
                <w:bCs/>
                <w:color w:val="000000"/>
                <w:sz w:val="20"/>
                <w:szCs w:val="20"/>
              </w:rPr>
            </w:pPr>
            <w:r>
              <w:rPr>
                <w:rFonts w:asciiTheme="minorHAnsi" w:hAnsiTheme="minorHAnsi"/>
                <w:b/>
                <w:bCs/>
                <w:sz w:val="20"/>
                <w:szCs w:val="20"/>
              </w:rPr>
              <w:t xml:space="preserve"> 136.80 </w:t>
            </w:r>
          </w:p>
        </w:tc>
        <w:tc>
          <w:tcPr>
            <w:tcW w:w="1769" w:type="dxa"/>
            <w:shd w:val="clear" w:color="auto" w:fill="auto"/>
            <w:noWrap/>
            <w:vAlign w:val="center"/>
          </w:tcPr>
          <w:p>
            <w:pPr>
              <w:jc w:val="right"/>
              <w:rPr>
                <w:rFonts w:eastAsia="华文细黑" w:cs="宋体" w:asciiTheme="minorHAnsi" w:hAnsiTheme="minorHAnsi"/>
                <w:b/>
                <w:bCs/>
                <w:color w:val="000000"/>
                <w:sz w:val="20"/>
                <w:szCs w:val="20"/>
              </w:rPr>
            </w:pPr>
            <w:r>
              <w:rPr>
                <w:rFonts w:asciiTheme="minorHAnsi" w:hAnsiTheme="minorHAnsi"/>
                <w:b/>
                <w:bCs/>
                <w:sz w:val="20"/>
                <w:szCs w:val="20"/>
              </w:rPr>
              <w:t xml:space="preserve"> 136.80 </w:t>
            </w:r>
          </w:p>
        </w:tc>
        <w:tc>
          <w:tcPr>
            <w:tcW w:w="1769" w:type="dxa"/>
            <w:shd w:val="clear" w:color="auto" w:fill="auto"/>
            <w:noWrap/>
            <w:vAlign w:val="center"/>
          </w:tcPr>
          <w:p>
            <w:pPr>
              <w:jc w:val="right"/>
              <w:rPr>
                <w:rFonts w:eastAsia="华文细黑" w:cs="宋体" w:asciiTheme="minorHAnsi" w:hAnsiTheme="minorHAnsi"/>
                <w:b/>
                <w:bCs/>
                <w:color w:val="000000"/>
                <w:sz w:val="20"/>
                <w:szCs w:val="20"/>
              </w:rPr>
            </w:pPr>
            <w:r>
              <w:rPr>
                <w:rFonts w:asciiTheme="minorHAnsi" w:hAnsiTheme="minorHAnsi"/>
                <w:b/>
                <w:bCs/>
                <w:sz w:val="20"/>
                <w:szCs w:val="20"/>
              </w:rPr>
              <w:t xml:space="preserve"> 136.80 </w:t>
            </w:r>
          </w:p>
        </w:tc>
        <w:tc>
          <w:tcPr>
            <w:tcW w:w="1769" w:type="dxa"/>
            <w:shd w:val="clear" w:color="auto" w:fill="auto"/>
            <w:noWrap/>
            <w:vAlign w:val="center"/>
          </w:tcPr>
          <w:p>
            <w:pPr>
              <w:jc w:val="right"/>
              <w:rPr>
                <w:rFonts w:eastAsia="华文细黑" w:cs="宋体" w:asciiTheme="minorHAnsi" w:hAnsiTheme="minorHAnsi"/>
                <w:b/>
                <w:bCs/>
                <w:color w:val="000000"/>
                <w:sz w:val="20"/>
                <w:szCs w:val="20"/>
              </w:rPr>
            </w:pPr>
            <w:r>
              <w:rPr>
                <w:rFonts w:asciiTheme="minorHAnsi" w:hAnsiTheme="minorHAnsi"/>
                <w:b/>
                <w:bCs/>
                <w:sz w:val="20"/>
                <w:szCs w:val="20"/>
              </w:rPr>
              <w:t xml:space="preserve"> 136.80 </w:t>
            </w:r>
          </w:p>
        </w:tc>
        <w:tc>
          <w:tcPr>
            <w:tcW w:w="1764" w:type="dxa"/>
            <w:shd w:val="clear" w:color="auto" w:fill="auto"/>
            <w:noWrap/>
            <w:vAlign w:val="center"/>
          </w:tcPr>
          <w:p>
            <w:pPr>
              <w:jc w:val="right"/>
              <w:rPr>
                <w:rFonts w:asciiTheme="minorHAnsi" w:hAnsiTheme="minorHAnsi"/>
                <w:b/>
                <w:bCs/>
                <w:sz w:val="20"/>
                <w:szCs w:val="20"/>
              </w:rPr>
            </w:pPr>
            <w:r>
              <w:rPr>
                <w:rFonts w:asciiTheme="minorHAnsi" w:hAnsiTheme="minorHAnsi"/>
                <w:b/>
                <w:bCs/>
                <w:sz w:val="20"/>
                <w:szCs w:val="20"/>
              </w:rPr>
              <w:t xml:space="preserve"> 684.00 </w:t>
            </w:r>
          </w:p>
        </w:tc>
      </w:tr>
      <w:bookmarkEnd w:id="82"/>
    </w:tbl>
    <w:p>
      <w:pPr>
        <w:ind w:right="60"/>
        <w:contextualSpacing/>
        <w:jc w:val="right"/>
        <w:rPr>
          <w:rFonts w:ascii="Verdana" w:hAnsi="Verdana" w:eastAsia="华文细黑" w:cs="Calibri"/>
          <w:sz w:val="21"/>
          <w:szCs w:val="20"/>
          <w:lang w:val="en-GB"/>
        </w:rPr>
      </w:pPr>
    </w:p>
    <w:p>
      <w:pPr>
        <w:rPr>
          <w:rFonts w:ascii="Verdana" w:hAnsi="Verdana" w:eastAsia="华文细黑" w:cs="Calibri"/>
        </w:rPr>
      </w:pPr>
    </w:p>
    <w:p>
      <w:pPr>
        <w:rPr>
          <w:rFonts w:ascii="Verdana" w:hAnsi="Verdana" w:eastAsia="华文细黑" w:cs="Calibri"/>
        </w:rPr>
      </w:pPr>
    </w:p>
    <w:bookmarkEnd w:id="75"/>
    <w:p>
      <w:pPr>
        <w:spacing w:after="160" w:line="259" w:lineRule="auto"/>
        <w:rPr>
          <w:rFonts w:ascii="Verdana" w:hAnsi="Verdana" w:eastAsia="华文细黑" w:cs="Calibri"/>
          <w:color w:val="000000"/>
        </w:rPr>
        <w:sectPr>
          <w:footerReference r:id="rId17" w:type="default"/>
          <w:pgSz w:w="15840" w:h="12240" w:orient="landscape"/>
          <w:pgMar w:top="1797" w:right="1440" w:bottom="1418" w:left="1440" w:header="709" w:footer="851" w:gutter="0"/>
          <w:cols w:space="708" w:num="1"/>
          <w:docGrid w:linePitch="360" w:charSpace="0"/>
        </w:sectPr>
      </w:pPr>
    </w:p>
    <w:p>
      <w:pPr>
        <w:spacing w:before="120" w:after="120" w:line="360" w:lineRule="auto"/>
        <w:jc w:val="center"/>
        <w:outlineLvl w:val="0"/>
        <w:rPr>
          <w:rFonts w:ascii="Verdana" w:hAnsi="Verdana" w:eastAsia="华文细黑" w:cs="Calibri"/>
          <w:b/>
          <w:sz w:val="32"/>
          <w:szCs w:val="32"/>
        </w:rPr>
      </w:pPr>
      <w:bookmarkStart w:id="83" w:name="_Toc135044155"/>
      <w:r>
        <w:rPr>
          <w:rFonts w:ascii="Verdana" w:hAnsi="Verdana" w:eastAsia="华文细黑" w:cs="Calibri"/>
          <w:b/>
          <w:sz w:val="32"/>
          <w:szCs w:val="32"/>
        </w:rPr>
        <w:t>免责声明</w:t>
      </w:r>
      <w:bookmarkEnd w:id="83"/>
    </w:p>
    <w:p>
      <w:pPr>
        <w:spacing w:before="120" w:after="120" w:line="360" w:lineRule="auto"/>
        <w:jc w:val="both"/>
        <w:rPr>
          <w:rFonts w:ascii="Verdana" w:hAnsi="Verdana" w:eastAsia="华文细黑" w:cs="Calibri"/>
          <w:sz w:val="22"/>
          <w:szCs w:val="22"/>
        </w:rPr>
      </w:pPr>
      <w:r>
        <w:rPr>
          <w:rFonts w:ascii="Verdana" w:hAnsi="Verdana" w:eastAsia="华文细黑" w:cs="Calibri"/>
          <w:sz w:val="22"/>
          <w:szCs w:val="22"/>
        </w:rPr>
        <w:t>本报告中的评论仅供贵方作一般参考之用，其内容（无论整体或部分）不构成我们的意见。</w:t>
      </w:r>
    </w:p>
    <w:p>
      <w:pPr>
        <w:spacing w:before="120" w:after="120" w:line="360" w:lineRule="auto"/>
        <w:jc w:val="both"/>
        <w:rPr>
          <w:rFonts w:ascii="Verdana" w:hAnsi="Verdana" w:eastAsia="华文细黑" w:cs="Calibri"/>
          <w:sz w:val="22"/>
          <w:szCs w:val="22"/>
        </w:rPr>
      </w:pPr>
      <w:r>
        <w:rPr>
          <w:rFonts w:ascii="Verdana" w:hAnsi="Verdana" w:eastAsia="华文细黑" w:cs="Calibri"/>
          <w:sz w:val="22"/>
          <w:szCs w:val="22"/>
        </w:rPr>
        <w:t>我们出具的评论将仅基于下列事项:</w:t>
      </w:r>
    </w:p>
    <w:p>
      <w:pPr>
        <w:pStyle w:val="15"/>
        <w:numPr>
          <w:ilvl w:val="0"/>
          <w:numId w:val="1"/>
        </w:numPr>
        <w:spacing w:before="120" w:after="120" w:line="360" w:lineRule="auto"/>
        <w:ind w:left="414" w:hanging="357"/>
        <w:contextualSpacing w:val="0"/>
        <w:jc w:val="both"/>
        <w:rPr>
          <w:rFonts w:ascii="Verdana" w:hAnsi="Verdana" w:eastAsia="华文细黑" w:cs="Calibri"/>
          <w:sz w:val="22"/>
          <w:szCs w:val="22"/>
        </w:rPr>
      </w:pPr>
      <w:r>
        <w:rPr>
          <w:rFonts w:ascii="Verdana" w:hAnsi="Verdana" w:eastAsia="华文细黑" w:cs="Calibri"/>
          <w:sz w:val="22"/>
          <w:szCs w:val="22"/>
        </w:rPr>
        <w:t>我们在本报告述及或引用的资料、文件、事实和假设；</w:t>
      </w:r>
    </w:p>
    <w:p>
      <w:pPr>
        <w:pStyle w:val="15"/>
        <w:numPr>
          <w:ilvl w:val="0"/>
          <w:numId w:val="1"/>
        </w:numPr>
        <w:spacing w:before="120" w:after="120" w:line="360" w:lineRule="auto"/>
        <w:ind w:left="414" w:hanging="357"/>
        <w:contextualSpacing w:val="0"/>
        <w:jc w:val="both"/>
        <w:rPr>
          <w:rFonts w:ascii="Verdana" w:hAnsi="Verdana" w:eastAsia="华文细黑" w:cs="Calibri"/>
          <w:sz w:val="22"/>
          <w:szCs w:val="22"/>
        </w:rPr>
      </w:pPr>
      <w:r>
        <w:rPr>
          <w:rFonts w:ascii="Verdana" w:hAnsi="Verdana" w:eastAsia="华文细黑" w:cs="Calibri"/>
          <w:sz w:val="22"/>
          <w:szCs w:val="22"/>
        </w:rPr>
        <w:t>我们假设提供给我们的所有资料（未经独立核实）为准确、真实、完整和有效；</w:t>
      </w:r>
    </w:p>
    <w:p>
      <w:pPr>
        <w:pStyle w:val="15"/>
        <w:numPr>
          <w:ilvl w:val="0"/>
          <w:numId w:val="1"/>
        </w:numPr>
        <w:spacing w:before="120" w:after="120" w:line="360" w:lineRule="auto"/>
        <w:ind w:left="414" w:hanging="357"/>
        <w:contextualSpacing w:val="0"/>
        <w:jc w:val="both"/>
        <w:rPr>
          <w:rFonts w:ascii="Verdana" w:hAnsi="Verdana" w:eastAsia="华文细黑" w:cs="Calibri"/>
          <w:sz w:val="22"/>
          <w:szCs w:val="22"/>
        </w:rPr>
      </w:pPr>
      <w:r>
        <w:rPr>
          <w:rFonts w:ascii="Verdana" w:hAnsi="Verdana" w:eastAsia="华文细黑" w:cs="Calibri"/>
          <w:sz w:val="22"/>
          <w:szCs w:val="22"/>
        </w:rPr>
        <w:t>贵方理解本报告只涵盖特定的中国大陆和相关国家/地区问题及相应影响，并未考虑其他任何类别的相关事宜；</w:t>
      </w:r>
    </w:p>
    <w:p>
      <w:pPr>
        <w:pStyle w:val="15"/>
        <w:numPr>
          <w:ilvl w:val="0"/>
          <w:numId w:val="1"/>
        </w:numPr>
        <w:spacing w:before="120" w:after="120" w:line="360" w:lineRule="auto"/>
        <w:ind w:left="414" w:hanging="357"/>
        <w:contextualSpacing w:val="0"/>
        <w:jc w:val="both"/>
        <w:rPr>
          <w:rFonts w:ascii="Verdana" w:hAnsi="Verdana" w:eastAsia="华文细黑" w:cs="Calibri"/>
          <w:sz w:val="22"/>
          <w:szCs w:val="22"/>
        </w:rPr>
      </w:pPr>
      <w:r>
        <w:rPr>
          <w:rFonts w:ascii="Verdana" w:hAnsi="Verdana" w:eastAsia="华文细黑" w:cs="Calibri"/>
          <w:sz w:val="22"/>
          <w:szCs w:val="22"/>
        </w:rPr>
        <w:t>在此报告出具时有效的有关法律、法规和解释（“权威法规”）。这些权威法规可能会被修订，且可能具有追溯效力。我们没有义务告知贵方对此报告中所作分析或任何事项可能产生影响的任何变更或发展，我们亦不会对本报告出具日之后的任何事项作考虑。在报告出具之日后权威法规的任何变更亦可能会影响报告中评论的有效性；</w:t>
      </w:r>
    </w:p>
    <w:p>
      <w:pPr>
        <w:pStyle w:val="15"/>
        <w:numPr>
          <w:ilvl w:val="0"/>
          <w:numId w:val="1"/>
        </w:numPr>
        <w:spacing w:before="120" w:after="120" w:line="360" w:lineRule="auto"/>
        <w:ind w:left="414" w:hanging="357"/>
        <w:contextualSpacing w:val="0"/>
        <w:jc w:val="both"/>
        <w:rPr>
          <w:rFonts w:ascii="Verdana" w:hAnsi="Verdana" w:eastAsia="华文细黑" w:cs="Calibri"/>
          <w:sz w:val="22"/>
          <w:szCs w:val="22"/>
        </w:rPr>
      </w:pPr>
      <w:r>
        <w:rPr>
          <w:rFonts w:ascii="Verdana" w:hAnsi="Verdana" w:eastAsia="华文细黑" w:cs="Calibri"/>
          <w:sz w:val="22"/>
          <w:szCs w:val="22"/>
        </w:rPr>
        <w:t>贵方理解此报告对任何税务机构及/或司法机构并无约束效力，亦不应被视为我们就任何税务机构及/或司法机构将会同意我们的评论而作出的任何声明、保证或担保；</w:t>
      </w:r>
    </w:p>
    <w:p>
      <w:pPr>
        <w:pStyle w:val="15"/>
        <w:numPr>
          <w:ilvl w:val="0"/>
          <w:numId w:val="1"/>
        </w:numPr>
        <w:spacing w:before="120" w:after="120" w:line="360" w:lineRule="auto"/>
        <w:ind w:left="414" w:hanging="357"/>
        <w:contextualSpacing w:val="0"/>
        <w:jc w:val="both"/>
        <w:rPr>
          <w:rFonts w:ascii="Verdana" w:hAnsi="Verdana" w:eastAsia="华文细黑" w:cs="Calibri"/>
          <w:sz w:val="22"/>
          <w:szCs w:val="22"/>
        </w:rPr>
      </w:pPr>
      <w:r>
        <w:rPr>
          <w:rFonts w:ascii="Verdana" w:hAnsi="Verdana" w:eastAsia="华文细黑" w:cs="Calibri"/>
          <w:sz w:val="22"/>
          <w:szCs w:val="22"/>
        </w:rPr>
        <w:t>与此约定业务有关的所有服务仅供贵方参考及内部使用，除了贵方作为业务约定书合同一方以外，德勤咨询（海南）有限公司（“德勤”或“我们”）与其他任何人士或任何方（“第三方”）均不产生合约利益关系。此约定业务的服务并非为任何第三方的明示或默示的利益。除贵方以外，任何第三方没有权利以任何形式或基于任何目的，依赖“德勤”的提交物、建议、评论、报告或其他服务；</w:t>
      </w:r>
    </w:p>
    <w:p>
      <w:pPr>
        <w:pStyle w:val="15"/>
        <w:numPr>
          <w:ilvl w:val="0"/>
          <w:numId w:val="1"/>
        </w:numPr>
        <w:spacing w:before="120" w:after="120" w:line="360" w:lineRule="auto"/>
        <w:ind w:left="414" w:hanging="357"/>
        <w:contextualSpacing w:val="0"/>
        <w:jc w:val="both"/>
        <w:rPr>
          <w:rFonts w:ascii="Verdana" w:hAnsi="Verdana" w:eastAsia="华文细黑" w:cs="Calibri"/>
          <w:sz w:val="22"/>
          <w:szCs w:val="22"/>
        </w:rPr>
      </w:pPr>
      <w:r>
        <w:rPr>
          <w:rFonts w:ascii="Verdana" w:hAnsi="Verdana" w:eastAsia="华文细黑" w:cs="Calibri"/>
          <w:sz w:val="22"/>
          <w:szCs w:val="22"/>
        </w:rPr>
        <w:t>我们不会对任何第三方承担任何义务和责任（包括但不限于疏忽引起的责任）。如有任何第三方依赖我们报告的情况，贵方同意将保护德勤，其关联机构以及人员免受任何与向第三方披露报告（无论是否经过我们的同意）有关的第三方索偿或责任的影响，并补偿所产生的诉讼费以及其他费用。</w:t>
      </w:r>
    </w:p>
    <w:p>
      <w:pPr>
        <w:spacing w:after="160" w:line="259" w:lineRule="auto"/>
        <w:rPr>
          <w:rFonts w:ascii="Verdana" w:hAnsi="Verdana" w:eastAsia="华文细黑" w:cs="Calibri"/>
          <w:b/>
        </w:rPr>
      </w:pPr>
    </w:p>
    <w:p>
      <w:pPr>
        <w:spacing w:before="120" w:after="120" w:line="360" w:lineRule="auto"/>
        <w:ind w:firstLine="510"/>
        <w:jc w:val="both"/>
        <w:rPr>
          <w:rFonts w:ascii="Verdana" w:hAnsi="Verdana" w:eastAsia="华文细黑" w:cs="Calibri"/>
          <w:color w:val="000000"/>
        </w:rPr>
      </w:pPr>
    </w:p>
    <w:p>
      <w:pPr>
        <w:rPr>
          <w:rFonts w:ascii="Verdana" w:hAnsi="Verdana" w:eastAsia="华文细黑" w:cs="Calibri"/>
        </w:rPr>
      </w:pPr>
    </w:p>
    <w:p/>
    <w:sectPr>
      <w:footerReference r:id="rId18" w:type="default"/>
      <w:pgSz w:w="12240" w:h="15840"/>
      <w:pgMar w:top="1440" w:right="1418" w:bottom="1440" w:left="1797" w:header="709" w:footer="851"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auto"/>
    <w:pitch w:val="default"/>
    <w:sig w:usb0="A00002EF" w:usb1="4000207B" w:usb2="00000000" w:usb3="00000000" w:csb0="2000019F" w:csb1="00000000"/>
  </w:font>
  <w:font w:name="华文细黑">
    <w:panose1 w:val="02010600040101010101"/>
    <w:charset w:val="86"/>
    <w:family w:val="auto"/>
    <w:pitch w:val="default"/>
    <w:sig w:usb0="00000000" w:usb1="00000000" w:usb2="00000000" w:usb3="00000000" w:csb0="00000000" w:csb1="00000000"/>
  </w:font>
  <w:font w:name="Verdana">
    <w:panose1 w:val="020B0604030504040204"/>
    <w:charset w:val="00"/>
    <w:family w:val="swiss"/>
    <w:pitch w:val="default"/>
    <w:sig w:usb0="A1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华文楷体">
    <w:altName w:val="楷体_GB2312"/>
    <w:panose1 w:val="02010600040101010101"/>
    <w:charset w:val="86"/>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sdt>
      <w:sdtPr>
        <w:id w:val="482127086"/>
      </w:sdtPr>
      <w:sdtContent>
        <w:r>
          <w:rPr>
            <w:rFonts w:ascii="Verdana" w:hAnsi="Verdana" w:eastAsia="华文细黑" w:cs="Arial"/>
            <w:sz w:val="16"/>
            <w:lang w:val="fr-FR"/>
          </w:rPr>
          <w:t>©20</w:t>
        </w:r>
        <w:r>
          <w:rPr>
            <w:rFonts w:hint="eastAsia" w:ascii="Verdana" w:hAnsi="Verdana" w:eastAsia="华文细黑" w:cs="Arial"/>
            <w:sz w:val="16"/>
            <w:lang w:val="fr-FR"/>
          </w:rPr>
          <w:t>2</w:t>
        </w:r>
        <w:r>
          <w:rPr>
            <w:rFonts w:ascii="Verdana" w:hAnsi="Verdana" w:eastAsia="华文细黑" w:cs="Arial"/>
            <w:sz w:val="16"/>
            <w:lang w:val="fr-FR"/>
          </w:rPr>
          <w:t>3</w:t>
        </w:r>
        <w:r>
          <w:rPr>
            <w:rFonts w:hint="eastAsia" w:ascii="Verdana" w:hAnsi="Verdana" w:eastAsia="华文细黑" w:cs="Arial"/>
            <w:sz w:val="16"/>
            <w:lang w:val="fr-FR"/>
          </w:rPr>
          <w:t>德勤咨询（海南）有限公司</w:t>
        </w:r>
      </w:sdtContent>
    </w:sdt>
  </w:p>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40166467"/>
    </w:sdtPr>
    <w:sdtEndPr>
      <w:rPr>
        <w:rFonts w:ascii="Verdana" w:hAnsi="Verdana"/>
        <w:sz w:val="20"/>
        <w:szCs w:val="20"/>
      </w:rPr>
    </w:sdtEndPr>
    <w:sdtContent>
      <w:p>
        <w:pPr>
          <w:pStyle w:val="4"/>
          <w:jc w:val="center"/>
          <w:rPr>
            <w:rFonts w:ascii="Verdana" w:hAnsi="Verdana"/>
            <w:sz w:val="20"/>
            <w:szCs w:val="20"/>
          </w:rPr>
        </w:pPr>
        <w:r>
          <w:rPr>
            <w:rFonts w:ascii="Verdana" w:hAnsi="Verdana"/>
            <w:sz w:val="20"/>
            <w:szCs w:val="20"/>
          </w:rPr>
          <w:fldChar w:fldCharType="begin"/>
        </w:r>
        <w:r>
          <w:rPr>
            <w:rFonts w:ascii="Verdana" w:hAnsi="Verdana"/>
            <w:sz w:val="20"/>
            <w:szCs w:val="20"/>
          </w:rPr>
          <w:instrText xml:space="preserve"> PAGE   \* MERGEFORMAT </w:instrText>
        </w:r>
        <w:r>
          <w:rPr>
            <w:rFonts w:ascii="Verdana" w:hAnsi="Verdana"/>
            <w:sz w:val="20"/>
            <w:szCs w:val="20"/>
          </w:rPr>
          <w:fldChar w:fldCharType="separate"/>
        </w:r>
        <w:r>
          <w:rPr>
            <w:rFonts w:ascii="Verdana" w:hAnsi="Verdana"/>
            <w:sz w:val="20"/>
            <w:szCs w:val="20"/>
          </w:rPr>
          <w:t>9</w:t>
        </w:r>
        <w:r>
          <w:rPr>
            <w:rFonts w:ascii="Verdana" w:hAnsi="Verdana"/>
            <w:sz w:val="20"/>
            <w:szCs w:val="20"/>
          </w:rPr>
          <w:fldChar w:fldCharType="end"/>
        </w:r>
      </w:p>
    </w:sdtContent>
  </w:sdt>
  <w:p>
    <w:pPr>
      <w:pStyle w:val="4"/>
    </w:pPr>
    <w:sdt>
      <w:sdtPr>
        <w:id w:val="-747195781"/>
      </w:sdtPr>
      <w:sdtContent>
        <w:r>
          <w:rPr>
            <w:rFonts w:ascii="Verdana" w:hAnsi="Verdana" w:eastAsia="华文细黑" w:cs="Arial"/>
            <w:sz w:val="16"/>
            <w:lang w:val="fr-FR"/>
          </w:rPr>
          <w:t>©20</w:t>
        </w:r>
        <w:r>
          <w:rPr>
            <w:rFonts w:hint="eastAsia" w:ascii="Verdana" w:hAnsi="Verdana" w:eastAsia="华文细黑" w:cs="Arial"/>
            <w:sz w:val="16"/>
            <w:lang w:val="fr-FR"/>
          </w:rPr>
          <w:t>2</w:t>
        </w:r>
        <w:r>
          <w:rPr>
            <w:rFonts w:ascii="Verdana" w:hAnsi="Verdana" w:eastAsia="华文细黑" w:cs="Arial"/>
            <w:sz w:val="16"/>
            <w:lang w:val="fr-FR"/>
          </w:rPr>
          <w:t>3</w:t>
        </w:r>
        <w:r>
          <w:rPr>
            <w:rFonts w:hint="eastAsia" w:ascii="Verdana" w:hAnsi="Verdana" w:eastAsia="华文细黑" w:cs="Arial"/>
            <w:sz w:val="16"/>
            <w:lang w:val="fr-FR"/>
          </w:rPr>
          <w:t>德勤咨询（海南）有限公司</w:t>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4220602"/>
    </w:sdtPr>
    <w:sdtEndPr>
      <w:rPr>
        <w:rFonts w:ascii="Verdana" w:hAnsi="Verdana"/>
        <w:sz w:val="20"/>
        <w:szCs w:val="20"/>
      </w:rPr>
    </w:sdtEndPr>
    <w:sdtContent>
      <w:p>
        <w:pPr>
          <w:pStyle w:val="4"/>
          <w:jc w:val="center"/>
          <w:rPr>
            <w:rFonts w:ascii="Verdana" w:hAnsi="Verdana"/>
            <w:sz w:val="20"/>
            <w:szCs w:val="20"/>
          </w:rPr>
        </w:pPr>
        <w:r>
          <w:rPr>
            <w:rFonts w:ascii="Verdana" w:hAnsi="Verdana"/>
            <w:sz w:val="20"/>
            <w:szCs w:val="20"/>
          </w:rPr>
          <w:fldChar w:fldCharType="begin"/>
        </w:r>
        <w:r>
          <w:rPr>
            <w:rFonts w:ascii="Verdana" w:hAnsi="Verdana"/>
            <w:sz w:val="20"/>
            <w:szCs w:val="20"/>
          </w:rPr>
          <w:instrText xml:space="preserve"> PAGE   \* MERGEFORMAT </w:instrText>
        </w:r>
        <w:r>
          <w:rPr>
            <w:rFonts w:ascii="Verdana" w:hAnsi="Verdana"/>
            <w:sz w:val="20"/>
            <w:szCs w:val="20"/>
          </w:rPr>
          <w:fldChar w:fldCharType="separate"/>
        </w:r>
        <w:r>
          <w:rPr>
            <w:rFonts w:ascii="Verdana" w:hAnsi="Verdana"/>
            <w:sz w:val="20"/>
            <w:szCs w:val="20"/>
          </w:rPr>
          <w:t>10</w:t>
        </w:r>
        <w:r>
          <w:rPr>
            <w:rFonts w:ascii="Verdana" w:hAnsi="Verdana"/>
            <w:sz w:val="20"/>
            <w:szCs w:val="20"/>
          </w:rPr>
          <w:fldChar w:fldCharType="end"/>
        </w:r>
      </w:p>
    </w:sdtContent>
  </w:sdt>
  <w:p>
    <w:pPr>
      <w:pStyle w:val="4"/>
    </w:pPr>
    <w:sdt>
      <w:sdtPr>
        <w:id w:val="2142922266"/>
      </w:sdtPr>
      <w:sdtContent>
        <w:r>
          <w:rPr>
            <w:rFonts w:ascii="Verdana" w:hAnsi="Verdana" w:eastAsia="华文细黑" w:cs="Arial"/>
            <w:sz w:val="16"/>
            <w:lang w:val="fr-FR"/>
          </w:rPr>
          <w:t>©20</w:t>
        </w:r>
        <w:r>
          <w:rPr>
            <w:rFonts w:hint="eastAsia" w:ascii="Verdana" w:hAnsi="Verdana" w:eastAsia="华文细黑" w:cs="Arial"/>
            <w:sz w:val="16"/>
            <w:lang w:val="fr-FR"/>
          </w:rPr>
          <w:t>2</w:t>
        </w:r>
        <w:r>
          <w:rPr>
            <w:rFonts w:ascii="Verdana" w:hAnsi="Verdana" w:eastAsia="华文细黑" w:cs="Arial"/>
            <w:sz w:val="16"/>
            <w:lang w:val="fr-FR"/>
          </w:rPr>
          <w:t>3</w:t>
        </w:r>
        <w:r>
          <w:rPr>
            <w:rFonts w:hint="eastAsia" w:ascii="Verdana" w:hAnsi="Verdana" w:eastAsia="华文细黑" w:cs="Arial"/>
            <w:sz w:val="16"/>
            <w:lang w:val="fr-FR"/>
          </w:rPr>
          <w:t>德勤咨询（海南）有限公司</w:t>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73950790"/>
    </w:sdtPr>
    <w:sdtEndPr>
      <w:rPr>
        <w:rFonts w:ascii="Verdana" w:hAnsi="Verdana"/>
        <w:sz w:val="20"/>
        <w:szCs w:val="20"/>
      </w:rPr>
    </w:sdtEndPr>
    <w:sdtContent>
      <w:p>
        <w:pPr>
          <w:pStyle w:val="4"/>
          <w:jc w:val="center"/>
          <w:rPr>
            <w:rFonts w:ascii="Verdana" w:hAnsi="Verdana"/>
            <w:sz w:val="20"/>
            <w:szCs w:val="20"/>
          </w:rPr>
        </w:pPr>
        <w:r>
          <w:rPr>
            <w:rFonts w:ascii="Verdana" w:hAnsi="Verdana"/>
            <w:sz w:val="20"/>
            <w:szCs w:val="20"/>
          </w:rPr>
          <w:fldChar w:fldCharType="begin"/>
        </w:r>
        <w:r>
          <w:rPr>
            <w:rFonts w:ascii="Verdana" w:hAnsi="Verdana"/>
            <w:sz w:val="20"/>
            <w:szCs w:val="20"/>
          </w:rPr>
          <w:instrText xml:space="preserve"> PAGE   \* MERGEFORMAT </w:instrText>
        </w:r>
        <w:r>
          <w:rPr>
            <w:rFonts w:ascii="Verdana" w:hAnsi="Verdana"/>
            <w:sz w:val="20"/>
            <w:szCs w:val="20"/>
          </w:rPr>
          <w:fldChar w:fldCharType="separate"/>
        </w:r>
        <w:r>
          <w:rPr>
            <w:rFonts w:ascii="Verdana" w:hAnsi="Verdana"/>
            <w:sz w:val="20"/>
            <w:szCs w:val="20"/>
          </w:rPr>
          <w:t>11</w:t>
        </w:r>
        <w:r>
          <w:rPr>
            <w:rFonts w:ascii="Verdana" w:hAnsi="Verdana"/>
            <w:sz w:val="20"/>
            <w:szCs w:val="20"/>
          </w:rPr>
          <w:fldChar w:fldCharType="end"/>
        </w:r>
      </w:p>
    </w:sdtContent>
  </w:sdt>
  <w:p>
    <w:pPr>
      <w:pStyle w:val="4"/>
    </w:pPr>
    <w:sdt>
      <w:sdtPr>
        <w:id w:val="74557754"/>
      </w:sdtPr>
      <w:sdtContent>
        <w:r>
          <w:rPr>
            <w:rFonts w:ascii="Verdana" w:hAnsi="Verdana" w:eastAsia="华文细黑" w:cs="Arial"/>
            <w:sz w:val="16"/>
            <w:lang w:val="fr-FR"/>
          </w:rPr>
          <w:t>©20</w:t>
        </w:r>
        <w:r>
          <w:rPr>
            <w:rFonts w:hint="eastAsia" w:ascii="Verdana" w:hAnsi="Verdana" w:eastAsia="华文细黑" w:cs="Arial"/>
            <w:sz w:val="16"/>
            <w:lang w:val="fr-FR"/>
          </w:rPr>
          <w:t>2</w:t>
        </w:r>
        <w:r>
          <w:rPr>
            <w:rFonts w:ascii="Verdana" w:hAnsi="Verdana" w:eastAsia="华文细黑" w:cs="Arial"/>
            <w:sz w:val="16"/>
            <w:lang w:val="fr-FR"/>
          </w:rPr>
          <w:t>3</w:t>
        </w:r>
        <w:r>
          <w:rPr>
            <w:rFonts w:hint="eastAsia" w:ascii="Verdana" w:hAnsi="Verdana" w:eastAsia="华文细黑" w:cs="Arial"/>
            <w:sz w:val="16"/>
            <w:lang w:val="fr-FR"/>
          </w:rPr>
          <w:t>德勤咨询（海南）有限公司</w:t>
        </w:r>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97755634"/>
    </w:sdtPr>
    <w:sdtEndPr>
      <w:rPr>
        <w:rFonts w:ascii="Verdana" w:hAnsi="Verdana"/>
        <w:sz w:val="20"/>
        <w:szCs w:val="20"/>
      </w:rPr>
    </w:sdtEndPr>
    <w:sdtContent>
      <w:p>
        <w:pPr>
          <w:pStyle w:val="4"/>
          <w:jc w:val="center"/>
          <w:rPr>
            <w:rFonts w:ascii="Verdana" w:hAnsi="Verdana"/>
            <w:sz w:val="20"/>
            <w:szCs w:val="20"/>
          </w:rPr>
        </w:pPr>
        <w:r>
          <w:rPr>
            <w:rFonts w:ascii="Verdana" w:hAnsi="Verdana"/>
            <w:sz w:val="20"/>
            <w:szCs w:val="20"/>
          </w:rPr>
          <w:fldChar w:fldCharType="begin"/>
        </w:r>
        <w:r>
          <w:rPr>
            <w:rFonts w:ascii="Verdana" w:hAnsi="Verdana"/>
            <w:sz w:val="20"/>
            <w:szCs w:val="20"/>
          </w:rPr>
          <w:instrText xml:space="preserve"> PAGE   \* MERGEFORMAT </w:instrText>
        </w:r>
        <w:r>
          <w:rPr>
            <w:rFonts w:ascii="Verdana" w:hAnsi="Verdana"/>
            <w:sz w:val="20"/>
            <w:szCs w:val="20"/>
          </w:rPr>
          <w:fldChar w:fldCharType="separate"/>
        </w:r>
        <w:r>
          <w:rPr>
            <w:rFonts w:ascii="Verdana" w:hAnsi="Verdana"/>
            <w:sz w:val="20"/>
            <w:szCs w:val="20"/>
          </w:rPr>
          <w:t>15</w:t>
        </w:r>
        <w:r>
          <w:rPr>
            <w:rFonts w:ascii="Verdana" w:hAnsi="Verdana"/>
            <w:sz w:val="20"/>
            <w:szCs w:val="20"/>
          </w:rPr>
          <w:fldChar w:fldCharType="end"/>
        </w:r>
      </w:p>
    </w:sdtContent>
  </w:sdt>
  <w:p>
    <w:pPr>
      <w:pStyle w:val="4"/>
    </w:pPr>
    <w:sdt>
      <w:sdtPr>
        <w:id w:val="1959294268"/>
      </w:sdtPr>
      <w:sdtContent>
        <w:r>
          <w:rPr>
            <w:rFonts w:ascii="Verdana" w:hAnsi="Verdana" w:eastAsia="华文细黑" w:cs="Arial"/>
            <w:sz w:val="16"/>
            <w:lang w:val="fr-FR"/>
          </w:rPr>
          <w:t>©20</w:t>
        </w:r>
        <w:r>
          <w:rPr>
            <w:rFonts w:hint="eastAsia" w:ascii="Verdana" w:hAnsi="Verdana" w:eastAsia="华文细黑" w:cs="Arial"/>
            <w:sz w:val="16"/>
            <w:lang w:val="fr-FR"/>
          </w:rPr>
          <w:t>2</w:t>
        </w:r>
        <w:r>
          <w:rPr>
            <w:rFonts w:ascii="Verdana" w:hAnsi="Verdana" w:eastAsia="华文细黑" w:cs="Arial"/>
            <w:sz w:val="16"/>
            <w:lang w:val="fr-FR"/>
          </w:rPr>
          <w:t>3</w:t>
        </w:r>
        <w:r>
          <w:rPr>
            <w:rFonts w:hint="eastAsia" w:ascii="Verdana" w:hAnsi="Verdana" w:eastAsia="华文细黑" w:cs="Arial"/>
            <w:sz w:val="16"/>
            <w:lang w:val="fr-FR"/>
          </w:rPr>
          <w:t>德勤咨询（海南）有限公司</w:t>
        </w:r>
      </w:sdtContent>
    </w:sdt>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ascii="Verdana" w:hAnsi="Verdana"/>
        <w:sz w:val="20"/>
        <w:szCs w:val="20"/>
      </w:rPr>
    </w:pPr>
    <w:r>
      <w:rPr>
        <w:rFonts w:ascii="Verdana" w:hAnsi="Verdana"/>
        <w:sz w:val="20"/>
        <w:szCs w:val="20"/>
      </w:rPr>
      <w:fldChar w:fldCharType="begin"/>
    </w:r>
    <w:r>
      <w:rPr>
        <w:rFonts w:ascii="Verdana" w:hAnsi="Verdana"/>
        <w:sz w:val="20"/>
        <w:szCs w:val="20"/>
      </w:rPr>
      <w:instrText xml:space="preserve"> PAGE   \* MERGEFORMAT </w:instrText>
    </w:r>
    <w:r>
      <w:rPr>
        <w:rFonts w:ascii="Verdana" w:hAnsi="Verdana"/>
        <w:sz w:val="20"/>
        <w:szCs w:val="20"/>
      </w:rPr>
      <w:fldChar w:fldCharType="separate"/>
    </w:r>
    <w:r>
      <w:rPr>
        <w:rFonts w:ascii="Verdana" w:hAnsi="Verdana"/>
        <w:sz w:val="20"/>
        <w:szCs w:val="20"/>
      </w:rPr>
      <w:t>16</w:t>
    </w:r>
    <w:r>
      <w:rPr>
        <w:rFonts w:ascii="Verdana" w:hAnsi="Verdana"/>
        <w:sz w:val="20"/>
        <w:szCs w:val="20"/>
      </w:rPr>
      <w:fldChar w:fldCharType="end"/>
    </w:r>
  </w:p>
  <w:p>
    <w:pPr>
      <w:pStyle w:val="4"/>
    </w:pPr>
    <w:r>
      <w:rPr>
        <w:rFonts w:ascii="Verdana" w:hAnsi="Verdana" w:eastAsia="华文细黑" w:cs="Arial"/>
        <w:sz w:val="16"/>
        <w:lang w:val="fr-FR"/>
      </w:rPr>
      <w:t>©20</w:t>
    </w:r>
    <w:r>
      <w:rPr>
        <w:rFonts w:hint="eastAsia" w:ascii="Verdana" w:hAnsi="Verdana" w:eastAsia="华文细黑" w:cs="Arial"/>
        <w:sz w:val="16"/>
        <w:lang w:val="fr-FR"/>
      </w:rPr>
      <w:t>2</w:t>
    </w:r>
    <w:r>
      <w:rPr>
        <w:rFonts w:ascii="Verdana" w:hAnsi="Verdana" w:eastAsia="华文细黑" w:cs="Arial"/>
        <w:sz w:val="16"/>
        <w:lang w:val="fr-FR"/>
      </w:rPr>
      <w:t>3</w:t>
    </w:r>
    <w:r>
      <w:rPr>
        <w:rFonts w:hint="eastAsia" w:ascii="Verdana" w:hAnsi="Verdana" w:eastAsia="华文细黑" w:cs="Arial"/>
        <w:sz w:val="16"/>
        <w:lang w:val="fr-FR"/>
      </w:rPr>
      <w:t>德勤咨询（海南）有限公司</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ascii="Verdana" w:hAnsi="Verdana"/>
        <w:sz w:val="20"/>
        <w:szCs w:val="20"/>
      </w:rPr>
    </w:pPr>
    <w:r>
      <w:rPr>
        <w:rFonts w:ascii="Verdana" w:hAnsi="Verdana"/>
        <w:sz w:val="20"/>
        <w:szCs w:val="20"/>
      </w:rPr>
      <w:fldChar w:fldCharType="begin"/>
    </w:r>
    <w:r>
      <w:rPr>
        <w:rFonts w:ascii="Verdana" w:hAnsi="Verdana"/>
        <w:sz w:val="20"/>
        <w:szCs w:val="20"/>
      </w:rPr>
      <w:instrText xml:space="preserve"> PAGE   \* MERGEFORMAT </w:instrText>
    </w:r>
    <w:r>
      <w:rPr>
        <w:rFonts w:ascii="Verdana" w:hAnsi="Verdana"/>
        <w:sz w:val="20"/>
        <w:szCs w:val="20"/>
      </w:rPr>
      <w:fldChar w:fldCharType="separate"/>
    </w:r>
    <w:r>
      <w:rPr>
        <w:rFonts w:ascii="Verdana" w:hAnsi="Verdana"/>
        <w:sz w:val="20"/>
        <w:szCs w:val="20"/>
      </w:rPr>
      <w:t>17</w:t>
    </w:r>
    <w:r>
      <w:rPr>
        <w:rFonts w:ascii="Verdana" w:hAnsi="Verdana"/>
        <w:sz w:val="20"/>
        <w:szCs w:val="20"/>
      </w:rPr>
      <w:fldChar w:fldCharType="end"/>
    </w:r>
  </w:p>
  <w:p>
    <w:pPr>
      <w:pStyle w:val="4"/>
    </w:pPr>
    <w:r>
      <w:rPr>
        <w:rFonts w:ascii="Verdana" w:hAnsi="Verdana" w:eastAsia="华文细黑" w:cs="Arial"/>
        <w:sz w:val="16"/>
        <w:lang w:val="fr-FR"/>
      </w:rPr>
      <w:t>©20</w:t>
    </w:r>
    <w:r>
      <w:rPr>
        <w:rFonts w:hint="eastAsia" w:ascii="Verdana" w:hAnsi="Verdana" w:eastAsia="华文细黑" w:cs="Arial"/>
        <w:sz w:val="16"/>
        <w:lang w:val="fr-FR"/>
      </w:rPr>
      <w:t>2</w:t>
    </w:r>
    <w:r>
      <w:rPr>
        <w:rFonts w:ascii="Verdana" w:hAnsi="Verdana" w:eastAsia="华文细黑" w:cs="Arial"/>
        <w:sz w:val="16"/>
        <w:lang w:val="fr-FR"/>
      </w:rPr>
      <w:t>3</w:t>
    </w:r>
    <w:r>
      <w:rPr>
        <w:rFonts w:hint="eastAsia" w:ascii="Verdana" w:hAnsi="Verdana" w:eastAsia="华文细黑" w:cs="Arial"/>
        <w:sz w:val="16"/>
        <w:lang w:val="fr-FR"/>
      </w:rPr>
      <w:t>德勤咨询（海南）有限公司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7"/>
        <w:rPr>
          <w:rFonts w:eastAsia="华文细黑" w:asciiTheme="minorHAnsi" w:hAnsiTheme="minorHAnsi"/>
          <w:sz w:val="20"/>
        </w:rPr>
      </w:pPr>
      <w:r>
        <w:rPr>
          <w:rStyle w:val="13"/>
          <w:rFonts w:eastAsia="华文细黑" w:asciiTheme="minorHAnsi" w:hAnsiTheme="minorHAnsi"/>
          <w:sz w:val="20"/>
        </w:rPr>
        <w:footnoteRef/>
      </w:r>
      <w:r>
        <w:rPr>
          <w:rFonts w:eastAsia="华文细黑" w:asciiTheme="minorHAnsi" w:hAnsiTheme="minorHAnsi"/>
          <w:sz w:val="20"/>
        </w:rPr>
        <w:t xml:space="preserve"> </w:t>
      </w:r>
      <w:r>
        <w:rPr>
          <w:rFonts w:hint="eastAsia" w:eastAsia="华文细黑" w:cs="宋体" w:asciiTheme="minorHAnsi" w:hAnsiTheme="minorHAnsi"/>
          <w:sz w:val="20"/>
        </w:rPr>
        <w:t>本息覆盖率</w:t>
      </w:r>
      <w:r>
        <w:rPr>
          <w:rFonts w:eastAsia="华文细黑" w:asciiTheme="minorHAnsi" w:hAnsiTheme="minorHAnsi"/>
          <w:sz w:val="20"/>
        </w:rPr>
        <w:t>=</w:t>
      </w:r>
      <w:r>
        <w:rPr>
          <w:rFonts w:hint="eastAsia" w:eastAsia="华文细黑" w:cs="宋体" w:asciiTheme="minorHAnsi" w:hAnsiTheme="minorHAnsi"/>
          <w:sz w:val="20"/>
        </w:rPr>
        <w:t>期末净现金流量</w:t>
      </w:r>
      <w:r>
        <w:rPr>
          <w:rFonts w:eastAsia="华文细黑" w:asciiTheme="minorHAnsi" w:hAnsiTheme="minorHAnsi"/>
          <w:sz w:val="20"/>
        </w:rPr>
        <w:t>/</w:t>
      </w:r>
      <w:r>
        <w:rPr>
          <w:rFonts w:hint="eastAsia" w:eastAsia="华文细黑" w:cs="宋体" w:asciiTheme="minorHAnsi" w:hAnsiTheme="minorHAnsi"/>
          <w:sz w:val="20"/>
        </w:rPr>
        <w:t>债券本息和</w:t>
      </w:r>
      <w:r>
        <w:rPr>
          <w:rFonts w:eastAsia="华文细黑" w:asciiTheme="minorHAnsi" w:hAnsiTheme="minorHAnsi"/>
          <w:sz w:val="20"/>
        </w:rPr>
        <w:t>+1</w:t>
      </w:r>
      <w:r>
        <w:rPr>
          <w:rFonts w:hint="eastAsia" w:eastAsia="华文细黑" w:cs="宋体" w:asciiTheme="minorHAnsi" w:hAnsiTheme="minorHAnsi"/>
          <w:sz w:val="20"/>
        </w:rPr>
        <w:t>，详见</w:t>
      </w:r>
      <w:r>
        <w:rPr>
          <w:rFonts w:eastAsia="华文细黑" w:asciiTheme="minorHAnsi" w:hAnsiTheme="minorHAnsi"/>
          <w:sz w:val="20"/>
        </w:rPr>
        <w:t>"2.</w:t>
      </w:r>
      <w:r>
        <w:rPr>
          <w:rFonts w:hint="eastAsia" w:eastAsia="华文细黑" w:cs="宋体" w:asciiTheme="minorHAnsi" w:hAnsiTheme="minorHAnsi"/>
          <w:sz w:val="20"/>
        </w:rPr>
        <w:t>资金稳定性</w:t>
      </w:r>
      <w:r>
        <w:rPr>
          <w:rFonts w:eastAsia="华文细黑" w:asciiTheme="minorHAnsi" w:hAnsiTheme="minorHAnsi"/>
          <w:sz w:val="20"/>
        </w:rPr>
        <w:t>"</w:t>
      </w:r>
      <w:r>
        <w:rPr>
          <w:rFonts w:hint="eastAsia" w:eastAsia="华文细黑" w:asciiTheme="minorHAnsi" w:hAnsiTheme="minorHAnsi"/>
          <w:sz w:val="20"/>
        </w:rPr>
        <w:t>。</w:t>
      </w:r>
    </w:p>
  </w:footnote>
  <w:footnote w:id="1">
    <w:p>
      <w:pPr>
        <w:pStyle w:val="7"/>
        <w:rPr>
          <w:rFonts w:ascii="Verdana" w:hAnsi="Verdana" w:eastAsia="华文细黑"/>
          <w:sz w:val="20"/>
        </w:rPr>
      </w:pPr>
      <w:r>
        <w:rPr>
          <w:rStyle w:val="13"/>
          <w:rFonts w:ascii="Verdana" w:hAnsi="Verdana" w:eastAsia="华文细黑"/>
          <w:sz w:val="20"/>
        </w:rPr>
        <w:footnoteRef/>
      </w:r>
      <w:r>
        <w:rPr>
          <w:rFonts w:ascii="Verdana" w:hAnsi="Verdana" w:eastAsia="华文细黑"/>
          <w:sz w:val="20"/>
        </w:rPr>
        <w:t xml:space="preserve"> </w:t>
      </w:r>
      <w:r>
        <w:rPr>
          <w:rFonts w:hint="eastAsia" w:ascii="Verdana" w:hAnsi="Verdana" w:eastAsia="华文细黑" w:cs="宋体"/>
          <w:sz w:val="20"/>
        </w:rPr>
        <w:t>本息覆盖倍数</w:t>
      </w:r>
      <w:r>
        <w:rPr>
          <w:rFonts w:ascii="Verdana" w:hAnsi="Verdana" w:eastAsia="华文细黑"/>
          <w:sz w:val="20"/>
        </w:rPr>
        <w:t>=</w:t>
      </w:r>
      <w:r>
        <w:rPr>
          <w:rFonts w:hint="eastAsia" w:ascii="Verdana" w:hAnsi="Verdana" w:eastAsia="华文细黑" w:cs="宋体"/>
          <w:sz w:val="20"/>
        </w:rPr>
        <w:t>项目总收益</w:t>
      </w:r>
      <w:r>
        <w:rPr>
          <w:rFonts w:ascii="Verdana" w:hAnsi="Verdana" w:eastAsia="华文细黑" w:cs="宋体"/>
          <w:sz w:val="20"/>
        </w:rPr>
        <w:t>/</w:t>
      </w:r>
      <w:r>
        <w:rPr>
          <w:rFonts w:hint="eastAsia" w:ascii="Verdana" w:hAnsi="Verdana" w:eastAsia="华文细黑" w:cs="宋体"/>
          <w:sz w:val="20"/>
        </w:rPr>
        <w:t>债券本息，下同</w:t>
      </w:r>
      <w:r>
        <w:rPr>
          <w:rFonts w:hint="eastAsia" w:ascii="Verdana" w:hAnsi="Verdana" w:eastAsia="华文细黑"/>
          <w:sz w:val="20"/>
        </w:rPr>
        <w:t>。</w:t>
      </w:r>
    </w:p>
  </w:footnote>
  <w:footnote w:id="2">
    <w:p>
      <w:pPr>
        <w:pStyle w:val="7"/>
        <w:rPr>
          <w:rFonts w:eastAsia="华文细黑" w:asciiTheme="minorHAnsi" w:hAnsiTheme="minorHAnsi"/>
          <w:sz w:val="20"/>
        </w:rPr>
      </w:pPr>
      <w:r>
        <w:rPr>
          <w:rStyle w:val="13"/>
          <w:rFonts w:asciiTheme="minorHAnsi" w:hAnsiTheme="minorHAnsi"/>
        </w:rPr>
        <w:footnoteRef/>
      </w:r>
      <w:r>
        <w:rPr>
          <w:rFonts w:asciiTheme="minorHAnsi" w:hAnsiTheme="minorHAnsi"/>
          <w:sz w:val="20"/>
        </w:rPr>
        <w:t xml:space="preserve"> </w:t>
      </w:r>
      <w:r>
        <w:rPr>
          <w:rFonts w:eastAsia="华文细黑" w:asciiTheme="minorHAnsi" w:hAnsiTheme="minorHAnsi"/>
          <w:sz w:val="20"/>
        </w:rPr>
        <w:t>由于四舍五入保留整数，部分项目合计数存在尾差。</w:t>
      </w:r>
    </w:p>
  </w:footnote>
  <w:footnote w:id="3">
    <w:p>
      <w:pPr>
        <w:pStyle w:val="7"/>
        <w:rPr>
          <w:rFonts w:eastAsia="华文细黑" w:asciiTheme="minorHAnsi" w:hAnsiTheme="minorHAnsi"/>
          <w:sz w:val="21"/>
        </w:rPr>
      </w:pPr>
      <w:r>
        <w:rPr>
          <w:rStyle w:val="13"/>
          <w:rFonts w:asciiTheme="minorHAnsi" w:hAnsiTheme="minorHAnsi"/>
        </w:rPr>
        <w:footnoteRef/>
      </w:r>
      <w:r>
        <w:rPr>
          <w:rFonts w:hint="eastAsia" w:eastAsia="华文细黑" w:asciiTheme="minorHAnsi" w:hAnsiTheme="minorHAnsi"/>
          <w:sz w:val="20"/>
        </w:rPr>
        <w:t>本息覆盖率=期末现金净流量/债券本息和+1；项目累计期末现金净流量为</w:t>
      </w:r>
      <w:r>
        <w:rPr>
          <w:rFonts w:eastAsia="华文细黑" w:asciiTheme="minorHAnsi" w:hAnsiTheme="minorHAnsi"/>
          <w:sz w:val="20"/>
        </w:rPr>
        <w:t>116.50</w:t>
      </w:r>
      <w:r>
        <w:rPr>
          <w:rFonts w:hint="eastAsia" w:eastAsia="华文细黑" w:asciiTheme="minorHAnsi" w:hAnsiTheme="minorHAnsi"/>
          <w:sz w:val="20"/>
        </w:rPr>
        <w:t>万元，考虑全部债券发行额度的还本付息总额为</w:t>
      </w:r>
      <w:r>
        <w:rPr>
          <w:rFonts w:eastAsia="华文细黑" w:asciiTheme="minorHAnsi" w:hAnsiTheme="minorHAnsi"/>
          <w:sz w:val="20"/>
        </w:rPr>
        <w:t>567.50</w:t>
      </w:r>
      <w:r>
        <w:rPr>
          <w:rFonts w:hint="eastAsia" w:eastAsia="华文细黑" w:asciiTheme="minorHAnsi" w:hAnsiTheme="minorHAnsi"/>
          <w:sz w:val="20"/>
        </w:rPr>
        <w:t>万元，项目整体综合本息覆盖率为</w:t>
      </w:r>
      <w:r>
        <w:rPr>
          <w:rFonts w:eastAsia="华文细黑" w:asciiTheme="minorHAnsi" w:hAnsiTheme="minorHAnsi"/>
          <w:sz w:val="20"/>
        </w:rPr>
        <w:t>1.21</w:t>
      </w:r>
      <w:r>
        <w:rPr>
          <w:rFonts w:hint="eastAsia" w:eastAsia="华文细黑" w:asciiTheme="minorHAnsi" w:hAnsiTheme="minorHAnsi"/>
          <w:sz w:val="2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705AE3"/>
    <w:multiLevelType w:val="multilevel"/>
    <w:tmpl w:val="43705AE3"/>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14766A"/>
    <w:rsid w:val="59A467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zh-CN" w:bidi="ar-SA"/>
    </w:rPr>
  </w:style>
  <w:style w:type="paragraph" w:styleId="2">
    <w:name w:val="heading 1"/>
    <w:basedOn w:val="1"/>
    <w:next w:val="1"/>
    <w:qFormat/>
    <w:uiPriority w:val="9"/>
    <w:pPr>
      <w:keepNext/>
      <w:keepLines/>
      <w:spacing w:before="240"/>
      <w:outlineLvl w:val="0"/>
    </w:pPr>
    <w:rPr>
      <w:rFonts w:asciiTheme="majorHAnsi" w:hAnsiTheme="majorHAnsi" w:eastAsiaTheme="majorEastAsia" w:cstheme="majorBidi"/>
      <w:color w:val="2E75B6" w:themeColor="accent1" w:themeShade="BF"/>
      <w:sz w:val="32"/>
      <w:szCs w:val="32"/>
    </w:rPr>
  </w:style>
  <w:style w:type="character" w:default="1" w:styleId="11">
    <w:name w:val="Default Paragraph Font"/>
    <w:semiHidden/>
    <w:uiPriority w:val="0"/>
  </w:style>
  <w:style w:type="table" w:default="1" w:styleId="9">
    <w:name w:val="Normal Table"/>
    <w:semiHidden/>
    <w:uiPriority w:val="0"/>
    <w:tblPr>
      <w:tblLayout w:type="fixed"/>
      <w:tblCellMar>
        <w:top w:w="0" w:type="dxa"/>
        <w:left w:w="108" w:type="dxa"/>
        <w:bottom w:w="0" w:type="dxa"/>
        <w:right w:w="108" w:type="dxa"/>
      </w:tblCellMar>
    </w:tblPr>
  </w:style>
  <w:style w:type="paragraph" w:styleId="3">
    <w:name w:val="toc 3"/>
    <w:basedOn w:val="1"/>
    <w:next w:val="1"/>
    <w:unhideWhenUsed/>
    <w:qFormat/>
    <w:uiPriority w:val="39"/>
    <w:pPr>
      <w:spacing w:after="100"/>
      <w:ind w:left="400"/>
    </w:pPr>
  </w:style>
  <w:style w:type="paragraph" w:styleId="4">
    <w:name w:val="footer"/>
    <w:basedOn w:val="1"/>
    <w:unhideWhenUsed/>
    <w:qFormat/>
    <w:uiPriority w:val="99"/>
    <w:pPr>
      <w:tabs>
        <w:tab w:val="center" w:pos="4320"/>
        <w:tab w:val="right" w:pos="8640"/>
      </w:tabs>
    </w:pPr>
  </w:style>
  <w:style w:type="paragraph" w:styleId="5">
    <w:name w:val="header"/>
    <w:basedOn w:val="1"/>
    <w:unhideWhenUsed/>
    <w:qFormat/>
    <w:uiPriority w:val="99"/>
    <w:pPr>
      <w:tabs>
        <w:tab w:val="center" w:pos="4320"/>
        <w:tab w:val="right" w:pos="8640"/>
      </w:tabs>
    </w:pPr>
  </w:style>
  <w:style w:type="paragraph" w:styleId="6">
    <w:name w:val="toc 1"/>
    <w:basedOn w:val="1"/>
    <w:next w:val="1"/>
    <w:unhideWhenUsed/>
    <w:qFormat/>
    <w:uiPriority w:val="39"/>
    <w:pPr>
      <w:tabs>
        <w:tab w:val="right" w:leader="dot" w:pos="8630"/>
      </w:tabs>
      <w:spacing w:after="100"/>
    </w:pPr>
    <w:rPr>
      <w:rFonts w:eastAsia="华文细黑" w:asciiTheme="minorHAnsi" w:hAnsiTheme="minorHAnsi"/>
      <w:b/>
    </w:rPr>
  </w:style>
  <w:style w:type="paragraph" w:styleId="7">
    <w:name w:val="footnote text"/>
    <w:basedOn w:val="1"/>
    <w:unhideWhenUsed/>
    <w:qFormat/>
    <w:uiPriority w:val="99"/>
    <w:rPr>
      <w:szCs w:val="20"/>
    </w:rPr>
  </w:style>
  <w:style w:type="paragraph" w:styleId="8">
    <w:name w:val="toc 2"/>
    <w:basedOn w:val="1"/>
    <w:next w:val="1"/>
    <w:unhideWhenUsed/>
    <w:qFormat/>
    <w:uiPriority w:val="39"/>
    <w:pPr>
      <w:tabs>
        <w:tab w:val="right" w:leader="dot" w:pos="8630"/>
      </w:tabs>
      <w:spacing w:after="100" w:line="360" w:lineRule="auto"/>
      <w:ind w:left="200" w:hanging="200"/>
    </w:pPr>
  </w:style>
  <w:style w:type="table" w:styleId="10">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2">
    <w:name w:val="Hyperlink"/>
    <w:basedOn w:val="11"/>
    <w:unhideWhenUsed/>
    <w:qFormat/>
    <w:uiPriority w:val="99"/>
    <w:rPr>
      <w:color w:val="0563C1" w:themeColor="hyperlink"/>
      <w:u w:val="single"/>
      <w14:textFill>
        <w14:solidFill>
          <w14:schemeClr w14:val="hlink"/>
        </w14:solidFill>
      </w14:textFill>
    </w:rPr>
  </w:style>
  <w:style w:type="character" w:styleId="13">
    <w:name w:val="footnote reference"/>
    <w:basedOn w:val="11"/>
    <w:unhideWhenUsed/>
    <w:qFormat/>
    <w:uiPriority w:val="99"/>
    <w:rPr>
      <w:vertAlign w:val="superscript"/>
    </w:rPr>
  </w:style>
  <w:style w:type="paragraph" w:customStyle="1" w:styleId="14">
    <w:name w:val="TOC 标题1"/>
    <w:basedOn w:val="2"/>
    <w:next w:val="1"/>
    <w:unhideWhenUsed/>
    <w:qFormat/>
    <w:uiPriority w:val="39"/>
    <w:pPr>
      <w:spacing w:line="259" w:lineRule="auto"/>
      <w:outlineLvl w:val="9"/>
    </w:pPr>
    <w:rPr>
      <w:lang w:eastAsia="en-US"/>
    </w:rPr>
  </w:style>
  <w:style w:type="paragraph" w:styleId="15">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chart" Target="charts/chart1.xml"/><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000" b="0" i="0" u="none" strike="noStrike" kern="1200" spc="0" baseline="0">
                <a:solidFill>
                  <a:schemeClr val="tx1">
                    <a:lumMod val="65000"/>
                    <a:lumOff val="35000"/>
                  </a:schemeClr>
                </a:solidFill>
                <a:latin typeface="华文楷体" panose="02010600040101010101" charset="-122"/>
                <a:ea typeface="华文楷体" panose="02010600040101010101" charset="-122"/>
                <a:cs typeface="华文楷体" panose="02010600040101010101" charset="-122"/>
                <a:sym typeface="华文楷体" panose="02010600040101010101" charset="-122"/>
              </a:defRPr>
            </a:pPr>
            <a:r>
              <a:rPr lang="zh-CN" sz="1000">
                <a:latin typeface="华文细黑" panose="02010600040101010101" charset="-122"/>
                <a:ea typeface="华文细黑" panose="02010600040101010101" charset="-122"/>
                <a:cs typeface="华文楷体" panose="02010600040101010101" charset="-122"/>
                <a:sym typeface="华文楷体" panose="02010600040101010101" charset="-122"/>
              </a:rPr>
              <a:t>单位：人民币万元</a:t>
            </a:r>
            <a:endParaRPr lang="en-US" sz="1000">
              <a:latin typeface="华文细黑" panose="02010600040101010101" charset="-122"/>
              <a:ea typeface="华文细黑" panose="02010600040101010101" charset="-122"/>
              <a:cs typeface="华文楷体" panose="02010600040101010101" charset="-122"/>
              <a:sym typeface="华文楷体" panose="02010600040101010101" charset="-122"/>
            </a:endParaRPr>
          </a:p>
        </c:rich>
      </c:tx>
      <c:layout>
        <c:manualLayout>
          <c:xMode val="edge"/>
          <c:yMode val="edge"/>
          <c:x val="0.832913888764001"/>
          <c:y val="0"/>
        </c:manualLayout>
      </c:layout>
      <c:overlay val="0"/>
      <c:spPr>
        <a:noFill/>
        <a:ln>
          <a:noFill/>
        </a:ln>
        <a:effectLst/>
      </c:spPr>
    </c:title>
    <c:autoTitleDeleted val="0"/>
    <c:plotArea>
      <c:layout>
        <c:manualLayout>
          <c:layoutTarget val="inner"/>
          <c:xMode val="edge"/>
          <c:yMode val="edge"/>
          <c:x val="0.0758641367745699"/>
          <c:y val="0.188246490601951"/>
          <c:w val="0.887098826188393"/>
          <c:h val="0.748212094473202"/>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75000"/>
                        <a:lumOff val="25000"/>
                      </a:schemeClr>
                    </a:solidFill>
                    <a:latin typeface="+mn-lt"/>
                    <a:ea typeface="华文楷体" panose="02010600040101010101" charset="-122"/>
                    <a:cs typeface="华文楷体" panose="02010600040101010101" charset="-122"/>
                    <a:sym typeface="华文楷体" panose="02010600040101010101"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现金流模拟测算表!$H$2:$M$2</c:f>
              <c:numCache>
                <c:formatCode>General</c:formatCode>
                <c:ptCount val="6"/>
                <c:pt idx="0">
                  <c:v>2023</c:v>
                </c:pt>
                <c:pt idx="1">
                  <c:v>2024</c:v>
                </c:pt>
                <c:pt idx="2">
                  <c:v>2025</c:v>
                </c:pt>
                <c:pt idx="3">
                  <c:v>2026</c:v>
                </c:pt>
                <c:pt idx="4">
                  <c:v>2027</c:v>
                </c:pt>
                <c:pt idx="5">
                  <c:v>2028</c:v>
                </c:pt>
              </c:numCache>
            </c:numRef>
          </c:cat>
          <c:val>
            <c:numRef>
              <c:f>现金流模拟测算表!$H$23:$M$23</c:f>
              <c:numCache>
                <c:formatCode>_(* #,##0.00_);_(* \(#,##0.00\);_(* "-"??_);_(@_)</c:formatCode>
                <c:ptCount val="6"/>
                <c:pt idx="0">
                  <c:v>0</c:v>
                </c:pt>
                <c:pt idx="1">
                  <c:v>123.3</c:v>
                </c:pt>
                <c:pt idx="2">
                  <c:v>246.6</c:v>
                </c:pt>
                <c:pt idx="3">
                  <c:v>369.9</c:v>
                </c:pt>
                <c:pt idx="4">
                  <c:v>493.2</c:v>
                </c:pt>
                <c:pt idx="5">
                  <c:v>116.5</c:v>
                </c:pt>
              </c:numCache>
            </c:numRef>
          </c:val>
        </c:ser>
        <c:dLbls>
          <c:showLegendKey val="0"/>
          <c:showVal val="0"/>
          <c:showCatName val="0"/>
          <c:showSerName val="0"/>
          <c:showPercent val="0"/>
          <c:showBubbleSize val="0"/>
        </c:dLbls>
        <c:gapWidth val="219"/>
        <c:overlap val="-27"/>
        <c:axId val="501556952"/>
        <c:axId val="501557608"/>
      </c:barChart>
      <c:catAx>
        <c:axId val="501556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mn-lt"/>
                <a:ea typeface="华文楷体" panose="02010600040101010101" charset="-122"/>
                <a:cs typeface="华文楷体" panose="02010600040101010101" charset="-122"/>
                <a:sym typeface="华文楷体" panose="02010600040101010101" charset="-122"/>
              </a:defRPr>
            </a:pPr>
          </a:p>
        </c:txPr>
        <c:crossAx val="501557608"/>
        <c:crosses val="autoZero"/>
        <c:auto val="1"/>
        <c:lblAlgn val="ctr"/>
        <c:lblOffset val="100"/>
        <c:noMultiLvlLbl val="0"/>
      </c:catAx>
      <c:valAx>
        <c:axId val="501557608"/>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mn-ea"/>
                <a:ea typeface="+mn-ea"/>
                <a:cs typeface="华文楷体" panose="02010600040101010101" charset="-122"/>
                <a:sym typeface="华文楷体" panose="02010600040101010101" charset="-122"/>
              </a:defRPr>
            </a:pPr>
          </a:p>
        </c:txPr>
        <c:crossAx val="501556952"/>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latin typeface="华文楷体" panose="02010600040101010101" charset="-122"/>
          <a:ea typeface="华文楷体" panose="02010600040101010101" charset="-122"/>
          <a:cs typeface="华文楷体" panose="02010600040101010101" charset="-122"/>
          <a:sym typeface="华文楷体" panose="02010600040101010101" charset="-122"/>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2024-06-17T01:22:04Z</dcterms:created>
  <dc:creator>Administrator</dc:creator>
  <cp:lastModifiedBy>Administrator</cp:lastModifiedBy>
  <dcterms:modified xsi:type="dcterms:W3CDTF">2024-06-17T01:27:26Z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ies>
</file>