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360" w:lineRule="auto"/>
        <w:ind w:left="-809" w:leftChars="-337" w:right="-667" w:rightChars="-278"/>
        <w:jc w:val="center"/>
        <w:rPr>
          <w:rFonts w:ascii="楷体" w:hAnsi="楷体" w:eastAsia="楷体" w:cs="楷体"/>
          <w:b/>
          <w:color w:val="000000" w:themeColor="text1"/>
          <w:sz w:val="40"/>
          <w:szCs w:val="44"/>
          <w14:textFill>
            <w14:solidFill>
              <w14:schemeClr w14:val="tx1"/>
            </w14:solidFill>
          </w14:textFill>
        </w:rPr>
      </w:pPr>
      <w:r>
        <w:rPr>
          <w:rFonts w:ascii="楷体" w:hAnsi="楷体" w:eastAsia="楷体" w:cs="楷体"/>
          <w:b/>
          <w:color w:val="000000" w:themeColor="text1"/>
          <w:sz w:val="40"/>
          <w:szCs w:val="44"/>
          <w14:textFill>
            <w14:solidFill>
              <w14:schemeClr w14:val="tx1"/>
            </w14:solidFill>
          </w14:textFill>
        </w:rPr>
        <w:t>2023</w:t>
      </w:r>
      <w:r>
        <w:rPr>
          <w:rFonts w:hint="eastAsia" w:ascii="楷体" w:hAnsi="楷体" w:eastAsia="楷体" w:cs="楷体"/>
          <w:b/>
          <w:color w:val="000000" w:themeColor="text1"/>
          <w:sz w:val="40"/>
          <w:szCs w:val="44"/>
          <w14:textFill>
            <w14:solidFill>
              <w14:schemeClr w14:val="tx1"/>
            </w14:solidFill>
          </w14:textFill>
        </w:rPr>
        <w:t>年三亚市专项债券资金调剂项目</w:t>
      </w:r>
    </w:p>
    <w:p>
      <w:pPr>
        <w:widowControl w:val="0"/>
        <w:spacing w:line="360" w:lineRule="auto"/>
        <w:ind w:left="-809" w:leftChars="-337" w:right="-667" w:rightChars="-278"/>
        <w:jc w:val="center"/>
        <w:rPr>
          <w:rFonts w:ascii="楷体" w:hAnsi="楷体" w:eastAsia="楷体" w:cs="楷体"/>
          <w:b/>
          <w:color w:val="000000"/>
          <w:sz w:val="40"/>
          <w:szCs w:val="44"/>
        </w:rPr>
      </w:pPr>
      <w:r>
        <w:rPr>
          <w:rFonts w:hint="eastAsia" w:ascii="楷体" w:hAnsi="楷体" w:eastAsia="楷体" w:cs="楷体"/>
          <w:b/>
          <w:color w:val="000000"/>
          <w:sz w:val="40"/>
          <w:szCs w:val="44"/>
        </w:rPr>
        <w:t>收益与融资自求平</w:t>
      </w:r>
      <w:bookmarkStart w:id="66" w:name="_GoBack"/>
      <w:bookmarkEnd w:id="66"/>
      <w:r>
        <w:rPr>
          <w:rFonts w:hint="eastAsia" w:ascii="楷体" w:hAnsi="楷体" w:eastAsia="楷体" w:cs="楷体"/>
          <w:b/>
          <w:color w:val="000000"/>
          <w:sz w:val="40"/>
          <w:szCs w:val="44"/>
        </w:rPr>
        <w:t>衡方案</w:t>
      </w:r>
    </w:p>
    <w:p>
      <w:pPr>
        <w:widowControl w:val="0"/>
        <w:spacing w:before="360" w:after="240" w:line="360" w:lineRule="auto"/>
        <w:ind w:left="-809" w:leftChars="-337" w:right="-667" w:rightChars="-278"/>
        <w:jc w:val="center"/>
        <w:rPr>
          <w:rFonts w:ascii="楷体" w:hAnsi="楷体" w:eastAsia="楷体" w:cs="楷体"/>
          <w:b/>
          <w:color w:val="000000" w:themeColor="text1"/>
          <w:sz w:val="32"/>
          <w:szCs w:val="36"/>
          <w14:textFill>
            <w14:solidFill>
              <w14:schemeClr w14:val="tx1"/>
            </w14:solidFill>
          </w14:textFill>
        </w:rPr>
      </w:pPr>
      <w:r>
        <w:rPr>
          <w:rFonts w:hint="eastAsia" w:ascii="楷体" w:hAnsi="楷体" w:eastAsia="楷体" w:cs="楷体"/>
          <w:b/>
          <w:color w:val="000000" w:themeColor="text1"/>
          <w:sz w:val="32"/>
          <w:szCs w:val="36"/>
          <w14:textFill>
            <w14:solidFill>
              <w14:schemeClr w14:val="tx1"/>
            </w14:solidFill>
          </w14:textFill>
        </w:rPr>
        <w:t>前  言</w:t>
      </w:r>
    </w:p>
    <w:p>
      <w:pPr>
        <w:spacing w:after="160" w:line="360" w:lineRule="auto"/>
        <w:ind w:firstLine="560" w:firstLineChars="200"/>
        <w:jc w:val="both"/>
        <w:rPr>
          <w:rFonts w:hint="eastAsia"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2019年以来，国家不断加快地方政府专项债券发行和使用，有效带动基础投资支持补短板、扩内需。2020年初突如其来的新冠肺炎疫情对我国经济社会发展带来冲击，近期，中央明确指出积极的财政政策要更加积极有为，并提出增加地方政府专项债券规模，用足用好地方债强化经济逆周期调节，发挥稳投资、扩内需、补短板的作用。根据《中华人民共和国预算法（2018年修正</w:t>
      </w:r>
      <w:r>
        <w:rPr>
          <w:rFonts w:hint="eastAsia" w:ascii="仿宋" w:hAnsi="仿宋" w:eastAsia="仿宋" w:cs="仿宋"/>
          <w:color w:val="000000"/>
          <w:sz w:val="28"/>
          <w:szCs w:val="28"/>
          <w:lang w:val="en-GB"/>
        </w:rPr>
        <w:t>）</w:t>
      </w:r>
      <w:r>
        <w:rPr>
          <w:rFonts w:hint="eastAsia" w:ascii="仿宋" w:hAnsi="仿宋" w:eastAsia="仿宋" w:cs="仿宋"/>
          <w:color w:val="000000" w:themeColor="text1"/>
          <w:sz w:val="28"/>
          <w:szCs w:val="28"/>
          <w:lang w:val="en-GB"/>
          <w14:textFill>
            <w14:solidFill>
              <w14:schemeClr w14:val="tx1"/>
            </w14:solidFill>
          </w14:textFill>
        </w:rPr>
        <w:t>》第三十五条规定，经国务院批准的省、自治区、直辖市的预算中必需的建设投资的部分资金，可以在国务院确定的限额内，通过发行地方政府债券举借债务的方式筹措。</w:t>
      </w:r>
    </w:p>
    <w:p>
      <w:pPr>
        <w:spacing w:after="160" w:line="360" w:lineRule="auto"/>
        <w:ind w:firstLine="560" w:firstLineChars="200"/>
        <w:jc w:val="both"/>
        <w:rPr>
          <w:rFonts w:hint="eastAsia" w:ascii="仿宋" w:hAnsi="仿宋" w:eastAsia="仿宋" w:cs="仿宋"/>
          <w:color w:val="000000" w:themeColor="text1"/>
          <w:sz w:val="28"/>
          <w:szCs w:val="28"/>
          <w:lang w:val="en-GB"/>
          <w14:textFill>
            <w14:solidFill>
              <w14:schemeClr w14:val="tx1"/>
            </w14:solidFill>
          </w14:textFill>
        </w:rPr>
        <w:sectPr>
          <w:headerReference r:id="rId6" w:type="first"/>
          <w:footerReference r:id="rId9" w:type="first"/>
          <w:headerReference r:id="rId4" w:type="default"/>
          <w:footerReference r:id="rId7" w:type="default"/>
          <w:headerReference r:id="rId5" w:type="even"/>
          <w:footerReference r:id="rId8" w:type="even"/>
          <w:pgSz w:w="12240" w:h="15840"/>
          <w:pgMar w:top="1440" w:right="1800" w:bottom="1440" w:left="1800" w:header="708" w:footer="850" w:gutter="0"/>
          <w:cols w:space="720" w:num="1"/>
          <w:docGrid w:linePitch="326" w:charSpace="0"/>
        </w:sectPr>
      </w:pPr>
      <w:r>
        <w:rPr>
          <w:rFonts w:hint="eastAsia" w:ascii="仿宋" w:hAnsi="仿宋" w:eastAsia="仿宋" w:cs="仿宋"/>
          <w:color w:val="000000" w:themeColor="text1"/>
          <w:sz w:val="28"/>
          <w:szCs w:val="28"/>
          <w:lang w:val="en-GB"/>
          <w14:textFill>
            <w14:solidFill>
              <w14:schemeClr w14:val="tx1"/>
            </w14:solidFill>
          </w14:textFill>
        </w:rPr>
        <w:t>海南省三亚市人民政府严格落实党中央、国务院依法依规举债、适度举债的要求，确保政府融资在本级财政可承受能力范围内量力而行。2023年三亚市政府专项债券，是按照《财政部关于试点发展项目收益与融资自求平衡的地方政府专项债券品种的通知》（财预〔2017〕89号）要求，在遵循市场规则的基础上，积极探索从我国实际出发的地方政府“市政项目收益债”；项目债务风险锁定在项目内，并按照市场规则向投资者进行详细的项目信息披露，保障投资者权益，不断规范地方政府发债行为。</w:t>
      </w: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一、债券概况</w:t>
      </w:r>
    </w:p>
    <w:p>
      <w:pPr>
        <w:spacing w:before="120" w:after="120" w:line="360" w:lineRule="auto"/>
        <w:ind w:firstLine="454"/>
        <w:rPr>
          <w:rFonts w:hint="eastAsia" w:ascii="仿宋" w:hAnsi="仿宋" w:eastAsia="仿宋" w:cs="仿宋"/>
          <w:sz w:val="28"/>
          <w:szCs w:val="28"/>
          <w:lang w:val="en-GB"/>
        </w:rPr>
      </w:pPr>
      <w:r>
        <w:rPr>
          <w:rFonts w:hint="eastAsia" w:ascii="仿宋" w:hAnsi="仿宋" w:eastAsia="仿宋" w:cs="仿宋"/>
          <w:sz w:val="28"/>
          <w:szCs w:val="28"/>
          <w:lang w:val="en-GB"/>
        </w:rPr>
        <w:t>本次三亚市吉阳区新村社区饮水巩固提升工程项目拟调增专项债券500.00万元，品种为记账式固定利率附息债券，期限为5年期。按每</w:t>
      </w:r>
      <w:r>
        <w:rPr>
          <w:rFonts w:hint="eastAsia" w:ascii="仿宋" w:hAnsi="仿宋" w:eastAsia="仿宋" w:cs="仿宋"/>
          <w:sz w:val="28"/>
          <w:szCs w:val="28"/>
        </w:rPr>
        <w:t>半</w:t>
      </w:r>
      <w:r>
        <w:rPr>
          <w:rFonts w:hint="eastAsia" w:ascii="仿宋" w:hAnsi="仿宋" w:eastAsia="仿宋" w:cs="仿宋"/>
          <w:sz w:val="28"/>
          <w:szCs w:val="28"/>
          <w:lang w:val="en-GB"/>
        </w:rPr>
        <w:t>年付息一次，最后一期利息随本金一起支付。</w:t>
      </w:r>
    </w:p>
    <w:tbl>
      <w:tblPr>
        <w:tblStyle w:val="8"/>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52"/>
        <w:gridCol w:w="7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Ex>
        <w:trPr>
          <w:trHeight w:val="340" w:hRule="atLeast"/>
        </w:trPr>
        <w:tc>
          <w:tcPr>
            <w:tcW w:w="1552" w:type="dxa"/>
            <w:shd w:val="clear" w:color="auto" w:fill="FFFFFF" w:themeFill="background1"/>
            <w:vAlign w:val="center"/>
          </w:tcPr>
          <w:p>
            <w:pPr>
              <w:jc w:val="center"/>
              <w:rPr>
                <w:rFonts w:hint="eastAsia" w:ascii="仿宋" w:hAnsi="仿宋" w:eastAsia="仿宋" w:cs="仿宋"/>
                <w:b/>
                <w:bCs/>
                <w:sz w:val="20"/>
                <w:szCs w:val="20"/>
              </w:rPr>
            </w:pPr>
            <w:r>
              <w:rPr>
                <w:rFonts w:hint="eastAsia" w:ascii="仿宋" w:hAnsi="仿宋" w:eastAsia="仿宋" w:cs="仿宋"/>
                <w:b/>
                <w:color w:val="000000" w:themeColor="text1"/>
                <w:szCs w:val="20"/>
                <w:lang w:val="en-GB"/>
                <w14:textFill>
                  <w14:solidFill>
                    <w14:schemeClr w14:val="tx1"/>
                  </w14:solidFill>
                </w14:textFill>
              </w:rPr>
              <w:t>债券名称</w:t>
            </w:r>
          </w:p>
        </w:tc>
        <w:tc>
          <w:tcPr>
            <w:tcW w:w="7078" w:type="dxa"/>
            <w:shd w:val="clear" w:color="auto" w:fill="FFFFFF" w:themeFill="background1"/>
            <w:vAlign w:val="center"/>
          </w:tcPr>
          <w:p>
            <w:pPr>
              <w:jc w:val="center"/>
              <w:rPr>
                <w:rFonts w:hint="eastAsia" w:ascii="仿宋" w:hAnsi="仿宋" w:eastAsia="仿宋" w:cs="仿宋"/>
                <w:color w:val="000000" w:themeColor="text1"/>
                <w:szCs w:val="20"/>
                <w:lang w:val="en-GB"/>
                <w14:textFill>
                  <w14:solidFill>
                    <w14:schemeClr w14:val="tx1"/>
                  </w14:solidFill>
                </w14:textFill>
              </w:rPr>
            </w:pPr>
            <w:r>
              <w:rPr>
                <w:rFonts w:hint="eastAsia" w:ascii="仿宋" w:hAnsi="仿宋" w:eastAsia="仿宋" w:cs="仿宋"/>
                <w:color w:val="000000" w:themeColor="text1"/>
                <w:szCs w:val="20"/>
                <w:lang w:val="en-GB"/>
                <w14:textFill>
                  <w14:solidFill>
                    <w14:schemeClr w14:val="tx1"/>
                  </w14:solidFill>
                </w14:textFill>
              </w:rPr>
              <w:t>2023年三亚市专项债券资金调整——</w:t>
            </w:r>
          </w:p>
          <w:p>
            <w:pPr>
              <w:jc w:val="center"/>
              <w:rPr>
                <w:rFonts w:hint="eastAsia" w:ascii="仿宋" w:hAnsi="仿宋" w:eastAsia="仿宋" w:cs="仿宋"/>
                <w:color w:val="000000" w:themeColor="text1"/>
                <w:szCs w:val="20"/>
                <w:lang w:val="en-GB"/>
                <w14:textFill>
                  <w14:solidFill>
                    <w14:schemeClr w14:val="tx1"/>
                  </w14:solidFill>
                </w14:textFill>
              </w:rPr>
            </w:pPr>
            <w:r>
              <w:rPr>
                <w:rFonts w:hint="eastAsia" w:ascii="仿宋" w:hAnsi="仿宋" w:eastAsia="仿宋" w:cs="仿宋"/>
                <w:color w:val="000000" w:themeColor="text1"/>
                <w:szCs w:val="20"/>
                <w:lang w:val="en-GB"/>
                <w14:textFill>
                  <w14:solidFill>
                    <w14:schemeClr w14:val="tx1"/>
                  </w14:solidFill>
                </w14:textFill>
              </w:rPr>
              <w:t>三亚市吉阳区新村社区饮水巩固提升工程项目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2" w:type="dxa"/>
            <w:shd w:val="clear" w:color="auto" w:fill="FFFFFF" w:themeFill="background1"/>
            <w:vAlign w:val="center"/>
          </w:tcPr>
          <w:p>
            <w:pPr>
              <w:jc w:val="center"/>
              <w:rPr>
                <w:rFonts w:hint="eastAsia" w:ascii="仿宋" w:hAnsi="仿宋" w:eastAsia="仿宋" w:cs="仿宋"/>
                <w:sz w:val="20"/>
                <w:szCs w:val="20"/>
              </w:rPr>
            </w:pPr>
            <w:r>
              <w:rPr>
                <w:rFonts w:hint="eastAsia" w:ascii="仿宋" w:hAnsi="仿宋" w:eastAsia="仿宋" w:cs="仿宋"/>
                <w:b/>
                <w:color w:val="000000" w:themeColor="text1"/>
                <w:szCs w:val="20"/>
                <w:lang w:val="en-GB"/>
                <w14:textFill>
                  <w14:solidFill>
                    <w14:schemeClr w14:val="tx1"/>
                  </w14:solidFill>
                </w14:textFill>
              </w:rPr>
              <w:t>调剂规模</w:t>
            </w:r>
          </w:p>
        </w:tc>
        <w:tc>
          <w:tcPr>
            <w:tcW w:w="7078" w:type="dxa"/>
            <w:shd w:val="clear" w:color="auto" w:fill="FFFFFF" w:themeFill="background1"/>
            <w:vAlign w:val="center"/>
          </w:tcPr>
          <w:p>
            <w:pPr>
              <w:jc w:val="center"/>
              <w:rPr>
                <w:rFonts w:hint="eastAsia" w:ascii="仿宋" w:hAnsi="仿宋" w:eastAsia="仿宋" w:cs="仿宋"/>
                <w:sz w:val="20"/>
                <w:szCs w:val="20"/>
              </w:rPr>
            </w:pPr>
            <w:r>
              <w:rPr>
                <w:rFonts w:hint="eastAsia" w:ascii="仿宋" w:hAnsi="仿宋" w:eastAsia="仿宋" w:cs="仿宋"/>
                <w:color w:val="000000" w:themeColor="text1"/>
                <w:szCs w:val="20"/>
                <w14:textFill>
                  <w14:solidFill>
                    <w14:schemeClr w14:val="tx1"/>
                  </w14:solidFill>
                </w14:textFill>
              </w:rPr>
              <w:t>调增专项债券500.00万元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2" w:type="dxa"/>
            <w:shd w:val="clear" w:color="auto" w:fill="FFFFFF" w:themeFill="background1"/>
            <w:vAlign w:val="center"/>
          </w:tcPr>
          <w:p>
            <w:pPr>
              <w:jc w:val="center"/>
              <w:rPr>
                <w:rFonts w:hint="eastAsia" w:ascii="仿宋" w:hAnsi="仿宋" w:eastAsia="仿宋" w:cs="仿宋"/>
                <w:sz w:val="20"/>
                <w:szCs w:val="20"/>
              </w:rPr>
            </w:pPr>
            <w:r>
              <w:rPr>
                <w:rFonts w:hint="eastAsia" w:ascii="仿宋" w:hAnsi="仿宋" w:eastAsia="仿宋" w:cs="仿宋"/>
                <w:b/>
                <w:color w:val="000000" w:themeColor="text1"/>
                <w:szCs w:val="20"/>
                <w:lang w:val="en-GB"/>
                <w14:textFill>
                  <w14:solidFill>
                    <w14:schemeClr w14:val="tx1"/>
                  </w14:solidFill>
                </w14:textFill>
              </w:rPr>
              <w:t>债券利率</w:t>
            </w:r>
          </w:p>
        </w:tc>
        <w:tc>
          <w:tcPr>
            <w:tcW w:w="7078" w:type="dxa"/>
            <w:shd w:val="clear" w:color="auto" w:fill="FFFFFF" w:themeFill="background1"/>
            <w:vAlign w:val="center"/>
          </w:tcPr>
          <w:p>
            <w:pPr>
              <w:jc w:val="center"/>
              <w:rPr>
                <w:rFonts w:hint="eastAsia" w:ascii="仿宋" w:hAnsi="仿宋" w:eastAsia="仿宋" w:cs="仿宋"/>
                <w:sz w:val="20"/>
                <w:szCs w:val="20"/>
              </w:rPr>
            </w:pPr>
            <w:r>
              <w:rPr>
                <w:rFonts w:hint="eastAsia" w:ascii="仿宋" w:hAnsi="仿宋" w:eastAsia="仿宋" w:cs="仿宋"/>
                <w:color w:val="000000" w:themeColor="text1"/>
                <w:szCs w:val="20"/>
                <w:lang w:val="en-GB"/>
                <w14:textFill>
                  <w14:solidFill>
                    <w14:schemeClr w14:val="tx1"/>
                  </w14:solidFill>
                </w14:textFill>
              </w:rPr>
              <w:t>固定利率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552" w:type="dxa"/>
            <w:shd w:val="clear" w:color="auto" w:fill="FFFFFF" w:themeFill="background1"/>
            <w:vAlign w:val="center"/>
          </w:tcPr>
          <w:p>
            <w:pPr>
              <w:jc w:val="center"/>
              <w:rPr>
                <w:rFonts w:hint="eastAsia" w:ascii="仿宋" w:hAnsi="仿宋" w:eastAsia="仿宋" w:cs="仿宋"/>
                <w:sz w:val="20"/>
                <w:szCs w:val="20"/>
              </w:rPr>
            </w:pPr>
            <w:r>
              <w:rPr>
                <w:rFonts w:hint="eastAsia" w:ascii="仿宋" w:hAnsi="仿宋" w:eastAsia="仿宋" w:cs="仿宋"/>
                <w:b/>
                <w:color w:val="000000" w:themeColor="text1"/>
                <w:szCs w:val="20"/>
                <w:lang w:val="en-GB"/>
                <w14:textFill>
                  <w14:solidFill>
                    <w14:schemeClr w14:val="tx1"/>
                  </w14:solidFill>
                </w14:textFill>
              </w:rPr>
              <w:t>付息方式</w:t>
            </w:r>
          </w:p>
        </w:tc>
        <w:tc>
          <w:tcPr>
            <w:tcW w:w="7078" w:type="dxa"/>
            <w:shd w:val="clear" w:color="auto" w:fill="FFFFFF" w:themeFill="background1"/>
            <w:vAlign w:val="center"/>
          </w:tcPr>
          <w:p>
            <w:pPr>
              <w:jc w:val="center"/>
              <w:rPr>
                <w:rFonts w:hint="eastAsia" w:ascii="仿宋" w:hAnsi="仿宋" w:eastAsia="仿宋" w:cs="仿宋"/>
                <w:b/>
                <w:bCs/>
                <w:sz w:val="20"/>
                <w:szCs w:val="20"/>
              </w:rPr>
            </w:pPr>
            <w:r>
              <w:rPr>
                <w:rFonts w:hint="eastAsia" w:ascii="仿宋" w:hAnsi="仿宋" w:eastAsia="仿宋" w:cs="仿宋"/>
                <w:color w:val="000000" w:themeColor="text1"/>
                <w:szCs w:val="20"/>
                <w14:textFill>
                  <w14:solidFill>
                    <w14:schemeClr w14:val="tx1"/>
                  </w14:solidFill>
                </w14:textFill>
              </w:rPr>
              <w:t>每半年付息一次，最后一期利息随本金一起支付</w:t>
            </w:r>
          </w:p>
        </w:tc>
      </w:tr>
    </w:tbl>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bookmarkStart w:id="0" w:name="_Toc98020590"/>
      <w:bookmarkStart w:id="1" w:name="_Toc38920842"/>
      <w:r>
        <w:rPr>
          <w:rFonts w:hint="eastAsia" w:ascii="仿宋" w:hAnsi="仿宋" w:eastAsia="仿宋" w:cs="仿宋"/>
          <w:b/>
          <w:bCs/>
          <w:color w:val="000000" w:themeColor="text1"/>
          <w:sz w:val="28"/>
          <w:szCs w:val="28"/>
          <w14:textFill>
            <w14:solidFill>
              <w14:schemeClr w14:val="tx1"/>
            </w14:solidFill>
          </w14:textFill>
        </w:rPr>
        <w:t>二、地区区位、经济概况</w:t>
      </w:r>
      <w:bookmarkEnd w:id="0"/>
      <w:bookmarkEnd w:id="1"/>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（一）项目区位情况</w:t>
      </w:r>
    </w:p>
    <w:p>
      <w:pPr>
        <w:spacing w:line="360" w:lineRule="auto"/>
        <w:ind w:firstLine="560" w:firstLineChars="200"/>
        <w:rPr>
          <w:rFonts w:hint="eastAsia" w:ascii="仿宋" w:hAnsi="仿宋" w:eastAsia="仿宋" w:cs="仿宋"/>
          <w:sz w:val="28"/>
          <w:szCs w:val="28"/>
          <w:lang w:val="en-GB"/>
        </w:rPr>
      </w:pPr>
      <w:r>
        <w:rPr>
          <w:rFonts w:hint="eastAsia" w:ascii="仿宋" w:hAnsi="仿宋" w:eastAsia="仿宋" w:cs="仿宋"/>
          <w:sz w:val="28"/>
          <w:szCs w:val="28"/>
          <w:lang w:val="en-GB"/>
        </w:rPr>
        <w:t>三亚古称崖州，别称鹿城，位于海南岛的最南端，系海南省下辖地级市、海南省南部的中心城市和交通通信枢纽，也是中国东南沿海对外开放黄金海岸线上最南端的对外贸易重要口岸之一。</w:t>
      </w:r>
    </w:p>
    <w:p>
      <w:pPr>
        <w:spacing w:line="360" w:lineRule="auto"/>
        <w:ind w:firstLine="560" w:firstLineChars="200"/>
        <w:rPr>
          <w:rFonts w:hint="eastAsia" w:ascii="仿宋" w:hAnsi="仿宋" w:eastAsia="仿宋" w:cs="仿宋"/>
          <w:sz w:val="28"/>
          <w:szCs w:val="28"/>
          <w:lang w:val="en-GB"/>
        </w:rPr>
      </w:pPr>
      <w:r>
        <w:rPr>
          <w:rFonts w:hint="eastAsia" w:ascii="仿宋" w:hAnsi="仿宋" w:eastAsia="仿宋" w:cs="仿宋"/>
          <w:sz w:val="28"/>
          <w:szCs w:val="28"/>
          <w:lang w:val="en-GB"/>
        </w:rPr>
        <w:t>2018年4月13日，习近平在庆祝海南建省办经济特区30周年大会上郑重宣布，党中央决定支持海南全岛建设自由贸易试验区。2018年4月14日，中共中央、国务院发布《关于支持海南全面深化改革开放的指导意见》（中发﹝2018﹞12号），明确以现有自由贸易试验区试点内容为主体，结合海南特点，建设中国（海南）自由贸易试验区，实施范围为海南岛全岛。</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（二）2019-2022年三亚市经济基本情况</w:t>
      </w:r>
    </w:p>
    <w:p>
      <w:pPr>
        <w:spacing w:before="120" w:after="120" w:line="360" w:lineRule="auto"/>
        <w:ind w:left="567"/>
        <w:jc w:val="both"/>
        <w:outlineLvl w:val="2"/>
        <w:rPr>
          <w:rFonts w:hint="eastAsia" w:ascii="仿宋" w:hAnsi="仿宋" w:eastAsia="仿宋" w:cs="仿宋"/>
          <w:b/>
          <w:color w:val="000000" w:themeColor="text1"/>
          <w:sz w:val="28"/>
          <w:szCs w:val="28"/>
          <w14:textFill>
            <w14:solidFill>
              <w14:schemeClr w14:val="tx1"/>
            </w14:solidFill>
          </w14:textFill>
        </w:rPr>
      </w:pPr>
      <w:bookmarkStart w:id="2" w:name="_Toc44232433"/>
      <w:bookmarkStart w:id="3" w:name="_Toc28675796"/>
      <w:bookmarkStart w:id="4" w:name="_Toc38966126"/>
      <w:bookmarkStart w:id="5" w:name="_Toc38898997"/>
      <w:bookmarkStart w:id="6" w:name="_Toc38920843"/>
      <w:bookmarkStart w:id="7" w:name="_Toc79003407"/>
      <w:bookmarkStart w:id="8" w:name="_Toc25162473"/>
      <w:bookmarkStart w:id="9" w:name="_Toc67236213"/>
      <w:bookmarkStart w:id="10" w:name="_Toc85796861"/>
      <w:bookmarkStart w:id="11" w:name="_Toc44234638"/>
      <w:bookmarkStart w:id="12" w:name="_Toc85796971"/>
      <w:bookmarkStart w:id="13" w:name="_Toc98020591"/>
      <w:bookmarkStart w:id="14" w:name="_Toc38905991"/>
      <w:bookmarkStart w:id="15" w:name="_Toc48670850"/>
      <w:r>
        <w:rPr>
          <w:rFonts w:hint="eastAsia" w:ascii="仿宋" w:hAnsi="仿宋" w:eastAsia="仿宋" w:cs="仿宋"/>
          <w:b/>
          <w:color w:val="000000" w:themeColor="text1"/>
          <w:sz w:val="28"/>
          <w:szCs w:val="28"/>
          <w14:textFill>
            <w14:solidFill>
              <w14:schemeClr w14:val="tx1"/>
            </w14:solidFill>
          </w14:textFill>
        </w:rPr>
        <w:t>1．地区生产总值</w:t>
      </w:r>
      <w:bookmarkEnd w:id="2"/>
      <w:bookmarkEnd w:id="3"/>
      <w:bookmarkEnd w:id="4"/>
      <w:bookmarkEnd w:id="5"/>
      <w:bookmarkEnd w:id="6"/>
      <w:bookmarkEnd w:id="7"/>
      <w:bookmarkEnd w:id="8"/>
      <w:bookmarkEnd w:id="9"/>
      <w:bookmarkEnd w:id="10"/>
      <w:bookmarkEnd w:id="11"/>
      <w:bookmarkEnd w:id="12"/>
      <w:bookmarkEnd w:id="13"/>
      <w:bookmarkEnd w:id="14"/>
      <w:bookmarkEnd w:id="15"/>
    </w:p>
    <w:p>
      <w:pPr>
        <w:widowControl w:val="0"/>
        <w:spacing w:after="160" w:line="360" w:lineRule="auto"/>
        <w:ind w:firstLine="560"/>
        <w:jc w:val="both"/>
        <w:rPr>
          <w:rFonts w:hint="eastAsia" w:ascii="仿宋" w:hAnsi="仿宋" w:eastAsia="仿宋" w:cs="仿宋"/>
          <w:color w:val="000000"/>
          <w:sz w:val="28"/>
          <w:szCs w:val="28"/>
          <w:lang w:val="en-GB"/>
        </w:rPr>
      </w:pPr>
      <w:bookmarkStart w:id="16" w:name="_Toc25162474"/>
      <w:r>
        <w:rPr>
          <w:rFonts w:hint="eastAsia" w:ascii="仿宋" w:hAnsi="仿宋" w:eastAsia="仿宋" w:cs="仿宋"/>
          <w:color w:val="000000"/>
          <w:sz w:val="28"/>
          <w:szCs w:val="28"/>
          <w:lang w:val="en-GB"/>
        </w:rPr>
        <w:t>2019年，三亚市全年生产总值（GDP）677.86亿元，按可比价格计算，比上年增长6.4%。其中,第一产业增加值71.51亿元，增长3.7%；第二产业增加值112.37亿元，增长3.1%；第三产业增加值493.98亿元，增长7.6%。三次产业结构调整为10.5:16.6:72.9。</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2020年，三亚市全年全市生产总值（GDP）695.41亿元，按可比价格计算，比上年增长3.1%。其中，第一产业增加值79.16亿元，增长2.2%；第二产业增加值113.30亿元，增长3.0%；第三产业增加值502.95亿元，增长3.2%。三次产业结构调整为11.4:16.3:72.3。</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2021年全市地区生产总值（GDP）835.37亿元，按可比价格计算，比上年增长12.1%。其中，第一产业增加值93.79亿元，增长3.8%；第二产业增加值124.72亿元，增长0.1%；第三产业增加值616.86亿元，增长16.1%。三次产业结构调整为11.2:14.9:73.9。</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2022年全市地区生产总值（GDP）847.11亿元，按不变价计算，同比下降4.5%，占全省地区生产总值的比重为12.4%。其中，第一产业增加值110.33亿元，同比增长1.1%；第二产业增加值114.77亿元，同比下降10.0%；第三产业增加值622.01亿元，同比下降4.2%。三次产业结构调整为13.0:13.6:73.4。</w:t>
      </w:r>
    </w:p>
    <w:p>
      <w:pPr>
        <w:spacing w:before="120" w:after="120" w:line="360" w:lineRule="auto"/>
        <w:ind w:left="567"/>
        <w:jc w:val="both"/>
        <w:outlineLvl w:val="2"/>
        <w:rPr>
          <w:rFonts w:hint="eastAsia" w:ascii="仿宋" w:hAnsi="仿宋" w:eastAsia="仿宋" w:cs="仿宋"/>
          <w:b/>
          <w:color w:val="000000"/>
          <w:sz w:val="28"/>
          <w:szCs w:val="28"/>
        </w:rPr>
      </w:pPr>
      <w:r>
        <w:rPr>
          <w:rFonts w:hint="eastAsia" w:ascii="仿宋" w:hAnsi="仿宋" w:eastAsia="仿宋" w:cs="仿宋"/>
          <w:b/>
          <w:color w:val="000000"/>
          <w:sz w:val="28"/>
          <w:szCs w:val="28"/>
        </w:rPr>
        <w:t>2．地区人均年收入</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2019年，三亚市全年城乡居民人均可支配收入33,130元，比上年增长8.7%。从收入来源看，工资性收入19,458元，增长9.0%；经营净收入6,223元，增长6.1%；财产净收入3,636元，增长8.9%；转移净收入3,815元，增长11.3%。按常住地分，城镇常住居民人均可支配收入39,308元，增长7.9%。其中，工资性收入24,273元，增长7.9%；经营净收入5,847元，增长6.5%；财产净收入4,631元，增长7.8%；转移净收入4,557元，增长10.2%。农村常住居民人均可支配收入17,027元，增长8.0%。其中，工资性收入6,905元，增长8.9%；经营净收入7,202元，增长5.9%；财产净收入1,041元，增长8.2%；转移净收入1,879元，增长12.4%。</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2020年，三亚市全年城乡居民人均可支配收入34,642元，比上年增长4.6%。从收入来源看，工资性收入20,596元，增长5.0%；经营净收入5,664元，下降6.3%；财产净收入4,022元，增长10.0%；转移净收入4,361元，增长14.3%。按常住地分，城镇常住居民人均可支配收入40,547元，增长3.2%。其中，工资性收入25,285元，增长3.5%；经营净收入5,113元，下降10.9%；财产净收入5,017元，增长8.2%；转移净收入5,132元，增长13.9%。农村常住居民人均可支配收入18,389元，增长8.0%。其中，工资性收入7,689元，增长8.7%；经营净收入7,180元，增长5.0%；财产净收入1,282元，增长15.9%；转移净收入2,238元，增长11.3%。</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2021年，三亚市全年城乡居民人均可支配收入37,762元，增长9.0%。按常住地分，城镇常住居民人均可支配收入44,199元，增长9.0%；农村常住居民人均可支配收入20,413元，增长11.0%。</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2022年，三亚市城乡居民人均可支配收入37,504元,比上年下降0.7%。按常住地分，城镇常住居民人均可支配收入43,403元，下降1.8%。农村常住居民人均可支配收入21,189元，增长3.8%。</w:t>
      </w:r>
    </w:p>
    <w:p>
      <w:pPr>
        <w:spacing w:before="120" w:after="120" w:line="360" w:lineRule="auto"/>
        <w:ind w:left="567"/>
        <w:jc w:val="both"/>
        <w:outlineLvl w:val="2"/>
        <w:rPr>
          <w:rFonts w:hint="eastAsia" w:ascii="仿宋" w:hAnsi="仿宋" w:eastAsia="仿宋" w:cs="仿宋"/>
          <w:b/>
          <w:color w:val="000000"/>
          <w:sz w:val="28"/>
          <w:szCs w:val="28"/>
        </w:rPr>
      </w:pPr>
      <w:r>
        <w:rPr>
          <w:rFonts w:hint="eastAsia" w:ascii="仿宋" w:hAnsi="仿宋" w:eastAsia="仿宋" w:cs="仿宋"/>
          <w:b/>
          <w:color w:val="000000"/>
          <w:sz w:val="28"/>
          <w:szCs w:val="28"/>
        </w:rPr>
        <w:t>3．一般公共预算收支</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2019年，三亚市实现地方一般公共预算收入109.10亿元，比上年增长8.6%。其中，税收收入76.42亿元，增长0.3%；非税收收入32.68亿元，增长34.7%。税收收入中，增值税17.99亿元，下降19.5%；企业所得税14.04亿元，下降9.9%；土地增值税19.07亿元,增长39.3%；契税5.12亿元，增长34.4%；房产税6.19亿元，下降10.2%；城镇土地使用税3.50亿元，下降17.8%；城市维护建设税3.10亿元，下降17.7%；个人所得税2.58亿元，下降28.2%。三亚市地方一般公共预算支出215.39亿元，比上年增长20.5%。与民生相关的支出中，住房保障支出30.12亿元，增长33.1%；城乡社区事务31.96亿元，增长20.3%；节能环保8.41亿元，增长6.0%；教育22.41亿元，增长6.1%；卫生健康11.88亿元，增长21.5%。</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2020年，三亚市实现地方一般公共预算收入110.41亿元，比上年增长1.2%。其中，税收收入62.03亿元，下降18.8%；非税收收入48.39亿元，增长48.1%。税收收入中，增值税16.31亿元，下降9.3%；企业所得税12.73亿元，下降9.4%；土地增值税14.49亿元，下降24.0%；契税4.37亿元，下降14.8%；房产税4.21亿元，下降32.0%；城镇土地使用税2.63亿元，下降24.8%；城市维护建设税2.83亿元，下降8.5%；个人所得税2.06亿元，下降20.2%。全市地方一般公共预算支出199.68亿元，比上年下降7.3%。与民生相关的支出中，卫生健康支出17.83亿元，增长50.1%；教育支出23.71亿元，增长5.8%；节能环保支出8.54亿元，增长1.6%；城乡社区支出32.12亿元，增长0.5%。</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2021年，全市实现地方一般公共预算收入117.14亿元，比上年增长6.1%。其中，税收收入83.56亿元，增长34.7%；非税收收入33.58亿元，下降30.6%。税收收入中，增值税21.67亿元，增长32.8%；企业所得税18.37亿元，增长44.3%；土地增值税15.98亿元，增长10.3%；契税5.25亿元，增长20.3%；房产税6.68亿元，增长58.7%；城镇土地使用税3.39亿元，增长28.9%；城市维护建设税4.00亿元，增长41.1%；个人所得税5.97亿元，增长189.6%。全市地方一般公共预算支出202.38亿元，比上年增长1.4%。其中，卫生健康支出12.12亿元，下降32.0%；教育支出24.23亿元，增长2.2%；节能环保支出8.58亿元，增长0.4%；城乡社区支出43.19亿元，增长34.5%。</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2022年，全市实现地方一般公共预算收入98.02亿元，比上年下降（同口径计算,下同）14.1%。其中,税收收入59.74亿元，下降25.3%；非税收收入38.27亿元，增长14.0%。税收收入中，增值税8.58亿元，下降47.1%；企业所得税13.73亿元,下降25.3%；土地增值税12.37亿元,下降22.6%；契税3.36亿元,下降36.0%；房产税5.25亿元,下降21.3%；城镇土地使用税3.03亿元,下降10.6%；城市维护建设税2.96亿元,下降26.0%；个人所得税6.92亿元,增长16.0%。全市地方一般公共预算支出228.95亿元，比上年增长13.1%。其中,卫生健康支出34.34亿元，增长1.8倍；教育支出24.68亿元，增长1.8%；节能环保支出7.44亿元，下降13.2%；社会保障和就业支出14.72亿元，增长10.2%；城乡社区支出43.99亿元，增长1.8%。</w:t>
      </w:r>
    </w:p>
    <w:p>
      <w:pPr>
        <w:spacing w:before="120" w:after="120" w:line="360" w:lineRule="auto"/>
        <w:ind w:left="567"/>
        <w:jc w:val="both"/>
        <w:outlineLvl w:val="2"/>
        <w:rPr>
          <w:rFonts w:hint="eastAsia" w:ascii="仿宋" w:hAnsi="仿宋" w:eastAsia="仿宋" w:cs="仿宋"/>
          <w:b/>
          <w:color w:val="000000"/>
          <w:sz w:val="28"/>
          <w:szCs w:val="28"/>
        </w:rPr>
      </w:pPr>
      <w:r>
        <w:rPr>
          <w:rFonts w:hint="eastAsia" w:ascii="仿宋" w:hAnsi="仿宋" w:eastAsia="仿宋" w:cs="仿宋"/>
          <w:b/>
          <w:color w:val="000000"/>
          <w:sz w:val="28"/>
          <w:szCs w:val="28"/>
        </w:rPr>
        <w:t>4．政府性基金预算收支</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2019年，三亚市地方政府性基金预算收入102.08亿元，完成预算100.7%，增收50.26亿元，增长97.0%，加上省代理地方政府发行新增债券收入43亿元、再融资债券收入7.8亿元、转移性收入0.63亿元和上年结余结转收入0.72亿元，三亚市地方政府性基金预算总收入154.23亿元，增收72.09亿元，增长87.8%。三亚市地方政府性基金预算支出132.66亿元，完成预算98.6%，增支51.55亿元，增长63.6%，加上中央和省代理地方政府发行债券还本支出10.15亿元、调出资金8.06亿元，三亚市地方政府性基金预算总支出150.87亿元，增支69.44亿元，增长85.3%。收支相抵，年终结余3.36亿元。</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2020年，三亚市地方政府性基金预算收入110.2亿元，增收8.1亿元，增长8.0%，加上省代理地方政府发行新增专项债券收入62.4亿元、抗疫特别国债收入22.5亿元、再融资债券收入8.0亿元、转移性收入0.9亿元和上年结余结转收入3.4亿元，全市地方政府性基金预算总收入207.4亿元，增收53.2亿元，增长34.5%。全市地方政府性基金预算支出189.7亿元，增支57.0亿元，增长43.0%，加上中央和省代理地方政府发行债券还本支出9.3亿元、调出资金2.6亿元，全市地方政府性基金预算总支出201.6亿元，增支50.8亿元，增长33.7%。收支相抵，年终结余5.8亿元。</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2021年，三亚市地方政府性基金预算收入97.1亿元，下降11.9%，加上新增专项债券收入85.1亿元、再融资债券收入6.9亿元、上级补助收入17.4亿元和上年结余收入5.8亿元，全市地方政府性基金预算总收入212.3亿元。全市地方政府性基金预算支出170.8亿元，下降10.0%，加上调出资金0.7亿元、地方政府债券还本支出23.0亿元，全市地方政府性基金预算总支出194.5亿元。收支相抵，年终结余结转17.8亿元。</w:t>
      </w:r>
    </w:p>
    <w:p>
      <w:pPr>
        <w:widowControl w:val="0"/>
        <w:spacing w:after="160" w:line="360" w:lineRule="auto"/>
        <w:ind w:firstLine="560"/>
        <w:jc w:val="both"/>
        <w:rPr>
          <w:rFonts w:hint="eastAsia" w:ascii="仿宋" w:hAnsi="仿宋" w:eastAsia="仿宋" w:cs="仿宋"/>
          <w:color w:val="000000"/>
          <w:sz w:val="28"/>
          <w:szCs w:val="28"/>
        </w:rPr>
      </w:pPr>
      <w:r>
        <w:rPr>
          <w:rFonts w:hint="eastAsia" w:ascii="仿宋" w:hAnsi="仿宋" w:eastAsia="仿宋" w:cs="仿宋"/>
          <w:color w:val="000000"/>
          <w:sz w:val="28"/>
          <w:szCs w:val="28"/>
          <w:lang w:val="en-GB"/>
        </w:rPr>
        <w:t>2022年，三亚市地方政府性基金预算收入136.0亿元，增长40.0%，加上上级补助收入3.5亿元、再融资债券收入21.4亿元和上年结余收入17.8亿元，全市地方政府性基金预算总收入178.7亿元。全市地方政府性基金预算支出152.9亿元，下降10.5%，加上地方政府债券还本支出25.3亿元，全市地方政府性基金预算总支出178.2亿元。收支相抵，年终结余结转0.5亿元。</w:t>
      </w:r>
    </w:p>
    <w:p>
      <w:pPr>
        <w:spacing w:before="120" w:after="120" w:line="360" w:lineRule="auto"/>
        <w:ind w:left="567"/>
        <w:jc w:val="both"/>
        <w:outlineLvl w:val="2"/>
        <w:rPr>
          <w:rFonts w:hint="eastAsia" w:ascii="仿宋" w:hAnsi="仿宋" w:eastAsia="仿宋" w:cs="仿宋"/>
          <w:b/>
          <w:color w:val="000000"/>
          <w:sz w:val="28"/>
          <w:szCs w:val="28"/>
        </w:rPr>
      </w:pPr>
      <w:r>
        <w:rPr>
          <w:rFonts w:hint="eastAsia" w:ascii="仿宋" w:hAnsi="仿宋" w:eastAsia="仿宋" w:cs="仿宋"/>
          <w:b/>
          <w:color w:val="000000"/>
          <w:sz w:val="28"/>
          <w:szCs w:val="28"/>
        </w:rPr>
        <w:t>5．地方政府债务情况</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2019年，海南省财政厅下达给三亚市的债务限额为285.17亿元，其中，一般债务限额124.51亿元，专项债券限额160.67亿元。2019年底三亚市债务余额282.69亿元，其中一般债务余额124.38亿元，专项债务余额158.31亿元。</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2020年，海南省财政厅下达给三亚市的债务限额为353.69亿元，其中，一般债务限额132.98亿元，专项债券限额220.71亿元。2020年底三亚市债务余额351.76亿元，其中一般债务余额132.41亿元，专项债务余额219.35亿元。</w:t>
      </w:r>
    </w:p>
    <w:p>
      <w:pPr>
        <w:widowControl w:val="0"/>
        <w:spacing w:after="160" w:line="360" w:lineRule="auto"/>
        <w:ind w:firstLine="560"/>
        <w:jc w:val="both"/>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2021年，海南省财政厅下达给三亚市的债务限额为430.97亿元，其中，一般限额142.69亿元，专项限额288.28亿元。2021年底三亚市债务余额417.54亿元，其中一般债务余额138.74亿元，专项债务余额278.80亿元。</w:t>
      </w:r>
    </w:p>
    <w:p>
      <w:pPr>
        <w:spacing w:line="360" w:lineRule="auto"/>
        <w:ind w:firstLine="560" w:firstLineChars="200"/>
        <w:rPr>
          <w:rFonts w:hint="eastAsia" w:ascii="仿宋" w:hAnsi="仿宋" w:eastAsia="仿宋" w:cs="仿宋"/>
          <w:lang w:val="en-GB"/>
        </w:rPr>
      </w:pPr>
      <w:r>
        <w:rPr>
          <w:rFonts w:hint="eastAsia" w:ascii="仿宋" w:hAnsi="仿宋" w:eastAsia="仿宋" w:cs="仿宋"/>
          <w:color w:val="000000"/>
          <w:sz w:val="28"/>
          <w:szCs w:val="28"/>
          <w:lang w:val="en-GB"/>
        </w:rPr>
        <w:t>2022年，海南省财政厅下达给三亚市的债务限额为513.75亿元，其中，一般限额148.46亿元，专项限额365.28亿元。</w:t>
      </w:r>
    </w:p>
    <w:bookmarkEnd w:id="16"/>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bookmarkStart w:id="17" w:name="_Toc38920847"/>
      <w:bookmarkStart w:id="18" w:name="_Toc98020596"/>
      <w:r>
        <w:rPr>
          <w:rFonts w:hint="eastAsia" w:ascii="仿宋" w:hAnsi="仿宋" w:eastAsia="仿宋" w:cs="仿宋"/>
          <w:b/>
          <w:bCs/>
          <w:color w:val="000000" w:themeColor="text1"/>
          <w:sz w:val="28"/>
          <w:szCs w:val="28"/>
          <w14:textFill>
            <w14:solidFill>
              <w14:schemeClr w14:val="tx1"/>
            </w14:solidFill>
          </w14:textFill>
        </w:rPr>
        <w:t>三、项目概述</w:t>
      </w:r>
      <w:bookmarkEnd w:id="17"/>
      <w:bookmarkEnd w:id="18"/>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（一）项目背景</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三亚又称“鹿城”，位于海南岛南端，东邻陵水县，西接乐东县，北毗保亭县，南临南海。1984年5月，经国务院批准撤销崖县设立县级三亚市，1987年三亚升格为地级市。2014年2月，国务院批复三亚市撤六镇新设四区，2015年1月，三亚市新设立的四个区正式挂牌成立。全市辖海棠、吉阳、天涯、崖州4个行政区，陆地总面积1,921平方公里，海域面积3,226平方公里，共有居委会57个，村委会92个，自然村491个。海岸线263公里，有19个港湾、10个主要岛屿、11条独流入海的河流。城区建成区面积53.67平方公里。</w:t>
      </w:r>
    </w:p>
    <w:p>
      <w:pPr>
        <w:keepNext/>
        <w:keepLines/>
        <w:widowControl w:val="0"/>
        <w:spacing w:before="240" w:beforeLines="100" w:after="240" w:afterLines="100" w:line="360" w:lineRule="auto"/>
        <w:ind w:firstLine="562" w:firstLineChars="200"/>
        <w:jc w:val="both"/>
        <w:outlineLvl w:val="1"/>
        <w:rPr>
          <w:rFonts w:hint="eastAsia" w:ascii="仿宋" w:hAnsi="仿宋" w:eastAsia="仿宋" w:cs="仿宋"/>
          <w:b/>
          <w:bCs/>
          <w:color w:val="000000"/>
          <w:sz w:val="28"/>
          <w:szCs w:val="28"/>
          <w:lang w:val="en-GB"/>
        </w:rPr>
      </w:pPr>
      <w:bookmarkStart w:id="19" w:name="_Toc67236220"/>
      <w:bookmarkStart w:id="20" w:name="_Toc79003413"/>
      <w:r>
        <w:rPr>
          <w:rFonts w:hint="eastAsia" w:ascii="仿宋" w:hAnsi="仿宋" w:eastAsia="仿宋" w:cs="仿宋"/>
          <w:b/>
          <w:bCs/>
          <w:color w:val="000000"/>
          <w:sz w:val="28"/>
          <w:szCs w:val="28"/>
          <w:lang w:val="en-GB"/>
        </w:rPr>
        <w:t>（二）债券资金调整原因</w:t>
      </w:r>
    </w:p>
    <w:bookmarkEnd w:id="19"/>
    <w:bookmarkEnd w:id="20"/>
    <w:p>
      <w:pPr>
        <w:widowControl w:val="0"/>
        <w:spacing w:after="160" w:line="360" w:lineRule="auto"/>
        <w:ind w:firstLine="560" w:firstLineChars="200"/>
        <w:rPr>
          <w:rFonts w:hint="eastAsia" w:ascii="仿宋" w:hAnsi="仿宋" w:eastAsia="仿宋" w:cs="仿宋"/>
          <w:color w:val="000000"/>
          <w:sz w:val="28"/>
          <w:szCs w:val="28"/>
          <w:lang w:val="en-GB"/>
        </w:rPr>
      </w:pPr>
      <w:r>
        <w:rPr>
          <w:rFonts w:hint="eastAsia" w:ascii="仿宋" w:hAnsi="仿宋" w:eastAsia="仿宋" w:cs="仿宋"/>
          <w:color w:val="000000"/>
          <w:sz w:val="28"/>
          <w:szCs w:val="28"/>
          <w:lang w:val="en-GB"/>
        </w:rPr>
        <w:t>根据《关于印发&lt;地方政府专项债券用途调整操作指引&gt;的通知》（财预〔2021〕110号）、《地方政府专项债券用途调整操作指引》第五条“专项债券资金已安排的项目，可以申请调整的具体情形包括：（一）项目实施过程中发生重大变化，确无专项债券资金需求或需求少于预期的；”，为了提高债券资金使用效率，2023年11月</w:t>
      </w:r>
      <w:r>
        <w:rPr>
          <w:rFonts w:hint="eastAsia" w:ascii="仿宋" w:hAnsi="仿宋" w:eastAsia="仿宋" w:cs="仿宋"/>
          <w:sz w:val="28"/>
          <w:szCs w:val="28"/>
          <w:lang w:val="en-GB"/>
        </w:rPr>
        <w:t>三亚市吉阳区新村社区饮水巩固提升工程</w:t>
      </w:r>
      <w:r>
        <w:rPr>
          <w:rFonts w:hint="eastAsia" w:ascii="仿宋" w:hAnsi="仿宋" w:eastAsia="仿宋" w:cs="仿宋"/>
          <w:color w:val="000000"/>
          <w:sz w:val="28"/>
          <w:szCs w:val="28"/>
          <w:lang w:val="en-GB"/>
        </w:rPr>
        <w:t>调增500.00万元（本期调剂情况详见下方表1）。</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（三）调整项目概况</w:t>
      </w:r>
    </w:p>
    <w:p>
      <w:pPr>
        <w:spacing w:before="120" w:after="120" w:line="360" w:lineRule="auto"/>
        <w:ind w:firstLine="560" w:firstLineChars="200"/>
        <w:jc w:val="both"/>
        <w:rPr>
          <w:rFonts w:hint="eastAsia"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sz w:val="28"/>
          <w:szCs w:val="28"/>
        </w:rPr>
        <w:t>2023年三亚市专项债券资金调整——三亚市吉阳区水务局专项债券（</w:t>
      </w:r>
      <w:r>
        <w:rPr>
          <w:rFonts w:hint="eastAsia" w:ascii="仿宋" w:hAnsi="仿宋" w:eastAsia="仿宋" w:cs="仿宋"/>
          <w:sz w:val="28"/>
          <w:szCs w:val="28"/>
          <w:lang w:val="en-GB"/>
        </w:rPr>
        <w:t>以下简称“本项目”）符合国家政策和三亚市基础设施事业的发展，此次调剂共涉及1个项目。</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项目基本情况如下：</w:t>
      </w:r>
    </w:p>
    <w:p>
      <w:pPr>
        <w:spacing w:line="360" w:lineRule="auto"/>
        <w:ind w:firstLine="560" w:firstLineChars="200"/>
        <w:rPr>
          <w:rFonts w:hint="eastAsia"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项目业主：三亚市吉阳区水务局。</w:t>
      </w:r>
    </w:p>
    <w:tbl>
      <w:tblPr>
        <w:tblStyle w:val="9"/>
        <w:tblW w:w="8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968"/>
        <w:gridCol w:w="5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blHeader/>
        </w:trPr>
        <w:tc>
          <w:tcPr>
            <w:tcW w:w="735" w:type="dxa"/>
            <w:shd w:val="clear" w:color="auto" w:fill="auto"/>
            <w:vAlign w:val="center"/>
          </w:tcPr>
          <w:p>
            <w:pPr>
              <w:widowControl w:val="0"/>
              <w:snapToGrid w:val="0"/>
              <w:jc w:val="center"/>
              <w:rPr>
                <w:rFonts w:hint="eastAsia" w:ascii="仿宋" w:hAnsi="仿宋" w:eastAsia="仿宋" w:cs="仿宋"/>
                <w:b/>
                <w:bCs/>
                <w:sz w:val="20"/>
                <w:szCs w:val="20"/>
              </w:rPr>
            </w:pPr>
            <w:r>
              <w:rPr>
                <w:rFonts w:hint="eastAsia" w:ascii="仿宋" w:hAnsi="仿宋" w:eastAsia="仿宋" w:cs="仿宋"/>
                <w:b/>
                <w:bCs/>
                <w:sz w:val="20"/>
                <w:szCs w:val="20"/>
              </w:rPr>
              <w:t>序号</w:t>
            </w:r>
          </w:p>
        </w:tc>
        <w:tc>
          <w:tcPr>
            <w:tcW w:w="1968" w:type="dxa"/>
            <w:shd w:val="clear" w:color="auto" w:fill="auto"/>
            <w:vAlign w:val="center"/>
          </w:tcPr>
          <w:p>
            <w:pPr>
              <w:widowControl w:val="0"/>
              <w:snapToGrid w:val="0"/>
              <w:jc w:val="center"/>
              <w:rPr>
                <w:rFonts w:hint="eastAsia" w:ascii="仿宋" w:hAnsi="仿宋" w:eastAsia="仿宋" w:cs="仿宋"/>
                <w:b/>
                <w:bCs/>
                <w:sz w:val="20"/>
                <w:szCs w:val="20"/>
              </w:rPr>
            </w:pPr>
            <w:r>
              <w:rPr>
                <w:rFonts w:hint="eastAsia" w:ascii="仿宋" w:hAnsi="仿宋" w:eastAsia="仿宋" w:cs="仿宋"/>
                <w:b/>
                <w:bCs/>
                <w:sz w:val="20"/>
                <w:szCs w:val="20"/>
              </w:rPr>
              <w:t>项目名称</w:t>
            </w:r>
          </w:p>
        </w:tc>
        <w:tc>
          <w:tcPr>
            <w:tcW w:w="5927" w:type="dxa"/>
            <w:shd w:val="clear" w:color="auto" w:fill="auto"/>
            <w:vAlign w:val="center"/>
          </w:tcPr>
          <w:p>
            <w:pPr>
              <w:widowControl w:val="0"/>
              <w:snapToGrid w:val="0"/>
              <w:jc w:val="center"/>
              <w:rPr>
                <w:rFonts w:hint="eastAsia" w:ascii="仿宋" w:hAnsi="仿宋" w:eastAsia="仿宋" w:cs="仿宋"/>
                <w:b/>
                <w:bCs/>
                <w:sz w:val="20"/>
                <w:szCs w:val="20"/>
              </w:rPr>
            </w:pPr>
            <w:r>
              <w:rPr>
                <w:rFonts w:hint="eastAsia" w:ascii="仿宋" w:hAnsi="仿宋" w:eastAsia="仿宋" w:cs="仿宋"/>
                <w:b/>
                <w:sz w:val="20"/>
                <w:szCs w:val="20"/>
              </w:rPr>
              <w:t>主要建设内容及建设规模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3" w:hRule="atLeast"/>
        </w:trPr>
        <w:tc>
          <w:tcPr>
            <w:tcW w:w="735" w:type="dxa"/>
            <w:shd w:val="clear" w:color="auto" w:fill="auto"/>
            <w:vAlign w:val="center"/>
          </w:tcPr>
          <w:p>
            <w:pPr>
              <w:widowControl w:val="0"/>
              <w:snapToGrid w:val="0"/>
              <w:jc w:val="center"/>
              <w:rPr>
                <w:rFonts w:hint="eastAsia" w:ascii="仿宋" w:hAnsi="仿宋" w:eastAsia="仿宋" w:cs="仿宋"/>
                <w:sz w:val="20"/>
                <w:szCs w:val="20"/>
              </w:rPr>
            </w:pPr>
            <w:r>
              <w:rPr>
                <w:rFonts w:hint="eastAsia" w:ascii="仿宋" w:hAnsi="仿宋" w:eastAsia="仿宋" w:cs="仿宋"/>
                <w:sz w:val="20"/>
                <w:szCs w:val="20"/>
              </w:rPr>
              <w:t>1</w:t>
            </w:r>
          </w:p>
        </w:tc>
        <w:tc>
          <w:tcPr>
            <w:tcW w:w="1968" w:type="dxa"/>
            <w:shd w:val="clear" w:color="auto" w:fill="auto"/>
            <w:vAlign w:val="center"/>
          </w:tcPr>
          <w:p>
            <w:pPr>
              <w:jc w:val="center"/>
              <w:rPr>
                <w:rFonts w:hint="eastAsia" w:ascii="仿宋" w:hAnsi="仿宋" w:eastAsia="仿宋" w:cs="仿宋"/>
                <w:sz w:val="20"/>
                <w:szCs w:val="20"/>
                <w:lang w:eastAsia="zh-CN"/>
              </w:rPr>
            </w:pPr>
            <w:r>
              <w:rPr>
                <w:rFonts w:hint="eastAsia" w:ascii="仿宋" w:hAnsi="仿宋" w:eastAsia="仿宋" w:cs="仿宋"/>
                <w:sz w:val="20"/>
                <w:szCs w:val="20"/>
              </w:rPr>
              <w:t>吉阳区新村社区饮水巩固提升工程</w:t>
            </w:r>
          </w:p>
        </w:tc>
        <w:tc>
          <w:tcPr>
            <w:tcW w:w="5927" w:type="dxa"/>
            <w:shd w:val="clear" w:color="auto" w:fill="auto"/>
            <w:vAlign w:val="center"/>
          </w:tcPr>
          <w:p>
            <w:pPr>
              <w:widowControl w:val="0"/>
              <w:snapToGrid w:val="0"/>
              <w:jc w:val="both"/>
              <w:rPr>
                <w:rFonts w:hint="eastAsia" w:ascii="仿宋" w:hAnsi="仿宋" w:eastAsia="仿宋" w:cs="仿宋"/>
                <w:sz w:val="20"/>
                <w:szCs w:val="20"/>
              </w:rPr>
            </w:pPr>
            <w:r>
              <w:rPr>
                <w:rFonts w:hint="eastAsia" w:ascii="仿宋" w:hAnsi="仿宋" w:eastAsia="仿宋" w:cs="仿宋"/>
                <w:sz w:val="20"/>
                <w:szCs w:val="20"/>
              </w:rPr>
              <w:t>主要建设内容为新建 DN300 球墨  铸铁管727m、DN250球墨铸铁管683m、DN200球墨铸铁管373m、DN150 球墨铸铁管1073m、DN100 钢塑管917m 、DN80 钢塑管 4293m、DN65 钢塑管2796m 、DN50钢塑管4931m 、DN40 钢塑管1,158m、DN20入户钢塑管67,425m、PE100聚乙烯给水管DN300共95m、DN200过路钢套管30m、DN150过路钢套管144m、DN100 过路钢套管673m、用户水表组安装2,697户，压力等级为1.0MPa等。</w:t>
            </w:r>
          </w:p>
        </w:tc>
      </w:tr>
    </w:tbl>
    <w:p>
      <w:pPr>
        <w:jc w:val="left"/>
        <w:rPr>
          <w:rFonts w:hint="eastAsia" w:ascii="仿宋" w:hAnsi="仿宋" w:eastAsia="仿宋" w:cs="仿宋"/>
          <w:b/>
          <w:color w:val="000000"/>
        </w:rPr>
      </w:pPr>
    </w:p>
    <w:p>
      <w:pPr>
        <w:jc w:val="center"/>
        <w:rPr>
          <w:rFonts w:hint="eastAsia" w:ascii="仿宋" w:hAnsi="仿宋" w:eastAsia="仿宋" w:cs="仿宋"/>
          <w:b/>
          <w:color w:val="000000"/>
        </w:rPr>
      </w:pPr>
      <w:r>
        <w:rPr>
          <w:rFonts w:hint="eastAsia" w:ascii="仿宋" w:hAnsi="仿宋" w:eastAsia="仿宋" w:cs="仿宋"/>
          <w:b/>
          <w:color w:val="000000"/>
        </w:rPr>
        <w:t>表1-1：调增额度项目情况表</w:t>
      </w:r>
    </w:p>
    <w:p>
      <w:pPr>
        <w:ind w:right="240" w:rightChars="100"/>
        <w:jc w:val="right"/>
        <w:rPr>
          <w:rFonts w:hint="eastAsia" w:ascii="仿宋" w:hAnsi="仿宋" w:eastAsia="仿宋" w:cs="仿宋"/>
          <w:color w:val="000000"/>
          <w:sz w:val="20"/>
        </w:rPr>
      </w:pPr>
      <w:r>
        <w:rPr>
          <w:rFonts w:hint="eastAsia" w:ascii="仿宋" w:hAnsi="仿宋" w:eastAsia="仿宋" w:cs="仿宋"/>
          <w:color w:val="000000"/>
          <w:sz w:val="20"/>
        </w:rPr>
        <w:t>单位：人民币万元</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6901"/>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07" w:type="dxa"/>
            <w:shd w:val="clear" w:color="auto" w:fill="auto"/>
            <w:noWrap/>
            <w:vAlign w:val="center"/>
          </w:tcPr>
          <w:p>
            <w:pPr>
              <w:jc w:val="center"/>
              <w:rPr>
                <w:rFonts w:hint="eastAsia" w:ascii="仿宋" w:hAnsi="仿宋" w:eastAsia="仿宋" w:cs="仿宋"/>
                <w:sz w:val="20"/>
                <w:szCs w:val="20"/>
              </w:rPr>
            </w:pPr>
            <w:r>
              <w:rPr>
                <w:rFonts w:hint="eastAsia" w:ascii="仿宋" w:hAnsi="仿宋" w:eastAsia="仿宋" w:cs="仿宋"/>
                <w:b/>
                <w:bCs/>
                <w:sz w:val="20"/>
                <w:szCs w:val="20"/>
              </w:rPr>
              <w:t>序号</w:t>
            </w:r>
          </w:p>
        </w:tc>
        <w:tc>
          <w:tcPr>
            <w:tcW w:w="6901" w:type="dxa"/>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项目名称</w:t>
            </w:r>
          </w:p>
        </w:tc>
        <w:tc>
          <w:tcPr>
            <w:tcW w:w="1122" w:type="dxa"/>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调增额度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607" w:type="dxa"/>
            <w:shd w:val="clear" w:color="auto" w:fill="auto"/>
            <w:noWrap/>
            <w:vAlign w:val="center"/>
          </w:tcPr>
          <w:p>
            <w:pPr>
              <w:jc w:val="center"/>
              <w:rPr>
                <w:rFonts w:hint="eastAsia" w:ascii="仿宋" w:hAnsi="仿宋" w:eastAsia="仿宋" w:cs="仿宋"/>
                <w:sz w:val="20"/>
                <w:szCs w:val="20"/>
              </w:rPr>
            </w:pPr>
            <w:r>
              <w:rPr>
                <w:rFonts w:hint="eastAsia" w:ascii="仿宋" w:hAnsi="仿宋" w:eastAsia="仿宋" w:cs="仿宋"/>
                <w:sz w:val="20"/>
                <w:szCs w:val="20"/>
              </w:rPr>
              <w:t>1</w:t>
            </w:r>
          </w:p>
        </w:tc>
        <w:tc>
          <w:tcPr>
            <w:tcW w:w="6901" w:type="dxa"/>
            <w:shd w:val="clear" w:color="auto" w:fill="auto"/>
            <w:noWrap/>
            <w:vAlign w:val="center"/>
          </w:tcPr>
          <w:p>
            <w:pPr>
              <w:rPr>
                <w:rFonts w:hint="eastAsia" w:ascii="仿宋" w:hAnsi="仿宋" w:eastAsia="仿宋" w:cs="仿宋"/>
                <w:b/>
                <w:bCs/>
                <w:sz w:val="20"/>
                <w:szCs w:val="20"/>
              </w:rPr>
            </w:pPr>
            <w:r>
              <w:rPr>
                <w:rFonts w:hint="eastAsia" w:ascii="仿宋" w:hAnsi="仿宋" w:eastAsia="仿宋" w:cs="仿宋"/>
                <w:sz w:val="20"/>
                <w:szCs w:val="20"/>
              </w:rPr>
              <w:t>吉阳区新村社区饮水巩固提升工程</w:t>
            </w:r>
          </w:p>
        </w:tc>
        <w:tc>
          <w:tcPr>
            <w:tcW w:w="1122" w:type="dxa"/>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sz w:val="20"/>
                <w:szCs w:val="20"/>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7508" w:type="dxa"/>
            <w:gridSpan w:val="2"/>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合计</w:t>
            </w:r>
          </w:p>
        </w:tc>
        <w:tc>
          <w:tcPr>
            <w:tcW w:w="1122" w:type="dxa"/>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500</w:t>
            </w:r>
          </w:p>
        </w:tc>
      </w:tr>
    </w:tbl>
    <w:p>
      <w:pPr>
        <w:spacing w:before="240" w:beforeLines="100"/>
        <w:jc w:val="center"/>
        <w:rPr>
          <w:rFonts w:hint="eastAsia" w:ascii="仿宋" w:hAnsi="仿宋" w:eastAsia="仿宋" w:cs="仿宋"/>
          <w:b/>
          <w:color w:val="000000"/>
        </w:rPr>
      </w:pPr>
      <w:r>
        <w:rPr>
          <w:rFonts w:hint="eastAsia" w:ascii="仿宋" w:hAnsi="仿宋" w:eastAsia="仿宋" w:cs="仿宋"/>
          <w:b/>
          <w:color w:val="000000"/>
        </w:rPr>
        <w:t>表1-2：调整前项目情况表</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976"/>
        <w:gridCol w:w="1702"/>
        <w:gridCol w:w="1134"/>
        <w:gridCol w:w="1134"/>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2" w:type="dxa"/>
            <w:shd w:val="clear" w:color="auto" w:fill="auto"/>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序号</w:t>
            </w:r>
          </w:p>
        </w:tc>
        <w:tc>
          <w:tcPr>
            <w:tcW w:w="2976" w:type="dxa"/>
            <w:shd w:val="clear" w:color="auto" w:fill="auto"/>
            <w:noWrap/>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调减项目</w:t>
            </w:r>
          </w:p>
        </w:tc>
        <w:tc>
          <w:tcPr>
            <w:tcW w:w="1702" w:type="dxa"/>
            <w:shd w:val="clear" w:color="auto" w:fill="auto"/>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债券名称</w:t>
            </w:r>
          </w:p>
        </w:tc>
        <w:tc>
          <w:tcPr>
            <w:tcW w:w="1134" w:type="dxa"/>
            <w:shd w:val="clear" w:color="auto" w:fill="auto"/>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债券期限</w:t>
            </w:r>
          </w:p>
        </w:tc>
        <w:tc>
          <w:tcPr>
            <w:tcW w:w="1134" w:type="dxa"/>
            <w:shd w:val="clear" w:color="auto" w:fill="auto"/>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债券利率</w:t>
            </w:r>
          </w:p>
        </w:tc>
        <w:tc>
          <w:tcPr>
            <w:tcW w:w="1122" w:type="dxa"/>
            <w:shd w:val="clear" w:color="auto" w:fill="auto"/>
            <w:noWrap/>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调减额度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62" w:type="dxa"/>
            <w:shd w:val="clear" w:color="auto" w:fill="auto"/>
            <w:vAlign w:val="center"/>
          </w:tcPr>
          <w:p>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1</w:t>
            </w:r>
          </w:p>
        </w:tc>
        <w:tc>
          <w:tcPr>
            <w:tcW w:w="2976" w:type="dxa"/>
            <w:shd w:val="clear" w:color="auto" w:fill="auto"/>
            <w:noWrap/>
            <w:vAlign w:val="center"/>
          </w:tcPr>
          <w:p>
            <w:pP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三亚崖州湾科技城全球生物谷（三亚）污水处理及再生水管道工程</w:t>
            </w:r>
          </w:p>
        </w:tc>
        <w:tc>
          <w:tcPr>
            <w:tcW w:w="1702" w:type="dxa"/>
            <w:shd w:val="clear" w:color="auto" w:fill="auto"/>
            <w:vAlign w:val="center"/>
          </w:tcPr>
          <w:p>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2023年三亚市人民政府蓝色债券</w:t>
            </w:r>
          </w:p>
        </w:tc>
        <w:tc>
          <w:tcPr>
            <w:tcW w:w="1134" w:type="dxa"/>
            <w:shd w:val="clear" w:color="auto" w:fill="auto"/>
            <w:vAlign w:val="center"/>
          </w:tcPr>
          <w:p>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5年</w:t>
            </w:r>
          </w:p>
        </w:tc>
        <w:tc>
          <w:tcPr>
            <w:tcW w:w="1134" w:type="dxa"/>
            <w:shd w:val="clear" w:color="auto" w:fill="auto"/>
            <w:vAlign w:val="center"/>
          </w:tcPr>
          <w:p>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2.70%</w:t>
            </w:r>
          </w:p>
        </w:tc>
        <w:tc>
          <w:tcPr>
            <w:tcW w:w="1122" w:type="dxa"/>
            <w:shd w:val="clear" w:color="auto" w:fill="auto"/>
            <w:noWrap/>
            <w:vAlign w:val="center"/>
          </w:tcPr>
          <w:p>
            <w:pPr>
              <w:jc w:val="center"/>
              <w:rPr>
                <w:rFonts w:hint="eastAsia"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508" w:type="dxa"/>
            <w:gridSpan w:val="5"/>
            <w:shd w:val="clear" w:color="auto" w:fill="auto"/>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color w:val="000000" w:themeColor="text1"/>
                <w:sz w:val="20"/>
                <w:szCs w:val="20"/>
                <w14:textFill>
                  <w14:solidFill>
                    <w14:schemeClr w14:val="tx1"/>
                  </w14:solidFill>
                </w14:textFill>
              </w:rPr>
              <w:t>合计</w:t>
            </w:r>
          </w:p>
        </w:tc>
        <w:tc>
          <w:tcPr>
            <w:tcW w:w="1122" w:type="dxa"/>
            <w:shd w:val="clear" w:color="auto" w:fill="auto"/>
            <w:noWrap/>
            <w:vAlign w:val="center"/>
          </w:tcPr>
          <w:p>
            <w:pPr>
              <w:jc w:val="center"/>
              <w:rPr>
                <w:rFonts w:hint="eastAsia" w:ascii="仿宋" w:hAnsi="仿宋" w:eastAsia="仿宋" w:cs="仿宋"/>
                <w:b/>
                <w:bCs/>
                <w:color w:val="000000" w:themeColor="text1"/>
                <w:sz w:val="20"/>
                <w:szCs w:val="20"/>
                <w14:textFill>
                  <w14:solidFill>
                    <w14:schemeClr w14:val="tx1"/>
                  </w14:solidFill>
                </w14:textFill>
              </w:rPr>
            </w:pPr>
            <w:r>
              <w:rPr>
                <w:rFonts w:hint="eastAsia" w:ascii="仿宋" w:hAnsi="仿宋" w:eastAsia="仿宋" w:cs="仿宋"/>
                <w:b/>
                <w:bCs/>
                <w:color w:val="000000" w:themeColor="text1"/>
                <w:sz w:val="20"/>
                <w:szCs w:val="20"/>
                <w14:textFill>
                  <w14:solidFill>
                    <w14:schemeClr w14:val="tx1"/>
                  </w14:solidFill>
                </w14:textFill>
              </w:rPr>
              <w:t>500</w:t>
            </w:r>
          </w:p>
        </w:tc>
      </w:tr>
    </w:tbl>
    <w:p>
      <w:pPr>
        <w:ind w:right="-149" w:rightChars="-62"/>
        <w:jc w:val="right"/>
        <w:rPr>
          <w:rFonts w:ascii="楷体" w:hAnsi="楷体" w:eastAsia="楷体"/>
          <w:color w:val="000000"/>
          <w:sz w:val="20"/>
        </w:rPr>
      </w:pPr>
    </w:p>
    <w:p>
      <w:pPr>
        <w:spacing w:line="360" w:lineRule="auto"/>
        <w:ind w:firstLine="560" w:firstLineChars="200"/>
        <w:rPr>
          <w:rFonts w:hint="eastAsia"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为保障本项目合理融资需求，按照《中华人民共和国预算法》（2018年修订）、《国务院关于加强地方政府性债务管理的意见》（国发〔2014〕43号）、《关于做好2018年地方政府债券发行工作的意见》（财库〔2018〕61号）等文件精神，结合本项目建设计划和三亚市2023年发债计划，三亚市政府决定调剂地方政府专项债券，以满足三亚市基础设施建设的融资需求。</w:t>
      </w:r>
    </w:p>
    <w:p>
      <w:pPr>
        <w:spacing w:before="120" w:after="120"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项目取得的批复如下：</w:t>
      </w:r>
    </w:p>
    <w:p>
      <w:pPr>
        <w:spacing w:before="120" w:after="120"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本次申请发行专项债券的项目符合国家政策和三亚市基础设施事业的发展。经查验，本项目已取得的行政审批手续具体情况如下：</w:t>
      </w:r>
    </w:p>
    <w:p>
      <w:pPr>
        <w:pStyle w:val="2"/>
        <w:spacing w:before="120" w:after="120" w:line="360" w:lineRule="auto"/>
        <w:ind w:firstLine="480" w:firstLineChars="200"/>
        <w:jc w:val="both"/>
        <w:rPr>
          <w:rFonts w:hint="eastAsia" w:ascii="仿宋" w:hAnsi="仿宋" w:eastAsia="仿宋" w:cs="仿宋"/>
          <w:sz w:val="28"/>
          <w:szCs w:val="28"/>
        </w:rPr>
      </w:pPr>
      <w:r>
        <w:rPr>
          <w:rFonts w:hint="eastAsia" w:ascii="仿宋" w:hAnsi="仿宋" w:eastAsia="仿宋" w:cs="仿宋"/>
        </w:rPr>
        <w:br w:type="page"/>
      </w:r>
    </w:p>
    <w:tbl>
      <w:tblPr>
        <w:tblStyle w:val="9"/>
        <w:tblpPr w:leftFromText="180" w:rightFromText="180" w:vertAnchor="text" w:horzAnchor="page" w:tblpXSpec="center" w:tblpY="303"/>
        <w:tblOverlap w:val="never"/>
        <w:tblW w:w="102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607"/>
        <w:gridCol w:w="1959"/>
        <w:gridCol w:w="2722"/>
        <w:gridCol w:w="2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38" w:type="dxa"/>
            <w:shd w:val="clear" w:color="auto" w:fill="auto"/>
            <w:vAlign w:val="center"/>
          </w:tcPr>
          <w:p>
            <w:pPr>
              <w:widowControl w:val="0"/>
              <w:snapToGrid/>
              <w:jc w:val="center"/>
              <w:textAlignment w:val="center"/>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序号</w:t>
            </w:r>
          </w:p>
        </w:tc>
        <w:tc>
          <w:tcPr>
            <w:tcW w:w="2607" w:type="dxa"/>
            <w:shd w:val="clear" w:color="auto" w:fill="auto"/>
            <w:vAlign w:val="center"/>
          </w:tcPr>
          <w:p>
            <w:pPr>
              <w:widowControl w:val="0"/>
              <w:snapToGrid/>
              <w:jc w:val="center"/>
              <w:textAlignment w:val="center"/>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项目名称</w:t>
            </w:r>
          </w:p>
        </w:tc>
        <w:tc>
          <w:tcPr>
            <w:tcW w:w="1959" w:type="dxa"/>
            <w:shd w:val="clear" w:color="auto" w:fill="auto"/>
            <w:vAlign w:val="center"/>
          </w:tcPr>
          <w:p>
            <w:pPr>
              <w:widowControl w:val="0"/>
              <w:snapToGrid/>
              <w:jc w:val="center"/>
              <w:textAlignment w:val="center"/>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已取得的审批</w:t>
            </w:r>
          </w:p>
        </w:tc>
        <w:tc>
          <w:tcPr>
            <w:tcW w:w="2722" w:type="dxa"/>
            <w:shd w:val="clear" w:color="auto" w:fill="auto"/>
            <w:vAlign w:val="center"/>
          </w:tcPr>
          <w:p>
            <w:pPr>
              <w:widowControl w:val="0"/>
              <w:snapToGrid/>
              <w:jc w:val="center"/>
              <w:textAlignment w:val="center"/>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批准文号</w:t>
            </w:r>
          </w:p>
        </w:tc>
        <w:tc>
          <w:tcPr>
            <w:tcW w:w="2231" w:type="dxa"/>
            <w:shd w:val="clear" w:color="auto" w:fill="auto"/>
            <w:vAlign w:val="center"/>
          </w:tcPr>
          <w:p>
            <w:pPr>
              <w:widowControl w:val="0"/>
              <w:snapToGrid/>
              <w:jc w:val="center"/>
              <w:textAlignment w:val="center"/>
              <w:rPr>
                <w:rFonts w:hint="eastAsia" w:ascii="仿宋" w:hAnsi="仿宋" w:eastAsia="仿宋" w:cs="仿宋"/>
                <w:b/>
                <w:bCs/>
                <w:color w:val="auto"/>
                <w:sz w:val="24"/>
                <w:szCs w:val="24"/>
                <w:lang w:bidi="ar"/>
              </w:rPr>
            </w:pPr>
            <w:r>
              <w:rPr>
                <w:rFonts w:hint="eastAsia" w:ascii="仿宋" w:hAnsi="仿宋" w:eastAsia="仿宋" w:cs="仿宋"/>
                <w:b/>
                <w:bCs/>
                <w:color w:val="auto"/>
                <w:sz w:val="24"/>
                <w:szCs w:val="24"/>
                <w:lang w:bidi="ar"/>
              </w:rPr>
              <w:t>批准日期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8" w:hRule="atLeast"/>
          <w:jc w:val="center"/>
        </w:trPr>
        <w:tc>
          <w:tcPr>
            <w:tcW w:w="738" w:type="dxa"/>
            <w:vMerge w:val="restart"/>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1</w:t>
            </w:r>
          </w:p>
        </w:tc>
        <w:tc>
          <w:tcPr>
            <w:tcW w:w="2607" w:type="dxa"/>
            <w:vMerge w:val="restart"/>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吉阳区新村社区饮水巩固提升工程</w:t>
            </w:r>
          </w:p>
        </w:tc>
        <w:tc>
          <w:tcPr>
            <w:tcW w:w="1959"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项目立项批复</w:t>
            </w:r>
          </w:p>
        </w:tc>
        <w:tc>
          <w:tcPr>
            <w:tcW w:w="2722" w:type="dxa"/>
            <w:vAlign w:val="center"/>
          </w:tcPr>
          <w:p>
            <w:pPr>
              <w:widowControl w:val="0"/>
              <w:wordWrap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吉发改﹝2022﹞209号</w:t>
            </w:r>
          </w:p>
        </w:tc>
        <w:tc>
          <w:tcPr>
            <w:tcW w:w="2231" w:type="dxa"/>
            <w:vAlign w:val="center"/>
          </w:tcPr>
          <w:p>
            <w:pPr>
              <w:widowControl w:val="0"/>
              <w:wordWrap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2022年11月16日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 w:hRule="atLeast"/>
          <w:jc w:val="center"/>
        </w:trPr>
        <w:tc>
          <w:tcPr>
            <w:tcW w:w="738" w:type="dxa"/>
            <w:vMerge w:val="continue"/>
            <w:vAlign w:val="center"/>
          </w:tcPr>
          <w:p>
            <w:pPr>
              <w:widowControl w:val="0"/>
              <w:snapToGrid/>
              <w:spacing w:line="240" w:lineRule="auto"/>
              <w:jc w:val="center"/>
              <w:textAlignment w:val="center"/>
              <w:rPr>
                <w:rFonts w:hint="eastAsia" w:ascii="仿宋" w:hAnsi="仿宋" w:eastAsia="仿宋" w:cs="仿宋"/>
                <w:sz w:val="20"/>
                <w:szCs w:val="20"/>
              </w:rPr>
            </w:pPr>
          </w:p>
        </w:tc>
        <w:tc>
          <w:tcPr>
            <w:tcW w:w="2607" w:type="dxa"/>
            <w:vMerge w:val="continue"/>
            <w:vAlign w:val="center"/>
          </w:tcPr>
          <w:p>
            <w:pPr>
              <w:widowControl w:val="0"/>
              <w:snapToGrid/>
              <w:spacing w:line="240" w:lineRule="auto"/>
              <w:jc w:val="center"/>
              <w:textAlignment w:val="center"/>
              <w:rPr>
                <w:rFonts w:hint="eastAsia" w:ascii="仿宋" w:hAnsi="仿宋" w:eastAsia="仿宋" w:cs="仿宋"/>
                <w:sz w:val="20"/>
                <w:szCs w:val="20"/>
              </w:rPr>
            </w:pPr>
          </w:p>
        </w:tc>
        <w:tc>
          <w:tcPr>
            <w:tcW w:w="1959"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初步设计及概算的批复</w:t>
            </w:r>
          </w:p>
        </w:tc>
        <w:tc>
          <w:tcPr>
            <w:tcW w:w="2722"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吉发改﹝2023﹞20号</w:t>
            </w:r>
          </w:p>
        </w:tc>
        <w:tc>
          <w:tcPr>
            <w:tcW w:w="2231"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2023年2月10日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 w:hRule="atLeast"/>
          <w:jc w:val="center"/>
        </w:trPr>
        <w:tc>
          <w:tcPr>
            <w:tcW w:w="738" w:type="dxa"/>
            <w:vMerge w:val="continue"/>
            <w:vAlign w:val="center"/>
          </w:tcPr>
          <w:p>
            <w:pPr>
              <w:widowControl w:val="0"/>
              <w:snapToGrid/>
              <w:spacing w:line="240" w:lineRule="auto"/>
              <w:jc w:val="center"/>
              <w:textAlignment w:val="center"/>
              <w:rPr>
                <w:rFonts w:hint="eastAsia" w:ascii="仿宋" w:hAnsi="仿宋" w:eastAsia="仿宋" w:cs="仿宋"/>
                <w:sz w:val="20"/>
                <w:szCs w:val="20"/>
              </w:rPr>
            </w:pPr>
          </w:p>
        </w:tc>
        <w:tc>
          <w:tcPr>
            <w:tcW w:w="2607" w:type="dxa"/>
            <w:vMerge w:val="continue"/>
            <w:vAlign w:val="center"/>
          </w:tcPr>
          <w:p>
            <w:pPr>
              <w:widowControl w:val="0"/>
              <w:snapToGrid/>
              <w:spacing w:line="240" w:lineRule="auto"/>
              <w:jc w:val="center"/>
              <w:textAlignment w:val="center"/>
              <w:rPr>
                <w:rFonts w:hint="eastAsia" w:ascii="仿宋" w:hAnsi="仿宋" w:eastAsia="仿宋" w:cs="仿宋"/>
                <w:sz w:val="20"/>
                <w:szCs w:val="20"/>
              </w:rPr>
            </w:pPr>
          </w:p>
        </w:tc>
        <w:tc>
          <w:tcPr>
            <w:tcW w:w="1959"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预算审核结论书</w:t>
            </w:r>
          </w:p>
        </w:tc>
        <w:tc>
          <w:tcPr>
            <w:tcW w:w="2722"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吉财评(2023)34 号</w:t>
            </w:r>
          </w:p>
        </w:tc>
        <w:tc>
          <w:tcPr>
            <w:tcW w:w="2231" w:type="dxa"/>
            <w:vAlign w:val="center"/>
          </w:tcPr>
          <w:p>
            <w:pPr>
              <w:widowControl w:val="0"/>
              <w:snapToGrid/>
              <w:spacing w:line="240" w:lineRule="auto"/>
              <w:jc w:val="center"/>
              <w:textAlignment w:val="center"/>
              <w:rPr>
                <w:rFonts w:hint="eastAsia" w:ascii="仿宋" w:hAnsi="仿宋" w:eastAsia="仿宋" w:cs="仿宋"/>
                <w:sz w:val="20"/>
                <w:szCs w:val="20"/>
              </w:rPr>
            </w:pPr>
            <w:r>
              <w:rPr>
                <w:rFonts w:hint="eastAsia" w:ascii="仿宋" w:hAnsi="仿宋" w:eastAsia="仿宋" w:cs="仿宋"/>
                <w:sz w:val="20"/>
                <w:szCs w:val="20"/>
              </w:rPr>
              <w:t>2023年6月29日</w:t>
            </w:r>
          </w:p>
        </w:tc>
      </w:tr>
    </w:tbl>
    <w:p>
      <w:pPr>
        <w:spacing w:before="120" w:after="120"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项目尚需办理环境影响报告书批复、开工备案及施工许可证后方可开工建设。本项目相关单位尚未取得项目用地土地使用权的相关权属文件。</w:t>
      </w:r>
    </w:p>
    <w:p>
      <w:pPr>
        <w:spacing w:before="120" w:after="120" w:line="360" w:lineRule="auto"/>
        <w:ind w:firstLine="560" w:firstLineChars="200"/>
        <w:jc w:val="both"/>
        <w:rPr>
          <w:rFonts w:hint="eastAsia" w:ascii="仿宋" w:hAnsi="仿宋" w:eastAsia="仿宋" w:cs="仿宋"/>
          <w:sz w:val="28"/>
          <w:szCs w:val="28"/>
        </w:rPr>
      </w:pPr>
      <w:bookmarkStart w:id="21" w:name="_Toc523758994"/>
      <w:bookmarkEnd w:id="21"/>
      <w:bookmarkStart w:id="22" w:name="_Toc21547469"/>
      <w:bookmarkEnd w:id="22"/>
      <w:r>
        <w:rPr>
          <w:rFonts w:hint="eastAsia" w:ascii="仿宋" w:hAnsi="仿宋" w:eastAsia="仿宋" w:cs="仿宋"/>
          <w:sz w:val="28"/>
          <w:szCs w:val="28"/>
        </w:rPr>
        <w:t>综上，</w:t>
      </w:r>
      <w:bookmarkStart w:id="23" w:name="_Hlk39794706"/>
      <w:r>
        <w:rPr>
          <w:rFonts w:hint="eastAsia" w:ascii="仿宋" w:hAnsi="仿宋" w:eastAsia="仿宋" w:cs="仿宋"/>
          <w:sz w:val="28"/>
          <w:szCs w:val="28"/>
        </w:rPr>
        <w:t>本项目均依法履行了立项</w:t>
      </w:r>
      <w:r>
        <w:rPr>
          <w:rFonts w:hint="eastAsia" w:ascii="仿宋" w:hAnsi="仿宋" w:eastAsia="仿宋" w:cs="仿宋"/>
          <w:sz w:val="28"/>
          <w:szCs w:val="28"/>
          <w:lang w:eastAsia="zh-Hans"/>
        </w:rPr>
        <w:t>等</w:t>
      </w:r>
      <w:r>
        <w:rPr>
          <w:rFonts w:hint="eastAsia" w:ascii="仿宋" w:hAnsi="仿宋" w:eastAsia="仿宋" w:cs="仿宋"/>
          <w:sz w:val="28"/>
          <w:szCs w:val="28"/>
        </w:rPr>
        <w:t>审批手续，取得项目立项、可研、初步设计及概算批复等项目建设前的必要手续</w:t>
      </w:r>
      <w:bookmarkEnd w:id="23"/>
      <w:r>
        <w:rPr>
          <w:rFonts w:hint="eastAsia" w:ascii="仿宋" w:hAnsi="仿宋" w:eastAsia="仿宋" w:cs="仿宋"/>
          <w:sz w:val="28"/>
          <w:szCs w:val="28"/>
        </w:rPr>
        <w:t>。</w:t>
      </w: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bookmarkStart w:id="24" w:name="_Toc98020597"/>
      <w:r>
        <w:rPr>
          <w:rFonts w:hint="eastAsia" w:ascii="仿宋" w:hAnsi="仿宋" w:eastAsia="仿宋" w:cs="仿宋"/>
          <w:b/>
          <w:bCs/>
          <w:color w:val="000000" w:themeColor="text1"/>
          <w:sz w:val="28"/>
          <w:szCs w:val="28"/>
          <w14:textFill>
            <w14:solidFill>
              <w14:schemeClr w14:val="tx1"/>
            </w14:solidFill>
          </w14:textFill>
        </w:rPr>
        <w:t>四、</w:t>
      </w:r>
      <w:bookmarkEnd w:id="24"/>
      <w:r>
        <w:rPr>
          <w:rFonts w:hint="eastAsia" w:ascii="仿宋" w:hAnsi="仿宋" w:eastAsia="仿宋" w:cs="仿宋"/>
          <w:b/>
          <w:bCs/>
          <w:color w:val="000000" w:themeColor="text1"/>
          <w:sz w:val="28"/>
          <w:szCs w:val="28"/>
          <w14:textFill>
            <w14:solidFill>
              <w14:schemeClr w14:val="tx1"/>
            </w14:solidFill>
          </w14:textFill>
        </w:rPr>
        <w:t>项目预测收益与融资平衡情况</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bookmarkStart w:id="25" w:name="_Toc98020598"/>
      <w:r>
        <w:rPr>
          <w:rFonts w:hint="eastAsia" w:ascii="仿宋" w:hAnsi="仿宋" w:eastAsia="仿宋" w:cs="仿宋"/>
          <w:b/>
          <w:bCs/>
          <w:color w:val="000000" w:themeColor="text1"/>
          <w:sz w:val="28"/>
          <w:szCs w:val="28"/>
          <w:lang w:val="en-GB"/>
          <w14:textFill>
            <w14:solidFill>
              <w14:schemeClr w14:val="tx1"/>
            </w14:solidFill>
          </w14:textFill>
        </w:rPr>
        <w:t>（一）资金充足性</w:t>
      </w:r>
      <w:bookmarkEnd w:id="25"/>
    </w:p>
    <w:p>
      <w:pPr>
        <w:widowControl w:val="0"/>
        <w:numPr>
          <w:ilvl w:val="0"/>
          <w:numId w:val="1"/>
        </w:numPr>
        <w:spacing w:after="160" w:line="360" w:lineRule="auto"/>
        <w:rPr>
          <w:rFonts w:hint="eastAsia" w:ascii="仿宋" w:hAnsi="仿宋" w:eastAsia="仿宋" w:cs="仿宋"/>
          <w:b/>
          <w:color w:val="000000"/>
          <w:sz w:val="28"/>
          <w:szCs w:val="28"/>
        </w:rPr>
      </w:pPr>
      <w:r>
        <w:rPr>
          <w:rFonts w:hint="eastAsia" w:ascii="仿宋" w:hAnsi="仿宋" w:eastAsia="仿宋" w:cs="仿宋"/>
          <w:b/>
          <w:color w:val="000000"/>
          <w:sz w:val="28"/>
          <w:szCs w:val="28"/>
        </w:rPr>
        <w:t>投资估算</w:t>
      </w:r>
    </w:p>
    <w:p>
      <w:pPr>
        <w:numPr>
          <w:ilvl w:val="0"/>
          <w:numId w:val="1"/>
        </w:numPr>
        <w:spacing w:before="120" w:after="120" w:line="360" w:lineRule="auto"/>
        <w:ind w:left="1280" w:firstLine="560" w:firstLineChars="200"/>
        <w:jc w:val="both"/>
        <w:rPr>
          <w:rFonts w:hint="eastAsia" w:ascii="仿宋" w:hAnsi="仿宋" w:eastAsia="仿宋" w:cs="仿宋"/>
          <w:sz w:val="28"/>
          <w:szCs w:val="28"/>
        </w:rPr>
      </w:pPr>
      <w:r>
        <w:rPr>
          <w:rFonts w:hint="eastAsia" w:ascii="仿宋" w:hAnsi="仿宋" w:eastAsia="仿宋" w:cs="仿宋"/>
          <w:sz w:val="28"/>
          <w:szCs w:val="28"/>
        </w:rPr>
        <w:t>结合建设资金需求，为保障项目建设期间资金需求，本项目需要通过发行专项债券筹集资金共计500.00万元，其中，吉阳区新村社区饮水巩固提升工程调增债券资金500.00万元，调入存量债券资金为2023年三亚市人民政府蓝色债券利用三亚崖州湾科技城全球生物谷（三亚）污水处理及再生水管道工程结余未使用的资金500.00万元。债券本息和567.50万元，全周期项目累计可偿债收益为684.00万元。根据项目收益与融资平衡分析结果显示，债券存续期内还本付息资金充足，综合本息覆盖率可达到1.21，本息覆盖倍数可达到1.21倍；详见表2：</w:t>
      </w:r>
    </w:p>
    <w:p>
      <w:pPr>
        <w:spacing w:after="160" w:line="259" w:lineRule="auto"/>
        <w:rPr>
          <w:rFonts w:ascii="楷体" w:hAnsi="楷体" w:eastAsia="楷体" w:cs="楷体"/>
          <w:b/>
          <w:color w:val="000000"/>
        </w:rPr>
      </w:pPr>
      <w:r>
        <w:rPr>
          <w:rFonts w:hint="eastAsia" w:ascii="楷体" w:hAnsi="楷体" w:eastAsia="楷体" w:cs="楷体"/>
          <w:b/>
          <w:color w:val="000000"/>
        </w:rPr>
        <w:br w:type="page"/>
      </w:r>
    </w:p>
    <w:p>
      <w:pPr>
        <w:spacing w:after="160" w:line="256" w:lineRule="auto"/>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表2项目本息覆盖率</w:t>
      </w:r>
    </w:p>
    <w:p>
      <w:pPr>
        <w:spacing w:before="0" w:after="0" w:line="240" w:lineRule="auto"/>
        <w:ind w:right="-857" w:rightChars="-357" w:firstLine="0" w:firstLineChars="0"/>
        <w:jc w:val="center"/>
        <w:rPr>
          <w:rFonts w:hint="eastAsia" w:ascii="仿宋" w:hAnsi="仿宋" w:eastAsia="仿宋" w:cs="仿宋"/>
          <w:sz w:val="28"/>
          <w:szCs w:val="28"/>
        </w:rPr>
      </w:pPr>
      <w:r>
        <w:rPr>
          <w:rFonts w:hint="eastAsia" w:ascii="仿宋" w:hAnsi="仿宋" w:eastAsia="仿宋" w:cs="仿宋"/>
          <w:color w:val="000000"/>
          <w:sz w:val="20"/>
          <w:szCs w:val="20"/>
          <w:lang w:val="en-US" w:eastAsia="zh-CN"/>
        </w:rPr>
        <w:t xml:space="preserve">                                                                        </w:t>
      </w:r>
      <w:r>
        <w:rPr>
          <w:rFonts w:hint="eastAsia" w:ascii="仿宋" w:hAnsi="仿宋" w:eastAsia="仿宋" w:cs="仿宋"/>
          <w:color w:val="000000"/>
          <w:sz w:val="20"/>
          <w:szCs w:val="20"/>
        </w:rPr>
        <w:t>单位：人民币万元</w:t>
      </w:r>
    </w:p>
    <w:tbl>
      <w:tblPr>
        <w:tblStyle w:val="8"/>
        <w:tblW w:w="101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126"/>
        <w:gridCol w:w="1419"/>
        <w:gridCol w:w="1274"/>
        <w:gridCol w:w="993"/>
        <w:gridCol w:w="992"/>
        <w:gridCol w:w="1276"/>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blHeader/>
          <w:jc w:val="center"/>
        </w:trPr>
        <w:tc>
          <w:tcPr>
            <w:tcW w:w="650" w:type="dxa"/>
            <w:vMerge w:val="restart"/>
            <w:shd w:val="clear" w:color="auto" w:fill="auto"/>
            <w:noWrap/>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序号</w:t>
            </w:r>
          </w:p>
        </w:tc>
        <w:tc>
          <w:tcPr>
            <w:tcW w:w="2126" w:type="dxa"/>
            <w:vMerge w:val="restart"/>
            <w:shd w:val="clear" w:color="auto" w:fill="auto"/>
            <w:noWrap/>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项目名称</w:t>
            </w:r>
          </w:p>
        </w:tc>
        <w:tc>
          <w:tcPr>
            <w:tcW w:w="1419" w:type="dxa"/>
            <w:vMerge w:val="restart"/>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项目静态总投资</w:t>
            </w:r>
          </w:p>
        </w:tc>
        <w:tc>
          <w:tcPr>
            <w:tcW w:w="1274" w:type="dxa"/>
            <w:vMerge w:val="restart"/>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用于资金平衡的项目收益</w:t>
            </w:r>
          </w:p>
        </w:tc>
        <w:tc>
          <w:tcPr>
            <w:tcW w:w="1985" w:type="dxa"/>
            <w:gridSpan w:val="2"/>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发行额度</w:t>
            </w:r>
          </w:p>
        </w:tc>
        <w:tc>
          <w:tcPr>
            <w:tcW w:w="1276" w:type="dxa"/>
            <w:vMerge w:val="restart"/>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预计本息和</w:t>
            </w:r>
          </w:p>
        </w:tc>
        <w:tc>
          <w:tcPr>
            <w:tcW w:w="708" w:type="dxa"/>
            <w:vMerge w:val="restart"/>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本息覆盖率</w:t>
            </w:r>
            <w:r>
              <w:rPr>
                <w:rFonts w:hint="eastAsia" w:ascii="仿宋" w:hAnsi="仿宋" w:eastAsia="仿宋" w:cs="仿宋"/>
                <w:b/>
                <w:bCs/>
                <w:color w:val="auto"/>
                <w:sz w:val="16"/>
                <w:szCs w:val="16"/>
                <w:vertAlign w:val="baseline"/>
              </w:rPr>
              <w:footnoteReference w:id="0"/>
            </w:r>
          </w:p>
        </w:tc>
        <w:tc>
          <w:tcPr>
            <w:tcW w:w="709" w:type="dxa"/>
            <w:vMerge w:val="restart"/>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本息覆盖倍数</w:t>
            </w:r>
            <w:r>
              <w:rPr>
                <w:rFonts w:hint="eastAsia" w:ascii="仿宋" w:hAnsi="仿宋" w:eastAsia="仿宋" w:cs="仿宋"/>
                <w:b/>
                <w:bCs/>
                <w:color w:val="auto"/>
                <w:sz w:val="18"/>
                <w:szCs w:val="18"/>
                <w:vertAlign w:val="baseline"/>
              </w:rPr>
              <w:footnote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blHeader/>
          <w:jc w:val="center"/>
        </w:trPr>
        <w:tc>
          <w:tcPr>
            <w:tcW w:w="650" w:type="dxa"/>
            <w:vMerge w:val="continue"/>
            <w:shd w:val="clear" w:color="000000" w:fill="0070C0"/>
            <w:noWrap/>
            <w:vAlign w:val="center"/>
          </w:tcPr>
          <w:p>
            <w:pPr>
              <w:jc w:val="center"/>
              <w:rPr>
                <w:rFonts w:hint="eastAsia" w:ascii="仿宋" w:hAnsi="仿宋" w:eastAsia="仿宋" w:cs="仿宋"/>
                <w:b/>
                <w:bCs/>
                <w:sz w:val="18"/>
                <w:szCs w:val="18"/>
              </w:rPr>
            </w:pPr>
          </w:p>
        </w:tc>
        <w:tc>
          <w:tcPr>
            <w:tcW w:w="2126" w:type="dxa"/>
            <w:vMerge w:val="continue"/>
            <w:shd w:val="clear" w:color="000000" w:fill="0070C0"/>
            <w:noWrap/>
            <w:vAlign w:val="center"/>
          </w:tcPr>
          <w:p>
            <w:pPr>
              <w:jc w:val="center"/>
              <w:rPr>
                <w:rFonts w:hint="eastAsia" w:ascii="仿宋" w:hAnsi="仿宋" w:eastAsia="仿宋" w:cs="仿宋"/>
                <w:b/>
                <w:bCs/>
                <w:sz w:val="18"/>
                <w:szCs w:val="18"/>
              </w:rPr>
            </w:pPr>
          </w:p>
        </w:tc>
        <w:tc>
          <w:tcPr>
            <w:tcW w:w="1419" w:type="dxa"/>
            <w:vMerge w:val="continue"/>
            <w:shd w:val="clear" w:color="000000" w:fill="0070C0"/>
            <w:vAlign w:val="center"/>
          </w:tcPr>
          <w:p>
            <w:pPr>
              <w:jc w:val="center"/>
              <w:rPr>
                <w:rFonts w:hint="eastAsia" w:ascii="仿宋" w:hAnsi="仿宋" w:eastAsia="仿宋" w:cs="仿宋"/>
                <w:b/>
                <w:bCs/>
                <w:sz w:val="18"/>
                <w:szCs w:val="18"/>
              </w:rPr>
            </w:pPr>
          </w:p>
        </w:tc>
        <w:tc>
          <w:tcPr>
            <w:tcW w:w="1274" w:type="dxa"/>
            <w:vMerge w:val="continue"/>
            <w:shd w:val="clear" w:color="000000" w:fill="0070C0"/>
            <w:vAlign w:val="center"/>
          </w:tcPr>
          <w:p>
            <w:pPr>
              <w:jc w:val="center"/>
              <w:rPr>
                <w:rFonts w:hint="eastAsia" w:ascii="仿宋" w:hAnsi="仿宋" w:eastAsia="仿宋" w:cs="仿宋"/>
                <w:b/>
                <w:bCs/>
                <w:sz w:val="18"/>
                <w:szCs w:val="18"/>
              </w:rPr>
            </w:pPr>
          </w:p>
        </w:tc>
        <w:tc>
          <w:tcPr>
            <w:tcW w:w="993" w:type="dxa"/>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已发行额</w:t>
            </w:r>
          </w:p>
        </w:tc>
        <w:tc>
          <w:tcPr>
            <w:tcW w:w="992" w:type="dxa"/>
            <w:shd w:val="clear" w:color="auto" w:fill="auto"/>
            <w:vAlign w:val="center"/>
          </w:tcPr>
          <w:p>
            <w:pPr>
              <w:jc w:val="center"/>
              <w:rPr>
                <w:rFonts w:hint="eastAsia" w:ascii="仿宋" w:hAnsi="仿宋" w:eastAsia="仿宋" w:cs="仿宋"/>
                <w:b/>
                <w:bCs/>
                <w:color w:val="auto"/>
                <w:sz w:val="18"/>
                <w:szCs w:val="18"/>
              </w:rPr>
            </w:pPr>
            <w:r>
              <w:rPr>
                <w:rFonts w:hint="eastAsia" w:ascii="仿宋" w:hAnsi="仿宋" w:eastAsia="仿宋" w:cs="仿宋"/>
                <w:b/>
                <w:bCs/>
                <w:color w:val="auto"/>
                <w:sz w:val="18"/>
                <w:szCs w:val="18"/>
              </w:rPr>
              <w:t>本期调增额</w:t>
            </w:r>
          </w:p>
        </w:tc>
        <w:tc>
          <w:tcPr>
            <w:tcW w:w="1276" w:type="dxa"/>
            <w:vMerge w:val="continue"/>
            <w:shd w:val="clear" w:color="000000" w:fill="0070C0"/>
            <w:vAlign w:val="center"/>
          </w:tcPr>
          <w:p>
            <w:pPr>
              <w:jc w:val="center"/>
              <w:rPr>
                <w:rFonts w:hint="eastAsia" w:ascii="仿宋" w:hAnsi="仿宋" w:eastAsia="仿宋" w:cs="仿宋"/>
                <w:b/>
                <w:bCs/>
                <w:sz w:val="18"/>
                <w:szCs w:val="18"/>
              </w:rPr>
            </w:pPr>
          </w:p>
        </w:tc>
        <w:tc>
          <w:tcPr>
            <w:tcW w:w="708" w:type="dxa"/>
            <w:vMerge w:val="continue"/>
            <w:shd w:val="clear" w:color="000000" w:fill="0070C0"/>
            <w:vAlign w:val="center"/>
          </w:tcPr>
          <w:p>
            <w:pPr>
              <w:jc w:val="center"/>
              <w:rPr>
                <w:rFonts w:hint="eastAsia" w:ascii="仿宋" w:hAnsi="仿宋" w:eastAsia="仿宋" w:cs="仿宋"/>
                <w:b/>
                <w:bCs/>
                <w:sz w:val="18"/>
                <w:szCs w:val="18"/>
              </w:rPr>
            </w:pPr>
          </w:p>
        </w:tc>
        <w:tc>
          <w:tcPr>
            <w:tcW w:w="709" w:type="dxa"/>
            <w:vMerge w:val="continue"/>
            <w:shd w:val="clear" w:color="000000" w:fill="0070C0"/>
            <w:vAlign w:val="center"/>
          </w:tcPr>
          <w:p>
            <w:pPr>
              <w:jc w:val="center"/>
              <w:rPr>
                <w:rFonts w:hint="eastAsia" w:ascii="仿宋" w:hAnsi="仿宋" w:eastAsia="仿宋" w:cs="仿宋"/>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650" w:type="dxa"/>
            <w:shd w:val="clear" w:color="auto" w:fill="auto"/>
            <w:noWrap/>
            <w:vAlign w:val="center"/>
          </w:tcPr>
          <w:p>
            <w:pPr>
              <w:jc w:val="center"/>
              <w:rPr>
                <w:rFonts w:hint="eastAsia" w:ascii="仿宋" w:hAnsi="仿宋" w:eastAsia="仿宋" w:cs="仿宋"/>
                <w:sz w:val="18"/>
                <w:szCs w:val="18"/>
              </w:rPr>
            </w:pPr>
            <w:r>
              <w:rPr>
                <w:rFonts w:hint="eastAsia" w:ascii="仿宋" w:hAnsi="仿宋" w:eastAsia="仿宋" w:cs="仿宋"/>
                <w:b/>
                <w:bCs/>
                <w:sz w:val="18"/>
                <w:szCs w:val="18"/>
              </w:rPr>
              <w:t>1</w:t>
            </w:r>
          </w:p>
        </w:tc>
        <w:tc>
          <w:tcPr>
            <w:tcW w:w="2126" w:type="dxa"/>
            <w:shd w:val="clear" w:color="auto" w:fill="auto"/>
            <w:noWrap/>
            <w:vAlign w:val="center"/>
          </w:tcPr>
          <w:p>
            <w:pPr>
              <w:rPr>
                <w:rFonts w:hint="eastAsia" w:ascii="仿宋" w:hAnsi="仿宋" w:eastAsia="仿宋" w:cs="仿宋"/>
                <w:sz w:val="18"/>
                <w:szCs w:val="18"/>
              </w:rPr>
            </w:pPr>
            <w:r>
              <w:rPr>
                <w:rFonts w:hint="eastAsia" w:ascii="仿宋" w:hAnsi="仿宋" w:eastAsia="仿宋" w:cs="仿宋"/>
                <w:sz w:val="18"/>
                <w:szCs w:val="18"/>
              </w:rPr>
              <w:t>吉阳区新村社区饮水巩固提升工程</w:t>
            </w:r>
          </w:p>
        </w:tc>
        <w:tc>
          <w:tcPr>
            <w:tcW w:w="1419" w:type="dxa"/>
            <w:shd w:val="clear" w:color="auto" w:fill="auto"/>
            <w:vAlign w:val="center"/>
          </w:tcPr>
          <w:p>
            <w:pPr>
              <w:jc w:val="center"/>
              <w:rPr>
                <w:rFonts w:hint="eastAsia" w:ascii="仿宋" w:hAnsi="仿宋" w:eastAsia="仿宋" w:cs="仿宋"/>
                <w:sz w:val="18"/>
                <w:szCs w:val="18"/>
              </w:rPr>
            </w:pPr>
            <w:r>
              <w:rPr>
                <w:rFonts w:hint="eastAsia" w:ascii="仿宋" w:hAnsi="仿宋" w:eastAsia="仿宋" w:cs="仿宋"/>
                <w:sz w:val="18"/>
                <w:szCs w:val="18"/>
              </w:rPr>
              <w:t>838.99</w:t>
            </w:r>
          </w:p>
        </w:tc>
        <w:tc>
          <w:tcPr>
            <w:tcW w:w="1274"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684.00</w:t>
            </w:r>
          </w:p>
        </w:tc>
        <w:tc>
          <w:tcPr>
            <w:tcW w:w="993"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w:t>
            </w:r>
          </w:p>
        </w:tc>
        <w:tc>
          <w:tcPr>
            <w:tcW w:w="992" w:type="dxa"/>
            <w:shd w:val="clear" w:color="auto" w:fill="auto"/>
            <w:vAlign w:val="center"/>
          </w:tcPr>
          <w:p>
            <w:pPr>
              <w:jc w:val="center"/>
              <w:rPr>
                <w:rFonts w:hint="eastAsia" w:ascii="仿宋" w:hAnsi="仿宋" w:eastAsia="仿宋" w:cs="仿宋"/>
                <w:sz w:val="18"/>
                <w:szCs w:val="18"/>
              </w:rPr>
            </w:pPr>
            <w:r>
              <w:rPr>
                <w:rFonts w:hint="eastAsia" w:ascii="仿宋" w:hAnsi="仿宋" w:eastAsia="仿宋" w:cs="仿宋"/>
                <w:sz w:val="18"/>
                <w:szCs w:val="18"/>
              </w:rPr>
              <w:t>500.00</w:t>
            </w:r>
          </w:p>
        </w:tc>
        <w:tc>
          <w:tcPr>
            <w:tcW w:w="1276"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567.50</w:t>
            </w:r>
          </w:p>
        </w:tc>
        <w:tc>
          <w:tcPr>
            <w:tcW w:w="708"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1.21</w:t>
            </w:r>
          </w:p>
        </w:tc>
        <w:tc>
          <w:tcPr>
            <w:tcW w:w="709" w:type="dxa"/>
            <w:vAlign w:val="center"/>
          </w:tcPr>
          <w:p>
            <w:pPr>
              <w:jc w:val="center"/>
              <w:rPr>
                <w:rFonts w:hint="eastAsia" w:ascii="仿宋" w:hAnsi="仿宋" w:eastAsia="仿宋" w:cs="仿宋"/>
                <w:sz w:val="18"/>
                <w:szCs w:val="18"/>
              </w:rPr>
            </w:pPr>
            <w:r>
              <w:rPr>
                <w:rFonts w:hint="eastAsia" w:ascii="仿宋" w:hAnsi="仿宋" w:eastAsia="仿宋" w:cs="仿宋"/>
                <w:sz w:val="18"/>
                <w:szCs w:val="18"/>
              </w:rPr>
              <w:t>1.21</w:t>
            </w:r>
          </w:p>
        </w:tc>
      </w:tr>
    </w:tbl>
    <w:p>
      <w:pPr>
        <w:pStyle w:val="2"/>
        <w:spacing w:before="120" w:after="120" w:line="360" w:lineRule="auto"/>
        <w:ind w:firstLine="560" w:firstLineChars="200"/>
        <w:jc w:val="both"/>
        <w:rPr>
          <w:rFonts w:hint="eastAsia" w:ascii="仿宋" w:hAnsi="仿宋" w:eastAsia="仿宋" w:cs="仿宋"/>
          <w:sz w:val="28"/>
          <w:szCs w:val="28"/>
          <w:lang w:val="en-US"/>
        </w:rPr>
      </w:pPr>
    </w:p>
    <w:p>
      <w:pPr>
        <w:spacing w:before="120" w:after="120" w:line="360" w:lineRule="auto"/>
        <w:ind w:firstLine="560" w:firstLineChars="200"/>
        <w:jc w:val="both"/>
        <w:rPr>
          <w:rFonts w:hint="eastAsia" w:ascii="仿宋" w:hAnsi="仿宋" w:eastAsia="仿宋" w:cs="仿宋"/>
          <w:sz w:val="28"/>
          <w:szCs w:val="28"/>
        </w:rPr>
      </w:pPr>
      <w:r>
        <w:rPr>
          <w:rFonts w:hint="eastAsia" w:ascii="仿宋" w:hAnsi="仿宋" w:eastAsia="仿宋" w:cs="仿宋"/>
          <w:sz w:val="28"/>
          <w:szCs w:val="28"/>
        </w:rPr>
        <w:t>2023年本期调增专项债券500.00万元，本次5年期债券利率为2.70%，发行费率暂取0.10%。据此估算本项目总投资为</w:t>
      </w:r>
      <w:r>
        <w:rPr>
          <w:rFonts w:hint="eastAsia" w:ascii="仿宋" w:hAnsi="仿宋" w:eastAsia="仿宋" w:cs="仿宋"/>
          <w:color w:val="auto"/>
          <w:sz w:val="28"/>
          <w:szCs w:val="28"/>
        </w:rPr>
        <w:t>839.49</w:t>
      </w:r>
      <w:r>
        <w:rPr>
          <w:rFonts w:hint="eastAsia" w:ascii="仿宋" w:hAnsi="仿宋" w:eastAsia="仿宋" w:cs="仿宋"/>
          <w:sz w:val="28"/>
          <w:szCs w:val="28"/>
        </w:rPr>
        <w:t>万元，详见表3：</w:t>
      </w:r>
    </w:p>
    <w:p>
      <w:pPr>
        <w:spacing w:line="259" w:lineRule="auto"/>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表3项目总投资估算表</w:t>
      </w:r>
    </w:p>
    <w:p>
      <w:pPr>
        <w:ind w:right="-7"/>
        <w:jc w:val="right"/>
        <w:rPr>
          <w:rFonts w:hint="eastAsia" w:ascii="仿宋" w:hAnsi="仿宋" w:eastAsia="仿宋" w:cs="仿宋"/>
          <w:color w:val="000000"/>
          <w:sz w:val="20"/>
          <w:szCs w:val="20"/>
        </w:rPr>
      </w:pPr>
      <w:r>
        <w:rPr>
          <w:rFonts w:hint="eastAsia" w:ascii="仿宋" w:hAnsi="仿宋" w:eastAsia="仿宋" w:cs="仿宋"/>
          <w:color w:val="000000"/>
          <w:sz w:val="20"/>
          <w:szCs w:val="20"/>
        </w:rPr>
        <w:t>单位：人民币万元</w:t>
      </w:r>
    </w:p>
    <w:tbl>
      <w:tblPr>
        <w:tblStyle w:val="8"/>
        <w:tblW w:w="8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3113"/>
        <w:gridCol w:w="3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序号</w:t>
            </w:r>
          </w:p>
        </w:tc>
        <w:tc>
          <w:tcPr>
            <w:tcW w:w="3113" w:type="dxa"/>
            <w:shd w:val="clear" w:color="auto" w:fill="auto"/>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项目名称</w:t>
            </w:r>
          </w:p>
        </w:tc>
        <w:tc>
          <w:tcPr>
            <w:tcW w:w="3952" w:type="dxa"/>
            <w:shd w:val="clear" w:color="auto" w:fill="auto"/>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hint="eastAsia" w:ascii="仿宋" w:hAnsi="仿宋" w:eastAsia="仿宋" w:cs="仿宋"/>
                <w:sz w:val="20"/>
                <w:szCs w:val="20"/>
              </w:rPr>
            </w:pPr>
            <w:r>
              <w:rPr>
                <w:rFonts w:hint="eastAsia" w:ascii="仿宋" w:hAnsi="仿宋" w:eastAsia="仿宋" w:cs="仿宋"/>
                <w:sz w:val="20"/>
                <w:szCs w:val="20"/>
              </w:rPr>
              <w:t>1</w:t>
            </w:r>
          </w:p>
        </w:tc>
        <w:tc>
          <w:tcPr>
            <w:tcW w:w="3113" w:type="dxa"/>
            <w:shd w:val="clear" w:color="auto" w:fill="auto"/>
          </w:tcPr>
          <w:p>
            <w:pPr>
              <w:jc w:val="both"/>
              <w:rPr>
                <w:rFonts w:hint="eastAsia" w:ascii="仿宋" w:hAnsi="仿宋" w:eastAsia="仿宋" w:cs="仿宋"/>
                <w:sz w:val="20"/>
                <w:szCs w:val="20"/>
              </w:rPr>
            </w:pPr>
            <w:r>
              <w:rPr>
                <w:rFonts w:hint="eastAsia" w:ascii="仿宋" w:hAnsi="仿宋" w:eastAsia="仿宋" w:cs="仿宋"/>
                <w:sz w:val="20"/>
                <w:szCs w:val="20"/>
              </w:rPr>
              <w:t>建设投资</w:t>
            </w:r>
          </w:p>
        </w:tc>
        <w:tc>
          <w:tcPr>
            <w:tcW w:w="3952" w:type="dxa"/>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sz w:val="20"/>
                <w:szCs w:val="20"/>
              </w:rPr>
              <w:t>838.99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rPr>
                <w:rFonts w:hint="eastAsia" w:ascii="仿宋" w:hAnsi="仿宋" w:eastAsia="仿宋" w:cs="仿宋"/>
              </w:rPr>
            </w:pPr>
          </w:p>
        </w:tc>
        <w:tc>
          <w:tcPr>
            <w:tcW w:w="3113" w:type="dxa"/>
            <w:shd w:val="clear" w:color="auto" w:fill="auto"/>
          </w:tcPr>
          <w:p>
            <w:pPr>
              <w:rPr>
                <w:rFonts w:hint="eastAsia" w:ascii="仿宋" w:hAnsi="仿宋" w:eastAsia="仿宋" w:cs="仿宋"/>
              </w:rPr>
            </w:pPr>
          </w:p>
        </w:tc>
        <w:tc>
          <w:tcPr>
            <w:tcW w:w="3952" w:type="dxa"/>
            <w:shd w:val="clear" w:color="auto" w:fill="auto"/>
            <w:noWrap/>
            <w:vAlign w:val="center"/>
          </w:tcPr>
          <w:p>
            <w:pPr>
              <w:rPr>
                <w:rFonts w:hint="eastAsia" w:ascii="仿宋" w:hAnsi="仿宋" w:eastAsia="仿宋" w:cs="仿宋"/>
              </w:rPr>
            </w:pPr>
            <w:r>
              <w:rPr>
                <w:rFonts w:hint="eastAsia" w:ascii="仿宋" w:hAnsi="仿宋" w:eastAsia="仿宋" w:cs="仿宋"/>
                <w:sz w:val="20"/>
                <w:szCs w:val="20"/>
              </w:rPr>
              <w:t xml:space="preserve">0.50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hint="eastAsia" w:ascii="仿宋" w:hAnsi="仿宋" w:eastAsia="仿宋" w:cs="仿宋"/>
                <w:sz w:val="20"/>
                <w:szCs w:val="20"/>
              </w:rPr>
            </w:pPr>
            <w:r>
              <w:rPr>
                <w:rFonts w:hint="eastAsia" w:ascii="仿宋" w:hAnsi="仿宋" w:eastAsia="仿宋" w:cs="仿宋"/>
                <w:sz w:val="20"/>
                <w:szCs w:val="20"/>
              </w:rPr>
              <w:t>2</w:t>
            </w:r>
          </w:p>
        </w:tc>
        <w:tc>
          <w:tcPr>
            <w:tcW w:w="3113" w:type="dxa"/>
            <w:shd w:val="clear" w:color="auto" w:fill="auto"/>
          </w:tcPr>
          <w:p>
            <w:pPr>
              <w:jc w:val="both"/>
              <w:rPr>
                <w:rFonts w:hint="eastAsia" w:ascii="仿宋" w:hAnsi="仿宋" w:eastAsia="仿宋" w:cs="仿宋"/>
                <w:sz w:val="20"/>
                <w:szCs w:val="20"/>
              </w:rPr>
            </w:pPr>
            <w:r>
              <w:rPr>
                <w:rFonts w:hint="eastAsia" w:ascii="仿宋" w:hAnsi="仿宋" w:eastAsia="仿宋" w:cs="仿宋"/>
                <w:sz w:val="20"/>
                <w:szCs w:val="20"/>
              </w:rPr>
              <w:t>债券发行费用</w:t>
            </w:r>
          </w:p>
        </w:tc>
        <w:tc>
          <w:tcPr>
            <w:tcW w:w="3952" w:type="dxa"/>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sz w:val="20"/>
                <w:szCs w:val="20"/>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555" w:type="dxa"/>
            <w:shd w:val="clear" w:color="auto" w:fill="auto"/>
            <w:noWrap/>
            <w:vAlign w:val="center"/>
          </w:tcPr>
          <w:p>
            <w:pPr>
              <w:jc w:val="center"/>
              <w:rPr>
                <w:rFonts w:hint="eastAsia" w:ascii="仿宋" w:hAnsi="仿宋" w:eastAsia="仿宋" w:cs="仿宋"/>
                <w:sz w:val="20"/>
                <w:szCs w:val="20"/>
              </w:rPr>
            </w:pPr>
          </w:p>
        </w:tc>
        <w:tc>
          <w:tcPr>
            <w:tcW w:w="3113" w:type="dxa"/>
            <w:shd w:val="clear" w:color="auto" w:fill="auto"/>
          </w:tcPr>
          <w:p>
            <w:pPr>
              <w:jc w:val="both"/>
              <w:rPr>
                <w:rFonts w:hint="eastAsia" w:ascii="仿宋" w:hAnsi="仿宋" w:eastAsia="仿宋" w:cs="仿宋"/>
                <w:b/>
                <w:bCs/>
                <w:sz w:val="20"/>
                <w:szCs w:val="20"/>
              </w:rPr>
            </w:pPr>
            <w:r>
              <w:rPr>
                <w:rFonts w:hint="eastAsia" w:ascii="仿宋" w:hAnsi="仿宋" w:eastAsia="仿宋" w:cs="仿宋"/>
                <w:b/>
                <w:bCs/>
                <w:sz w:val="20"/>
                <w:szCs w:val="20"/>
              </w:rPr>
              <w:t>估算总额</w:t>
            </w:r>
          </w:p>
        </w:tc>
        <w:tc>
          <w:tcPr>
            <w:tcW w:w="3952" w:type="dxa"/>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838.99</w:t>
            </w:r>
          </w:p>
        </w:tc>
      </w:tr>
    </w:tbl>
    <w:p>
      <w:pPr>
        <w:ind w:right="-7"/>
        <w:jc w:val="right"/>
        <w:rPr>
          <w:rFonts w:hint="eastAsia" w:ascii="仿宋" w:hAnsi="仿宋" w:eastAsia="仿宋" w:cs="仿宋"/>
          <w:color w:val="000000"/>
          <w:sz w:val="20"/>
          <w:szCs w:val="20"/>
        </w:rPr>
      </w:pPr>
    </w:p>
    <w:p>
      <w:pPr>
        <w:widowControl w:val="0"/>
        <w:numPr>
          <w:ilvl w:val="0"/>
          <w:numId w:val="1"/>
        </w:numPr>
        <w:spacing w:after="160" w:line="360" w:lineRule="auto"/>
        <w:rPr>
          <w:rFonts w:hint="eastAsia" w:ascii="仿宋" w:hAnsi="仿宋" w:eastAsia="仿宋" w:cs="仿宋"/>
          <w:b/>
          <w:color w:val="000000"/>
          <w:sz w:val="28"/>
          <w:szCs w:val="28"/>
        </w:rPr>
      </w:pPr>
      <w:bookmarkStart w:id="26" w:name="_Toc98020600"/>
      <w:r>
        <w:rPr>
          <w:rFonts w:hint="eastAsia" w:ascii="仿宋" w:hAnsi="仿宋" w:eastAsia="仿宋" w:cs="仿宋"/>
          <w:b/>
          <w:color w:val="000000"/>
          <w:sz w:val="28"/>
          <w:szCs w:val="28"/>
        </w:rPr>
        <w:t>债券发行和还本付息</w:t>
      </w:r>
    </w:p>
    <w:bookmarkEnd w:id="26"/>
    <w:p>
      <w:pPr>
        <w:spacing w:before="120" w:after="120" w:line="360" w:lineRule="auto"/>
        <w:ind w:firstLine="510"/>
        <w:jc w:val="both"/>
        <w:rPr>
          <w:rFonts w:hint="eastAsia" w:ascii="仿宋" w:hAnsi="仿宋" w:eastAsia="仿宋" w:cs="仿宋"/>
          <w:b/>
        </w:rPr>
        <w:sectPr>
          <w:headerReference r:id="rId12" w:type="first"/>
          <w:headerReference r:id="rId10" w:type="default"/>
          <w:footerReference r:id="rId13" w:type="default"/>
          <w:headerReference r:id="rId11" w:type="even"/>
          <w:pgSz w:w="12240" w:h="15840"/>
          <w:pgMar w:top="1276" w:right="1800" w:bottom="1276" w:left="1800" w:header="708" w:footer="850" w:gutter="0"/>
          <w:cols w:space="708" w:num="1"/>
          <w:docGrid w:linePitch="360" w:charSpace="0"/>
        </w:sectPr>
      </w:pPr>
      <w:r>
        <w:rPr>
          <w:rFonts w:hint="eastAsia" w:ascii="仿宋" w:hAnsi="仿宋" w:eastAsia="仿宋" w:cs="仿宋"/>
          <w:color w:val="000000"/>
          <w:sz w:val="28"/>
          <w:szCs w:val="28"/>
        </w:rPr>
        <w:t>本项目境外发行5年期债券还本付息方式为每半年付息，到期一次性还本。本项目预计债券本息合计567.50万元。自发行之日起债券存续期还本付息情况如表4：</w:t>
      </w:r>
    </w:p>
    <w:p>
      <w:pPr>
        <w:spacing w:after="160" w:line="259" w:lineRule="auto"/>
        <w:jc w:val="center"/>
        <w:rPr>
          <w:rFonts w:hint="eastAsia" w:ascii="仿宋" w:hAnsi="仿宋" w:eastAsia="仿宋" w:cs="仿宋"/>
          <w:b/>
        </w:rPr>
      </w:pPr>
      <w:r>
        <w:rPr>
          <w:rFonts w:hint="eastAsia" w:ascii="仿宋" w:hAnsi="仿宋" w:eastAsia="仿宋" w:cs="仿宋"/>
          <w:b/>
        </w:rPr>
        <w:t>表4本期调增债券还本付息表</w:t>
      </w:r>
    </w:p>
    <w:p>
      <w:pPr>
        <w:ind w:right="170"/>
        <w:jc w:val="right"/>
        <w:rPr>
          <w:rFonts w:hint="eastAsia" w:ascii="仿宋" w:hAnsi="仿宋" w:eastAsia="仿宋" w:cs="仿宋"/>
          <w:sz w:val="20"/>
          <w:szCs w:val="20"/>
        </w:rPr>
      </w:pPr>
      <w:r>
        <w:rPr>
          <w:rFonts w:hint="eastAsia" w:ascii="仿宋" w:hAnsi="仿宋" w:eastAsia="仿宋" w:cs="仿宋"/>
          <w:sz w:val="20"/>
          <w:szCs w:val="20"/>
        </w:rPr>
        <w:t>单位：人民币万元</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968"/>
        <w:gridCol w:w="968"/>
        <w:gridCol w:w="970"/>
        <w:gridCol w:w="970"/>
        <w:gridCol w:w="968"/>
        <w:gridCol w:w="968"/>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年度</w:t>
            </w:r>
          </w:p>
        </w:tc>
        <w:tc>
          <w:tcPr>
            <w:tcW w:w="968"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2023</w:t>
            </w:r>
          </w:p>
        </w:tc>
        <w:tc>
          <w:tcPr>
            <w:tcW w:w="968"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2024</w:t>
            </w:r>
          </w:p>
        </w:tc>
        <w:tc>
          <w:tcPr>
            <w:tcW w:w="970"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2025</w:t>
            </w:r>
          </w:p>
        </w:tc>
        <w:tc>
          <w:tcPr>
            <w:tcW w:w="970"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2026</w:t>
            </w:r>
          </w:p>
        </w:tc>
        <w:tc>
          <w:tcPr>
            <w:tcW w:w="968"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2027</w:t>
            </w:r>
          </w:p>
        </w:tc>
        <w:tc>
          <w:tcPr>
            <w:tcW w:w="968"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2028</w:t>
            </w:r>
          </w:p>
        </w:tc>
        <w:tc>
          <w:tcPr>
            <w:tcW w:w="1001" w:type="dxa"/>
            <w:shd w:val="clear" w:color="auto" w:fill="auto"/>
            <w:noWrap/>
            <w:vAlign w:val="center"/>
          </w:tcPr>
          <w:p>
            <w:pPr>
              <w:jc w:val="center"/>
              <w:rPr>
                <w:rFonts w:hint="eastAsia" w:ascii="仿宋" w:hAnsi="仿宋" w:eastAsia="仿宋" w:cs="仿宋"/>
                <w:b/>
                <w:bCs/>
                <w:color w:val="auto"/>
                <w:sz w:val="20"/>
                <w:szCs w:val="20"/>
              </w:rPr>
            </w:pPr>
            <w:r>
              <w:rPr>
                <w:rFonts w:hint="eastAsia" w:ascii="仿宋" w:hAnsi="仿宋" w:eastAsia="仿宋" w:cs="仿宋"/>
                <w:b/>
                <w:bCs/>
                <w:color w:val="auto"/>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期初专项债券余额</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1001" w:type="dxa"/>
            <w:shd w:val="clear" w:color="auto" w:fill="auto"/>
            <w:noWrap/>
            <w:vAlign w:val="center"/>
          </w:tcPr>
          <w:p>
            <w:pPr>
              <w:jc w:val="right"/>
              <w:rPr>
                <w:rFonts w:hint="eastAsia" w:ascii="仿宋" w:hAnsi="仿宋" w:eastAsia="仿宋" w:cs="仿宋"/>
                <w:b w:val="0"/>
                <w:bCs w:val="0"/>
                <w:color w:val="auto"/>
                <w:sz w:val="20"/>
                <w:szCs w:val="20"/>
              </w:rPr>
            </w:pPr>
            <w:r>
              <w:rPr>
                <w:rFonts w:hint="eastAsia" w:ascii="仿宋" w:hAnsi="仿宋" w:eastAsia="仿宋" w:cs="仿宋"/>
                <w:b w:val="0"/>
                <w:bCs w:val="0"/>
                <w:color w:val="auto"/>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本期专项债券发行</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1001" w:type="dxa"/>
            <w:shd w:val="clear" w:color="auto" w:fill="auto"/>
            <w:noWrap/>
            <w:vAlign w:val="center"/>
          </w:tcPr>
          <w:p>
            <w:pPr>
              <w:jc w:val="right"/>
              <w:rPr>
                <w:rFonts w:hint="eastAsia" w:ascii="仿宋" w:hAnsi="仿宋" w:eastAsia="仿宋" w:cs="仿宋"/>
                <w:b/>
                <w:bCs/>
                <w:color w:val="auto"/>
                <w:sz w:val="20"/>
                <w:szCs w:val="20"/>
              </w:rPr>
            </w:pPr>
            <w:r>
              <w:rPr>
                <w:rFonts w:hint="eastAsia" w:ascii="仿宋" w:hAnsi="仿宋" w:eastAsia="仿宋" w:cs="仿宋"/>
                <w:b/>
                <w:bCs/>
                <w:color w:val="auto"/>
                <w:sz w:val="20"/>
                <w:szCs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利息支出</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1001" w:type="dxa"/>
            <w:shd w:val="clear" w:color="auto" w:fill="auto"/>
            <w:noWrap/>
            <w:vAlign w:val="center"/>
          </w:tcPr>
          <w:p>
            <w:pPr>
              <w:jc w:val="right"/>
              <w:rPr>
                <w:rFonts w:hint="eastAsia" w:ascii="仿宋" w:hAnsi="仿宋" w:eastAsia="仿宋" w:cs="仿宋"/>
                <w:b/>
                <w:bCs/>
                <w:color w:val="auto"/>
                <w:sz w:val="20"/>
                <w:szCs w:val="20"/>
              </w:rPr>
            </w:pPr>
            <w:r>
              <w:rPr>
                <w:rFonts w:hint="eastAsia" w:ascii="仿宋" w:hAnsi="仿宋" w:eastAsia="仿宋" w:cs="仿宋"/>
                <w:b/>
                <w:bCs/>
                <w:color w:val="auto"/>
                <w:sz w:val="20"/>
                <w:szCs w:val="20"/>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本期还款</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513.50</w:t>
            </w:r>
          </w:p>
        </w:tc>
        <w:tc>
          <w:tcPr>
            <w:tcW w:w="1001" w:type="dxa"/>
            <w:shd w:val="clear" w:color="auto" w:fill="auto"/>
            <w:noWrap/>
            <w:vAlign w:val="center"/>
          </w:tcPr>
          <w:p>
            <w:pPr>
              <w:jc w:val="right"/>
              <w:rPr>
                <w:rFonts w:hint="eastAsia" w:ascii="仿宋" w:hAnsi="仿宋" w:eastAsia="仿宋" w:cs="仿宋"/>
                <w:b/>
                <w:bCs/>
                <w:color w:val="auto"/>
                <w:sz w:val="20"/>
                <w:szCs w:val="20"/>
              </w:rPr>
            </w:pPr>
            <w:r>
              <w:rPr>
                <w:rFonts w:hint="eastAsia" w:ascii="仿宋" w:hAnsi="仿宋" w:eastAsia="仿宋" w:cs="仿宋"/>
                <w:b/>
                <w:bCs/>
                <w:color w:val="auto"/>
                <w:sz w:val="20"/>
                <w:szCs w:val="20"/>
              </w:rPr>
              <w:t>567.50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其中：还本</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1001" w:type="dxa"/>
            <w:shd w:val="clear" w:color="auto" w:fill="auto"/>
            <w:noWrap/>
            <w:vAlign w:val="center"/>
          </w:tcPr>
          <w:p>
            <w:pPr>
              <w:jc w:val="right"/>
              <w:rPr>
                <w:rFonts w:hint="eastAsia" w:ascii="仿宋" w:hAnsi="仿宋" w:eastAsia="仿宋" w:cs="仿宋"/>
                <w:b/>
                <w:bCs/>
                <w:color w:val="auto"/>
                <w:sz w:val="20"/>
                <w:szCs w:val="20"/>
              </w:rPr>
            </w:pPr>
            <w:r>
              <w:rPr>
                <w:rFonts w:hint="eastAsia" w:ascii="仿宋" w:hAnsi="仿宋" w:eastAsia="仿宋" w:cs="仿宋"/>
                <w:b/>
                <w:bCs/>
                <w:color w:val="auto"/>
                <w:sz w:val="20"/>
                <w:szCs w:val="20"/>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付息</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13.50</w:t>
            </w:r>
          </w:p>
        </w:tc>
        <w:tc>
          <w:tcPr>
            <w:tcW w:w="1001" w:type="dxa"/>
            <w:shd w:val="clear" w:color="auto" w:fill="auto"/>
            <w:noWrap/>
            <w:vAlign w:val="center"/>
          </w:tcPr>
          <w:p>
            <w:pPr>
              <w:jc w:val="right"/>
              <w:rPr>
                <w:rFonts w:hint="eastAsia" w:ascii="仿宋" w:hAnsi="仿宋" w:eastAsia="仿宋" w:cs="仿宋"/>
                <w:b/>
                <w:bCs/>
                <w:color w:val="auto"/>
                <w:sz w:val="20"/>
                <w:szCs w:val="20"/>
              </w:rPr>
            </w:pPr>
            <w:r>
              <w:rPr>
                <w:rFonts w:hint="eastAsia" w:ascii="仿宋" w:hAnsi="仿宋" w:eastAsia="仿宋" w:cs="仿宋"/>
                <w:b/>
                <w:bCs/>
                <w:color w:val="auto"/>
                <w:sz w:val="20"/>
                <w:szCs w:val="20"/>
              </w:rPr>
              <w:t>67.50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817" w:type="dxa"/>
            <w:shd w:val="clear" w:color="auto" w:fill="auto"/>
            <w:noWrap/>
            <w:vAlign w:val="center"/>
          </w:tcPr>
          <w:p>
            <w:pPr>
              <w:jc w:val="both"/>
              <w:rPr>
                <w:rFonts w:hint="eastAsia" w:ascii="仿宋" w:hAnsi="仿宋" w:eastAsia="仿宋" w:cs="仿宋"/>
                <w:color w:val="auto"/>
                <w:sz w:val="20"/>
                <w:szCs w:val="20"/>
              </w:rPr>
            </w:pPr>
            <w:r>
              <w:rPr>
                <w:rFonts w:hint="eastAsia" w:ascii="仿宋" w:hAnsi="仿宋" w:eastAsia="仿宋" w:cs="仿宋"/>
                <w:color w:val="auto"/>
                <w:sz w:val="20"/>
                <w:szCs w:val="20"/>
              </w:rPr>
              <w:t>期末专项债券余额</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70"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500.00</w:t>
            </w:r>
          </w:p>
        </w:tc>
        <w:tc>
          <w:tcPr>
            <w:tcW w:w="968" w:type="dxa"/>
            <w:shd w:val="clear" w:color="auto" w:fill="auto"/>
            <w:noWrap/>
            <w:vAlign w:val="center"/>
          </w:tcPr>
          <w:p>
            <w:pPr>
              <w:jc w:val="right"/>
              <w:rPr>
                <w:rFonts w:hint="eastAsia" w:ascii="仿宋" w:hAnsi="仿宋" w:eastAsia="仿宋" w:cs="仿宋"/>
                <w:color w:val="auto"/>
                <w:sz w:val="20"/>
                <w:szCs w:val="20"/>
              </w:rPr>
            </w:pPr>
            <w:r>
              <w:rPr>
                <w:rFonts w:hint="eastAsia" w:ascii="仿宋" w:hAnsi="仿宋" w:eastAsia="仿宋" w:cs="仿宋"/>
                <w:color w:val="auto"/>
                <w:sz w:val="20"/>
                <w:szCs w:val="20"/>
              </w:rPr>
              <w:t>-</w:t>
            </w:r>
          </w:p>
        </w:tc>
        <w:tc>
          <w:tcPr>
            <w:tcW w:w="1001" w:type="dxa"/>
            <w:shd w:val="clear" w:color="auto" w:fill="auto"/>
            <w:noWrap/>
            <w:vAlign w:val="center"/>
          </w:tcPr>
          <w:p>
            <w:pPr>
              <w:jc w:val="right"/>
              <w:rPr>
                <w:rFonts w:hint="eastAsia" w:ascii="仿宋" w:hAnsi="仿宋" w:eastAsia="仿宋" w:cs="仿宋"/>
                <w:b w:val="0"/>
                <w:bCs w:val="0"/>
                <w:color w:val="auto"/>
                <w:sz w:val="20"/>
                <w:szCs w:val="20"/>
              </w:rPr>
            </w:pPr>
            <w:r>
              <w:rPr>
                <w:rFonts w:hint="eastAsia" w:ascii="仿宋" w:hAnsi="仿宋" w:eastAsia="仿宋" w:cs="仿宋"/>
                <w:b w:val="0"/>
                <w:bCs w:val="0"/>
                <w:color w:val="auto"/>
                <w:sz w:val="20"/>
                <w:szCs w:val="20"/>
              </w:rPr>
              <w:t>-</w:t>
            </w:r>
          </w:p>
        </w:tc>
      </w:tr>
    </w:tbl>
    <w:p>
      <w:pPr>
        <w:ind w:right="105"/>
        <w:jc w:val="right"/>
        <w:rPr>
          <w:rFonts w:hint="eastAsia" w:ascii="仿宋" w:hAnsi="仿宋" w:eastAsia="仿宋" w:cs="仿宋"/>
          <w:sz w:val="20"/>
          <w:szCs w:val="20"/>
        </w:rPr>
      </w:pPr>
    </w:p>
    <w:p>
      <w:pPr>
        <w:ind w:right="105"/>
        <w:jc w:val="right"/>
        <w:rPr>
          <w:rFonts w:hint="eastAsia" w:ascii="仿宋" w:hAnsi="仿宋" w:eastAsia="仿宋" w:cs="仿宋"/>
          <w:sz w:val="20"/>
          <w:szCs w:val="20"/>
        </w:rPr>
        <w:sectPr>
          <w:footerReference r:id="rId14" w:type="default"/>
          <w:type w:val="continuous"/>
          <w:pgSz w:w="12240" w:h="15840"/>
          <w:pgMar w:top="1276" w:right="1800" w:bottom="1276" w:left="1800" w:header="708" w:footer="850" w:gutter="0"/>
          <w:cols w:space="708" w:num="1"/>
          <w:docGrid w:linePitch="360" w:charSpace="0"/>
        </w:sectPr>
      </w:pPr>
    </w:p>
    <w:p>
      <w:pPr>
        <w:rPr>
          <w:rFonts w:hint="eastAsia" w:ascii="仿宋" w:hAnsi="仿宋" w:eastAsia="仿宋" w:cs="仿宋"/>
        </w:rPr>
      </w:pPr>
    </w:p>
    <w:p>
      <w:pPr>
        <w:widowControl w:val="0"/>
        <w:numPr>
          <w:ilvl w:val="0"/>
          <w:numId w:val="1"/>
        </w:numPr>
        <w:spacing w:after="160" w:line="360" w:lineRule="auto"/>
        <w:rPr>
          <w:rFonts w:hint="eastAsia" w:ascii="仿宋" w:hAnsi="仿宋" w:eastAsia="仿宋" w:cs="仿宋"/>
          <w:b/>
          <w:color w:val="000000"/>
          <w:sz w:val="28"/>
          <w:szCs w:val="28"/>
        </w:rPr>
      </w:pPr>
      <w:r>
        <w:rPr>
          <w:rFonts w:hint="eastAsia" w:ascii="仿宋" w:hAnsi="仿宋" w:eastAsia="仿宋" w:cs="仿宋"/>
          <w:b/>
          <w:color w:val="000000"/>
          <w:sz w:val="28"/>
          <w:szCs w:val="28"/>
        </w:rPr>
        <w:t>发债项目盈利能力、偿债能力和可持续性</w:t>
      </w:r>
    </w:p>
    <w:p>
      <w:pPr>
        <w:spacing w:before="120" w:after="120" w:line="360" w:lineRule="auto"/>
        <w:ind w:firstLine="510"/>
        <w:jc w:val="both"/>
        <w:rPr>
          <w:rFonts w:hint="eastAsia" w:ascii="仿宋" w:hAnsi="仿宋" w:eastAsia="仿宋" w:cs="仿宋"/>
          <w:b/>
          <w:color w:val="000000"/>
          <w:sz w:val="28"/>
          <w:szCs w:val="28"/>
        </w:rPr>
      </w:pPr>
      <w:r>
        <w:rPr>
          <w:rFonts w:hint="eastAsia" w:ascii="仿宋" w:hAnsi="仿宋" w:eastAsia="仿宋" w:cs="仿宋"/>
          <w:color w:val="000000"/>
          <w:sz w:val="28"/>
          <w:szCs w:val="28"/>
        </w:rPr>
        <w:t>本项目累计资金筹措总额839.49万元，自筹资金339.49万元，拟申请专项债券500.00万元。前述项目的自筹资金，由政府通过财政资金统筹安排。各年度投资计划及资金筹措方案详见表5，项目现金流平衡表详见表6</w:t>
      </w:r>
    </w:p>
    <w:p>
      <w:pPr>
        <w:spacing w:after="160" w:line="259" w:lineRule="auto"/>
        <w:jc w:val="center"/>
        <w:rPr>
          <w:rFonts w:hint="eastAsia" w:ascii="仿宋" w:hAnsi="仿宋" w:eastAsia="仿宋" w:cs="仿宋"/>
          <w:b/>
          <w:color w:val="000000"/>
          <w:sz w:val="28"/>
          <w:szCs w:val="28"/>
        </w:rPr>
      </w:pPr>
      <w:r>
        <w:rPr>
          <w:rFonts w:hint="eastAsia" w:ascii="仿宋" w:hAnsi="仿宋" w:eastAsia="仿宋" w:cs="仿宋"/>
          <w:b/>
          <w:color w:val="000000"/>
          <w:sz w:val="28"/>
          <w:szCs w:val="28"/>
        </w:rPr>
        <w:t>表5项目投资计划及资金筹措表</w:t>
      </w:r>
    </w:p>
    <w:p>
      <w:pPr>
        <w:jc w:val="right"/>
        <w:rPr>
          <w:rFonts w:hint="eastAsia" w:ascii="仿宋" w:hAnsi="仿宋" w:eastAsia="仿宋" w:cs="仿宋"/>
          <w:color w:val="000000"/>
          <w:sz w:val="20"/>
          <w:szCs w:val="20"/>
        </w:rPr>
      </w:pPr>
      <w:r>
        <w:rPr>
          <w:rFonts w:hint="eastAsia" w:ascii="仿宋" w:hAnsi="仿宋" w:eastAsia="仿宋" w:cs="仿宋"/>
          <w:color w:val="000000"/>
          <w:sz w:val="20"/>
          <w:szCs w:val="20"/>
        </w:rPr>
        <w:t>单位：人民币万元</w:t>
      </w:r>
    </w:p>
    <w:tbl>
      <w:tblPr>
        <w:tblStyle w:val="8"/>
        <w:tblW w:w="8630" w:type="dxa"/>
        <w:jc w:val="center"/>
        <w:tblInd w:w="0" w:type="dxa"/>
        <w:tblLayout w:type="fixed"/>
        <w:tblCellMar>
          <w:top w:w="0" w:type="dxa"/>
          <w:left w:w="108" w:type="dxa"/>
          <w:bottom w:w="0" w:type="dxa"/>
          <w:right w:w="108" w:type="dxa"/>
        </w:tblCellMar>
      </w:tblPr>
      <w:tblGrid>
        <w:gridCol w:w="3684"/>
        <w:gridCol w:w="2473"/>
        <w:gridCol w:w="2473"/>
      </w:tblGrid>
      <w:tr>
        <w:tblPrEx>
          <w:tblLayout w:type="fixed"/>
          <w:tblCellMar>
            <w:top w:w="0" w:type="dxa"/>
            <w:left w:w="108" w:type="dxa"/>
            <w:bottom w:w="0" w:type="dxa"/>
            <w:right w:w="108" w:type="dxa"/>
          </w:tblCellMar>
        </w:tblPrEx>
        <w:trPr>
          <w:trHeight w:val="312" w:hRule="atLeast"/>
          <w:jc w:val="center"/>
        </w:trPr>
        <w:tc>
          <w:tcPr>
            <w:tcW w:w="3684"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建设期资金平衡表</w:t>
            </w:r>
          </w:p>
        </w:tc>
        <w:tc>
          <w:tcPr>
            <w:tcW w:w="247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2023</w:t>
            </w:r>
          </w:p>
        </w:tc>
        <w:tc>
          <w:tcPr>
            <w:tcW w:w="2473"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合计</w:t>
            </w:r>
          </w:p>
        </w:tc>
      </w:tr>
      <w:tr>
        <w:tblPrEx>
          <w:tblLayout w:type="fixed"/>
          <w:tblCellMar>
            <w:top w:w="0" w:type="dxa"/>
            <w:left w:w="108" w:type="dxa"/>
            <w:bottom w:w="0" w:type="dxa"/>
            <w:right w:w="108" w:type="dxa"/>
          </w:tblCellMar>
        </w:tblPrEx>
        <w:trPr>
          <w:trHeight w:val="312"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资金筹措</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自筹资金</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sz w:val="20"/>
                <w:szCs w:val="20"/>
              </w:rPr>
              <w:t xml:space="preserve"> 339.49 </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val="0"/>
                <w:bCs w:val="0"/>
                <w:sz w:val="20"/>
                <w:szCs w:val="20"/>
              </w:rPr>
            </w:pPr>
            <w:r>
              <w:rPr>
                <w:rFonts w:hint="eastAsia" w:ascii="仿宋" w:hAnsi="仿宋" w:eastAsia="仿宋" w:cs="仿宋"/>
                <w:sz w:val="20"/>
                <w:szCs w:val="20"/>
              </w:rPr>
              <w:t xml:space="preserve">           339.49 </w:t>
            </w: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债券发行</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sz w:val="20"/>
                <w:szCs w:val="20"/>
              </w:rPr>
              <w:t xml:space="preserve"> 500.00 </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val="0"/>
                <w:bCs w:val="0"/>
                <w:sz w:val="20"/>
                <w:szCs w:val="20"/>
              </w:rPr>
            </w:pPr>
            <w:r>
              <w:rPr>
                <w:rFonts w:hint="eastAsia" w:ascii="仿宋" w:hAnsi="仿宋" w:eastAsia="仿宋" w:cs="仿宋"/>
                <w:sz w:val="20"/>
                <w:szCs w:val="20"/>
              </w:rPr>
              <w:t xml:space="preserve">           500.00 </w:t>
            </w: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合计</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 xml:space="preserve">839.49 </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 xml:space="preserve">839.49 </w:t>
            </w: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资金使用</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val="0"/>
                <w:bCs w:val="0"/>
                <w:sz w:val="20"/>
                <w:szCs w:val="20"/>
              </w:rPr>
            </w:pP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val="0"/>
                <w:bCs w:val="0"/>
                <w:sz w:val="20"/>
                <w:szCs w:val="20"/>
              </w:rPr>
            </w:pP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建设资金使用金额合计</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839.49</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839.49</w:t>
            </w:r>
          </w:p>
        </w:tc>
      </w:tr>
      <w:tr>
        <w:tblPrEx>
          <w:tblLayout w:type="fixed"/>
          <w:tblCellMar>
            <w:top w:w="0" w:type="dxa"/>
            <w:left w:w="108" w:type="dxa"/>
            <w:bottom w:w="0" w:type="dxa"/>
            <w:right w:w="108" w:type="dxa"/>
          </w:tblCellMar>
        </w:tblPrEx>
        <w:trPr>
          <w:trHeight w:val="264" w:hRule="atLeast"/>
          <w:jc w:val="center"/>
        </w:trPr>
        <w:tc>
          <w:tcPr>
            <w:tcW w:w="3684"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上年余额</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w:t>
            </w:r>
          </w:p>
        </w:tc>
      </w:tr>
      <w:tr>
        <w:tblPrEx>
          <w:tblLayout w:type="fixed"/>
          <w:tblCellMar>
            <w:top w:w="0" w:type="dxa"/>
            <w:left w:w="108" w:type="dxa"/>
            <w:bottom w:w="0" w:type="dxa"/>
            <w:right w:w="108" w:type="dxa"/>
          </w:tblCellMar>
        </w:tblPrEx>
        <w:trPr>
          <w:trHeight w:val="528" w:hRule="atLeast"/>
          <w:jc w:val="center"/>
        </w:trPr>
        <w:tc>
          <w:tcPr>
            <w:tcW w:w="3684" w:type="dxa"/>
            <w:tcBorders>
              <w:top w:val="nil"/>
              <w:left w:val="single" w:color="auto" w:sz="4" w:space="0"/>
              <w:bottom w:val="single" w:color="auto" w:sz="4" w:space="0"/>
              <w:right w:val="single" w:color="auto" w:sz="4" w:space="0"/>
            </w:tcBorders>
            <w:shd w:val="clear" w:color="auto" w:fill="auto"/>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资金余额</w:t>
            </w:r>
            <w:r>
              <w:rPr>
                <w:rFonts w:hint="eastAsia" w:ascii="仿宋" w:hAnsi="仿宋" w:eastAsia="仿宋" w:cs="仿宋"/>
                <w:b/>
                <w:bCs/>
                <w:sz w:val="20"/>
                <w:szCs w:val="20"/>
              </w:rPr>
              <w:br w:type="textWrapping"/>
            </w:r>
            <w:r>
              <w:rPr>
                <w:rFonts w:hint="eastAsia" w:ascii="仿宋" w:hAnsi="仿宋" w:eastAsia="仿宋" w:cs="仿宋"/>
                <w:b/>
                <w:bCs/>
                <w:sz w:val="20"/>
                <w:szCs w:val="20"/>
              </w:rPr>
              <w:t>（资金筹措 — 资金使用）</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w:t>
            </w:r>
          </w:p>
        </w:tc>
        <w:tc>
          <w:tcPr>
            <w:tcW w:w="2473"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w:t>
            </w:r>
          </w:p>
        </w:tc>
      </w:tr>
    </w:tbl>
    <w:p>
      <w:pPr>
        <w:jc w:val="right"/>
        <w:rPr>
          <w:rFonts w:ascii="楷体" w:hAnsi="楷体" w:eastAsia="楷体" w:cs="楷体"/>
          <w:color w:val="000000"/>
          <w:sz w:val="20"/>
          <w:szCs w:val="20"/>
        </w:rPr>
      </w:pPr>
    </w:p>
    <w:p>
      <w:pPr>
        <w:pStyle w:val="2"/>
        <w:ind w:firstLine="200"/>
        <w:rPr>
          <w:rFonts w:ascii="楷体" w:hAnsi="楷体" w:eastAsia="楷体" w:cs="楷体"/>
          <w:color w:val="000000"/>
          <w:sz w:val="20"/>
        </w:rPr>
      </w:pPr>
    </w:p>
    <w:p>
      <w:pPr>
        <w:jc w:val="right"/>
        <w:rPr>
          <w:rFonts w:ascii="楷体" w:hAnsi="楷体" w:eastAsia="楷体" w:cs="楷体"/>
          <w:color w:val="000000"/>
          <w:sz w:val="20"/>
          <w:szCs w:val="20"/>
        </w:rPr>
      </w:pPr>
    </w:p>
    <w:p>
      <w:pPr>
        <w:pStyle w:val="2"/>
        <w:ind w:firstLine="240"/>
      </w:pPr>
    </w:p>
    <w:p>
      <w:pPr>
        <w:pStyle w:val="2"/>
        <w:ind w:firstLine="0" w:firstLineChars="0"/>
        <w:rPr>
          <w:rFonts w:ascii="楷体" w:hAnsi="楷体" w:eastAsia="楷体"/>
          <w:lang w:val="en-US"/>
        </w:rPr>
      </w:pPr>
    </w:p>
    <w:p>
      <w:pPr>
        <w:ind w:right="-999"/>
        <w:jc w:val="right"/>
        <w:rPr>
          <w:rFonts w:ascii="楷体" w:hAnsi="楷体" w:eastAsia="楷体" w:cs="楷体"/>
          <w:color w:val="000000"/>
          <w:sz w:val="20"/>
          <w:szCs w:val="20"/>
        </w:rPr>
      </w:pPr>
    </w:p>
    <w:p>
      <w:pPr>
        <w:pStyle w:val="2"/>
        <w:ind w:firstLine="240"/>
        <w:rPr>
          <w:rFonts w:ascii="楷体" w:hAnsi="楷体" w:eastAsia="楷体" w:cs="楷体"/>
          <w:lang w:val="en-US"/>
        </w:rPr>
      </w:pPr>
    </w:p>
    <w:p>
      <w:pPr>
        <w:jc w:val="center"/>
        <w:rPr>
          <w:rFonts w:ascii="楷体" w:hAnsi="楷体" w:eastAsia="楷体" w:cs="楷体"/>
          <w:b/>
          <w:color w:val="000000"/>
        </w:rPr>
        <w:sectPr>
          <w:headerReference r:id="rId17" w:type="first"/>
          <w:headerReference r:id="rId15" w:type="default"/>
          <w:footerReference r:id="rId18" w:type="default"/>
          <w:headerReference r:id="rId16" w:type="even"/>
          <w:pgSz w:w="12240" w:h="15840"/>
          <w:pgMar w:top="1276" w:right="1800" w:bottom="1276" w:left="1800" w:header="708" w:footer="850" w:gutter="0"/>
          <w:cols w:space="708" w:num="1"/>
          <w:docGrid w:linePitch="360" w:charSpace="0"/>
        </w:sectPr>
      </w:pPr>
    </w:p>
    <w:p>
      <w:pPr>
        <w:jc w:val="center"/>
        <w:rPr>
          <w:rFonts w:hint="eastAsia" w:ascii="仿宋" w:hAnsi="仿宋" w:eastAsia="仿宋" w:cs="仿宋"/>
          <w:b/>
        </w:rPr>
      </w:pPr>
      <w:r>
        <w:rPr>
          <w:rFonts w:hint="eastAsia" w:ascii="仿宋" w:hAnsi="仿宋" w:eastAsia="仿宋" w:cs="仿宋"/>
          <w:b/>
        </w:rPr>
        <w:t>表6项目现金流平衡表</w:t>
      </w:r>
    </w:p>
    <w:p>
      <w:pPr>
        <w:jc w:val="right"/>
        <w:rPr>
          <w:rFonts w:hint="eastAsia" w:ascii="仿宋" w:hAnsi="仿宋" w:eastAsia="仿宋" w:cs="仿宋"/>
          <w:sz w:val="20"/>
          <w:szCs w:val="20"/>
        </w:rPr>
      </w:pPr>
      <w:r>
        <w:rPr>
          <w:rFonts w:hint="eastAsia" w:ascii="仿宋" w:hAnsi="仿宋" w:eastAsia="仿宋" w:cs="仿宋"/>
          <w:sz w:val="20"/>
          <w:szCs w:val="20"/>
        </w:rPr>
        <w:t>单位：人民币万元</w:t>
      </w:r>
    </w:p>
    <w:tbl>
      <w:tblPr>
        <w:tblStyle w:val="8"/>
        <w:tblW w:w="13278" w:type="dxa"/>
        <w:jc w:val="center"/>
        <w:tblInd w:w="0" w:type="dxa"/>
        <w:tblLayout w:type="fixed"/>
        <w:tblCellMar>
          <w:top w:w="0" w:type="dxa"/>
          <w:left w:w="108" w:type="dxa"/>
          <w:bottom w:w="0" w:type="dxa"/>
          <w:right w:w="108" w:type="dxa"/>
        </w:tblCellMar>
      </w:tblPr>
      <w:tblGrid>
        <w:gridCol w:w="2480"/>
        <w:gridCol w:w="1442"/>
        <w:gridCol w:w="1530"/>
        <w:gridCol w:w="1618"/>
        <w:gridCol w:w="1530"/>
        <w:gridCol w:w="1530"/>
        <w:gridCol w:w="1530"/>
        <w:gridCol w:w="1618"/>
      </w:tblGrid>
      <w:tr>
        <w:tblPrEx>
          <w:tblLayout w:type="fixed"/>
          <w:tblCellMar>
            <w:top w:w="0" w:type="dxa"/>
            <w:left w:w="108" w:type="dxa"/>
            <w:bottom w:w="0" w:type="dxa"/>
            <w:right w:w="108" w:type="dxa"/>
          </w:tblCellMar>
        </w:tblPrEx>
        <w:trPr>
          <w:jc w:val="center"/>
        </w:trPr>
        <w:tc>
          <w:tcPr>
            <w:tcW w:w="248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现金流模拟测算表</w:t>
            </w:r>
          </w:p>
        </w:tc>
        <w:tc>
          <w:tcPr>
            <w:tcW w:w="1442"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2023</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2024</w:t>
            </w:r>
          </w:p>
        </w:tc>
        <w:tc>
          <w:tcPr>
            <w:tcW w:w="1618"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2025</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2026</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2027</w:t>
            </w:r>
          </w:p>
        </w:tc>
        <w:tc>
          <w:tcPr>
            <w:tcW w:w="1530"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2028</w:t>
            </w:r>
          </w:p>
        </w:tc>
        <w:tc>
          <w:tcPr>
            <w:tcW w:w="1618"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合计</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现金流入</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资本金流入</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339.49</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339.49</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债券资金流入</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500.00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500.00</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运营期现金流入</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136.80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136.80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684.00</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现金流入总额</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839.49</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136.80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136.80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136.80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1,523.49</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现金流出</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建设期资金流出</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838.99</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838.99</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债券发行费用</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0.50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0.50</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债券还本付息</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13.50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color w:val="000000"/>
                <w:sz w:val="20"/>
                <w:szCs w:val="20"/>
              </w:rPr>
              <w:t>513.50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b/>
                <w:bCs/>
                <w:sz w:val="20"/>
                <w:szCs w:val="20"/>
              </w:rPr>
              <w:t>567.50</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现金流出总额</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839.49</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13.50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13.50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513.50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1,406.99</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现金净流量</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当年项目现金净流入</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123.30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123.30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123.30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123.30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-376.70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w:t>
            </w:r>
          </w:p>
        </w:tc>
      </w:tr>
      <w:tr>
        <w:tblPrEx>
          <w:tblLayout w:type="fixed"/>
          <w:tblCellMar>
            <w:top w:w="0" w:type="dxa"/>
            <w:left w:w="108" w:type="dxa"/>
            <w:bottom w:w="0" w:type="dxa"/>
            <w:right w:w="108" w:type="dxa"/>
          </w:tblCellMar>
        </w:tblPrEx>
        <w:trPr>
          <w:jc w:val="center"/>
        </w:trPr>
        <w:tc>
          <w:tcPr>
            <w:tcW w:w="248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期末项目累计现金结存额</w:t>
            </w:r>
          </w:p>
        </w:tc>
        <w:tc>
          <w:tcPr>
            <w:tcW w:w="1442"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123.30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246.60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369.90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493.20</w:t>
            </w:r>
          </w:p>
        </w:tc>
        <w:tc>
          <w:tcPr>
            <w:tcW w:w="1530"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116.50</w:t>
            </w:r>
          </w:p>
        </w:tc>
        <w:tc>
          <w:tcPr>
            <w:tcW w:w="1618"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color w:val="000000"/>
                <w:sz w:val="20"/>
                <w:szCs w:val="20"/>
              </w:rPr>
              <w:t>-</w:t>
            </w:r>
          </w:p>
        </w:tc>
      </w:tr>
    </w:tbl>
    <w:p>
      <w:pPr>
        <w:jc w:val="right"/>
        <w:rPr>
          <w:rFonts w:hint="eastAsia" w:ascii="仿宋" w:hAnsi="仿宋" w:eastAsia="仿宋" w:cs="仿宋"/>
          <w:sz w:val="20"/>
          <w:szCs w:val="20"/>
        </w:rPr>
      </w:pPr>
    </w:p>
    <w:p>
      <w:pPr>
        <w:ind w:right="54"/>
        <w:rPr>
          <w:rFonts w:hint="eastAsia" w:ascii="仿宋" w:hAnsi="仿宋" w:eastAsia="仿宋" w:cs="仿宋"/>
          <w:sz w:val="20"/>
          <w:szCs w:val="20"/>
        </w:rPr>
      </w:pPr>
    </w:p>
    <w:p>
      <w:pPr>
        <w:ind w:right="-746"/>
        <w:jc w:val="right"/>
        <w:rPr>
          <w:rFonts w:ascii="楷体" w:hAnsi="楷体" w:eastAsia="楷体" w:cs="Calibri"/>
          <w:sz w:val="20"/>
          <w:szCs w:val="20"/>
        </w:rPr>
      </w:pPr>
    </w:p>
    <w:p>
      <w:pPr>
        <w:jc w:val="center"/>
        <w:rPr>
          <w:rFonts w:ascii="楷体" w:hAnsi="楷体" w:eastAsia="楷体" w:cs="Calibri"/>
          <w:sz w:val="20"/>
          <w:szCs w:val="20"/>
        </w:rPr>
      </w:pPr>
    </w:p>
    <w:p>
      <w:pPr>
        <w:rPr>
          <w:rFonts w:ascii="楷体" w:hAnsi="楷体" w:eastAsia="楷体" w:cs="Calibri"/>
          <w:sz w:val="20"/>
          <w:szCs w:val="20"/>
        </w:rPr>
      </w:pPr>
      <w:r>
        <w:rPr>
          <w:rFonts w:ascii="楷体" w:hAnsi="楷体" w:eastAsia="楷体" w:cs="Calibri"/>
          <w:sz w:val="20"/>
          <w:szCs w:val="20"/>
        </w:rPr>
        <w:br w:type="page"/>
      </w:r>
    </w:p>
    <w:p/>
    <w:p>
      <w:pPr>
        <w:spacing w:before="120" w:after="120" w:line="360" w:lineRule="auto"/>
        <w:ind w:firstLine="560" w:firstLineChars="200"/>
        <w:jc w:val="both"/>
        <w:rPr>
          <w:rFonts w:hint="eastAsia" w:ascii="仿宋" w:hAnsi="仿宋" w:eastAsia="仿宋" w:cs="仿宋"/>
          <w:color w:val="000000"/>
          <w:sz w:val="28"/>
          <w:szCs w:val="28"/>
        </w:rPr>
      </w:pPr>
      <w:r>
        <w:rPr>
          <w:rFonts w:hint="eastAsia" w:ascii="仿宋" w:hAnsi="仿宋" w:eastAsia="仿宋" w:cs="仿宋"/>
          <w:color w:val="000000"/>
          <w:sz w:val="28"/>
          <w:szCs w:val="28"/>
        </w:rPr>
        <w:t>基于以上投资计划、资金筹措安排，我们未发现建设期内所需建设资金存在缺口的情况，且项目每年资金余额为正值，满足项目自身收益还本付息的前提下，仍有富余资金，显示项目具备一定的盈利能力、偿债能力和可持续性。</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bookmarkStart w:id="27" w:name="_Toc98020603"/>
      <w:r>
        <w:rPr>
          <w:rFonts w:hint="eastAsia" w:ascii="仿宋" w:hAnsi="仿宋" w:eastAsia="仿宋" w:cs="仿宋"/>
          <w:b/>
          <w:bCs/>
          <w:color w:val="000000" w:themeColor="text1"/>
          <w:sz w:val="28"/>
          <w:szCs w:val="28"/>
          <w:lang w:val="en-GB"/>
          <w14:textFill>
            <w14:solidFill>
              <w14:schemeClr w14:val="tx1"/>
            </w14:solidFill>
          </w14:textFill>
        </w:rPr>
        <w:t>（二）资金稳定性</w:t>
      </w:r>
      <w:bookmarkEnd w:id="27"/>
    </w:p>
    <w:p>
      <w:pPr>
        <w:spacing w:before="120" w:after="120" w:line="360" w:lineRule="auto"/>
        <w:ind w:firstLine="454"/>
        <w:jc w:val="both"/>
        <w:rPr>
          <w:rFonts w:hint="eastAsia" w:ascii="仿宋" w:hAnsi="仿宋" w:eastAsia="仿宋" w:cs="仿宋"/>
          <w:color w:val="000000"/>
          <w:sz w:val="28"/>
          <w:szCs w:val="28"/>
        </w:rPr>
      </w:pPr>
      <w:r>
        <w:rPr>
          <w:rFonts w:hint="eastAsia" w:ascii="仿宋" w:hAnsi="仿宋" w:eastAsia="仿宋" w:cs="仿宋"/>
          <w:sz w:val="28"/>
          <w:szCs w:val="28"/>
          <w:lang w:val="en-GB"/>
        </w:rPr>
        <w:t>本项目专项债券还本付息以供水收入为基础，债券存续期（2023-2028年）内各年现金净流量，可覆盖债券存续期间各年利息及到期偿还本金的支出需求；且项目专项债券到期时，在偿还当年到期的债券本息后，仍有仍有116.50万元的累计现金结余，本息覆盖率1.21</w:t>
      </w:r>
      <w:r>
        <w:rPr>
          <w:rFonts w:hint="eastAsia" w:ascii="仿宋" w:hAnsi="仿宋" w:eastAsia="仿宋" w:cs="仿宋"/>
          <w:color w:val="000000"/>
          <w:kern w:val="2"/>
          <w:sz w:val="28"/>
          <w:szCs w:val="22"/>
          <w:vertAlign w:val="superscript"/>
        </w:rPr>
        <w:footnoteReference w:id="2"/>
      </w:r>
      <w:r>
        <w:rPr>
          <w:rFonts w:hint="eastAsia" w:ascii="仿宋" w:hAnsi="仿宋" w:eastAsia="仿宋" w:cs="仿宋"/>
          <w:sz w:val="28"/>
          <w:szCs w:val="28"/>
          <w:lang w:val="en-GB"/>
        </w:rPr>
        <w:t>。因此，本项目资金稳定性较可靠。项目债券存续期内资金留存情况如图1所示</w:t>
      </w:r>
      <w:r>
        <w:rPr>
          <w:rFonts w:hint="eastAsia" w:ascii="仿宋" w:hAnsi="仿宋" w:eastAsia="仿宋" w:cs="仿宋"/>
          <w:color w:val="000000"/>
          <w:sz w:val="28"/>
          <w:szCs w:val="28"/>
        </w:rPr>
        <w:t>。</w:t>
      </w:r>
    </w:p>
    <w:p>
      <w:pPr>
        <w:pStyle w:val="2"/>
        <w:ind w:firstLine="0" w:firstLineChars="0"/>
        <w:jc w:val="center"/>
        <w:rPr>
          <w:rFonts w:hint="eastAsia" w:ascii="仿宋" w:hAnsi="仿宋" w:eastAsia="仿宋" w:cs="仿宋"/>
          <w:b/>
          <w:szCs w:val="28"/>
        </w:rPr>
      </w:pPr>
      <w:r>
        <w:rPr>
          <w:rFonts w:hint="eastAsia" w:ascii="仿宋" w:hAnsi="仿宋" w:eastAsia="仿宋" w:cs="仿宋"/>
        </w:rPr>
        <w:drawing>
          <wp:anchor distT="0" distB="0" distL="114300" distR="114300" simplePos="0" relativeHeight="251661312" behindDoc="1" locked="0" layoutInCell="1" allowOverlap="1">
            <wp:simplePos x="0" y="0"/>
            <wp:positionH relativeFrom="margin">
              <wp:align>right</wp:align>
            </wp:positionH>
            <wp:positionV relativeFrom="paragraph">
              <wp:posOffset>262890</wp:posOffset>
            </wp:positionV>
            <wp:extent cx="5486400" cy="2674620"/>
            <wp:effectExtent l="4445" t="4445" r="14605" b="6985"/>
            <wp:wrapThrough wrapText="bothSides">
              <wp:wrapPolygon>
                <wp:start x="-17" y="-36"/>
                <wp:lineTo x="-17" y="21503"/>
                <wp:lineTo x="21583" y="21503"/>
                <wp:lineTo x="21583" y="-36"/>
                <wp:lineTo x="-17" y="-36"/>
              </wp:wrapPolygon>
            </wp:wrapThrough>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hint="eastAsia" w:ascii="仿宋" w:hAnsi="仿宋" w:eastAsia="仿宋" w:cs="仿宋"/>
          <w:b/>
          <w:szCs w:val="28"/>
        </w:rPr>
        <w:t>图1债券存续期内项目累计资金留存情况</w:t>
      </w:r>
    </w:p>
    <w:p>
      <w:pPr>
        <w:spacing w:before="120" w:after="120" w:line="360" w:lineRule="auto"/>
        <w:ind w:firstLine="454"/>
        <w:jc w:val="both"/>
        <w:rPr>
          <w:rFonts w:hint="eastAsia" w:ascii="仿宋" w:hAnsi="仿宋" w:eastAsia="仿宋" w:cs="仿宋"/>
          <w:color w:val="000000"/>
          <w:sz w:val="28"/>
          <w:szCs w:val="28"/>
        </w:rPr>
      </w:pPr>
      <w:r>
        <w:rPr>
          <w:rFonts w:hint="eastAsia" w:ascii="仿宋" w:hAnsi="仿宋" w:eastAsia="仿宋" w:cs="仿宋"/>
          <w:color w:val="000000"/>
          <w:sz w:val="28"/>
          <w:szCs w:val="28"/>
        </w:rPr>
        <w:t>综上，针对本项目在本期专项债券存续期内还本付息资金的测算，我们未注意到可能对本项目资金稳定性产生重大影响的情况。</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（三）抗风险能力分析</w:t>
      </w:r>
    </w:p>
    <w:p>
      <w:pPr>
        <w:spacing w:before="120" w:after="120" w:line="360" w:lineRule="auto"/>
        <w:ind w:firstLine="454"/>
        <w:jc w:val="both"/>
        <w:rPr>
          <w:rFonts w:hint="eastAsia" w:ascii="仿宋" w:hAnsi="仿宋" w:eastAsia="仿宋" w:cs="仿宋"/>
          <w:sz w:val="28"/>
          <w:szCs w:val="28"/>
        </w:rPr>
      </w:pPr>
      <w:r>
        <w:rPr>
          <w:rFonts w:hint="eastAsia" w:ascii="仿宋" w:hAnsi="仿宋" w:eastAsia="仿宋" w:cs="仿宋"/>
          <w:color w:val="000000"/>
          <w:sz w:val="28"/>
          <w:szCs w:val="28"/>
        </w:rPr>
        <w:t>根据本项目收益与融资平衡的压力测试结果，当项目收益在±15%范围内变动的情况下，项目的债券本息覆盖率仍然＞1。因此，本项目的预计项目收益对债券还本付息保障性较高，项目可通过压力测试，还本付息资金具有一定的稳定性与风险抵抗能力。项目的压力测试情况详见下表：</w:t>
      </w:r>
    </w:p>
    <w:p>
      <w:pPr>
        <w:spacing w:after="160" w:line="259" w:lineRule="auto"/>
        <w:jc w:val="center"/>
        <w:rPr>
          <w:rFonts w:hint="eastAsia" w:ascii="仿宋" w:hAnsi="仿宋" w:eastAsia="仿宋" w:cs="仿宋"/>
          <w:b/>
          <w:color w:val="000000"/>
        </w:rPr>
      </w:pPr>
      <w:r>
        <w:rPr>
          <w:rFonts w:hint="eastAsia" w:ascii="仿宋" w:hAnsi="仿宋" w:eastAsia="仿宋" w:cs="仿宋"/>
          <w:b/>
          <w:color w:val="000000"/>
        </w:rPr>
        <w:t>表7项目压力测试表</w:t>
      </w:r>
    </w:p>
    <w:tbl>
      <w:tblPr>
        <w:tblStyle w:val="8"/>
        <w:tblW w:w="8483" w:type="dxa"/>
        <w:jc w:val="center"/>
        <w:tblInd w:w="0" w:type="dxa"/>
        <w:tblLayout w:type="fixed"/>
        <w:tblCellMar>
          <w:top w:w="0" w:type="dxa"/>
          <w:left w:w="108" w:type="dxa"/>
          <w:bottom w:w="0" w:type="dxa"/>
          <w:right w:w="108" w:type="dxa"/>
        </w:tblCellMar>
      </w:tblPr>
      <w:tblGrid>
        <w:gridCol w:w="3220"/>
        <w:gridCol w:w="851"/>
        <w:gridCol w:w="851"/>
        <w:gridCol w:w="709"/>
        <w:gridCol w:w="671"/>
        <w:gridCol w:w="671"/>
        <w:gridCol w:w="755"/>
        <w:gridCol w:w="755"/>
      </w:tblGrid>
      <w:tr>
        <w:tblPrEx>
          <w:tblLayout w:type="fixed"/>
          <w:tblCellMar>
            <w:top w:w="0" w:type="dxa"/>
            <w:left w:w="108" w:type="dxa"/>
            <w:bottom w:w="0" w:type="dxa"/>
            <w:right w:w="108" w:type="dxa"/>
          </w:tblCellMar>
        </w:tblPrEx>
        <w:trPr>
          <w:trHeight w:val="264" w:hRule="atLeast"/>
          <w:jc w:val="center"/>
        </w:trPr>
        <w:tc>
          <w:tcPr>
            <w:tcW w:w="32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资金覆盖率 - 压力测试</w:t>
            </w:r>
          </w:p>
          <w:p>
            <w:pPr>
              <w:jc w:val="center"/>
              <w:rPr>
                <w:rFonts w:hint="eastAsia" w:ascii="仿宋" w:hAnsi="仿宋" w:eastAsia="仿宋" w:cs="仿宋"/>
                <w:b/>
                <w:bCs/>
                <w:sz w:val="20"/>
                <w:szCs w:val="20"/>
              </w:rPr>
            </w:pPr>
            <w:r>
              <w:rPr>
                <w:rFonts w:hint="eastAsia" w:ascii="仿宋" w:hAnsi="仿宋" w:eastAsia="仿宋" w:cs="仿宋"/>
                <w:b/>
                <w:bCs/>
                <w:sz w:val="20"/>
                <w:szCs w:val="20"/>
              </w:rPr>
              <w:t>（单因素敏感性分析）</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-15%</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-10%</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-5%</w:t>
            </w:r>
          </w:p>
        </w:tc>
        <w:tc>
          <w:tcPr>
            <w:tcW w:w="67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0%</w:t>
            </w:r>
          </w:p>
        </w:tc>
        <w:tc>
          <w:tcPr>
            <w:tcW w:w="671"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5%</w:t>
            </w:r>
          </w:p>
        </w:tc>
        <w:tc>
          <w:tcPr>
            <w:tcW w:w="75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10%</w:t>
            </w:r>
          </w:p>
        </w:tc>
        <w:tc>
          <w:tcPr>
            <w:tcW w:w="755" w:type="dxa"/>
            <w:tcBorders>
              <w:top w:val="single" w:color="auto" w:sz="4" w:space="0"/>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0"/>
                <w:szCs w:val="20"/>
              </w:rPr>
            </w:pPr>
            <w:r>
              <w:rPr>
                <w:rFonts w:hint="eastAsia" w:ascii="仿宋" w:hAnsi="仿宋" w:eastAsia="仿宋" w:cs="仿宋"/>
                <w:b/>
                <w:bCs/>
                <w:sz w:val="20"/>
                <w:szCs w:val="20"/>
              </w:rPr>
              <w:t>15%</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收入变动情况敏感性分析</w:t>
            </w:r>
          </w:p>
        </w:tc>
        <w:tc>
          <w:tcPr>
            <w:tcW w:w="851"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851"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709"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671"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671"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755"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c>
          <w:tcPr>
            <w:tcW w:w="755" w:type="dxa"/>
            <w:tcBorders>
              <w:top w:val="nil"/>
              <w:left w:val="nil"/>
              <w:bottom w:val="single" w:color="auto" w:sz="4" w:space="0"/>
              <w:right w:val="single" w:color="auto" w:sz="4" w:space="0"/>
            </w:tcBorders>
            <w:shd w:val="clear" w:color="auto" w:fill="auto"/>
            <w:noWrap/>
            <w:vAlign w:val="center"/>
          </w:tcPr>
          <w:p>
            <w:pPr>
              <w:jc w:val="right"/>
              <w:rPr>
                <w:rFonts w:hint="eastAsia" w:ascii="仿宋" w:hAnsi="仿宋" w:eastAsia="仿宋" w:cs="仿宋"/>
                <w:b/>
                <w:bCs/>
                <w:sz w:val="20"/>
                <w:szCs w:val="20"/>
              </w:rPr>
            </w:pP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债券本金资金覆盖率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1.03</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1.10</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1.16</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1.23</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1.30</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1.37</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1.44</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债券本息资金覆盖率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1.02</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1.08</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1.15</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1.27</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1.33</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1.39</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债券本息资金覆盖倍数</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1.02</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1.08</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1.15</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1.27</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1.33</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1.39</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b/>
                <w:bCs/>
                <w:sz w:val="20"/>
                <w:szCs w:val="20"/>
              </w:rPr>
            </w:pPr>
            <w:r>
              <w:rPr>
                <w:rFonts w:hint="eastAsia" w:ascii="仿宋" w:hAnsi="仿宋" w:eastAsia="仿宋" w:cs="仿宋"/>
                <w:b/>
                <w:bCs/>
                <w:sz w:val="20"/>
                <w:szCs w:val="20"/>
              </w:rPr>
              <w:t>利率成本变动情况敏感性分析</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b/>
                <w:bCs/>
                <w:sz w:val="22"/>
                <w:szCs w:val="22"/>
              </w:rPr>
            </w:pP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债券本金资金覆盖率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1.25</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1.25</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1.24</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1.23</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1.23</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1.22</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债券本息资金覆盖率</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1.23</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1.22</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1.20</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1.19</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1.18</w:t>
            </w:r>
          </w:p>
        </w:tc>
      </w:tr>
      <w:tr>
        <w:tblPrEx>
          <w:tblLayout w:type="fixed"/>
          <w:tblCellMar>
            <w:top w:w="0" w:type="dxa"/>
            <w:left w:w="108" w:type="dxa"/>
            <w:bottom w:w="0" w:type="dxa"/>
            <w:right w:w="108" w:type="dxa"/>
          </w:tblCellMar>
        </w:tblPrEx>
        <w:trPr>
          <w:trHeight w:val="264" w:hRule="atLeast"/>
          <w:jc w:val="center"/>
        </w:trPr>
        <w:tc>
          <w:tcPr>
            <w:tcW w:w="3220" w:type="dxa"/>
            <w:tcBorders>
              <w:top w:val="nil"/>
              <w:left w:val="single" w:color="auto" w:sz="4" w:space="0"/>
              <w:bottom w:val="single" w:color="auto" w:sz="4" w:space="0"/>
              <w:right w:val="single" w:color="auto" w:sz="4" w:space="0"/>
            </w:tcBorders>
            <w:shd w:val="clear" w:color="auto" w:fill="auto"/>
            <w:noWrap/>
            <w:vAlign w:val="center"/>
          </w:tcPr>
          <w:p>
            <w:pPr>
              <w:jc w:val="both"/>
              <w:rPr>
                <w:rFonts w:hint="eastAsia" w:ascii="仿宋" w:hAnsi="仿宋" w:eastAsia="仿宋" w:cs="仿宋"/>
                <w:sz w:val="20"/>
                <w:szCs w:val="20"/>
              </w:rPr>
            </w:pPr>
            <w:r>
              <w:rPr>
                <w:rFonts w:hint="eastAsia" w:ascii="仿宋" w:hAnsi="仿宋" w:eastAsia="仿宋" w:cs="仿宋"/>
                <w:sz w:val="20"/>
                <w:szCs w:val="20"/>
              </w:rPr>
              <w:t>债券本息资金覆盖倍数</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1.23</w:t>
            </w:r>
          </w:p>
        </w:tc>
        <w:tc>
          <w:tcPr>
            <w:tcW w:w="85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1.22</w:t>
            </w:r>
          </w:p>
        </w:tc>
        <w:tc>
          <w:tcPr>
            <w:tcW w:w="709"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1.21</w:t>
            </w:r>
          </w:p>
        </w:tc>
        <w:tc>
          <w:tcPr>
            <w:tcW w:w="671"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1.20</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1.19</w:t>
            </w:r>
          </w:p>
        </w:tc>
        <w:tc>
          <w:tcPr>
            <w:tcW w:w="755" w:type="dxa"/>
            <w:tcBorders>
              <w:top w:val="nil"/>
              <w:left w:val="nil"/>
              <w:bottom w:val="single" w:color="auto" w:sz="4" w:space="0"/>
              <w:right w:val="single" w:color="auto" w:sz="4" w:space="0"/>
            </w:tcBorders>
            <w:shd w:val="clear" w:color="auto" w:fill="auto"/>
            <w:noWrap/>
            <w:vAlign w:val="center"/>
          </w:tcPr>
          <w:p>
            <w:pPr>
              <w:jc w:val="center"/>
              <w:rPr>
                <w:rFonts w:hint="eastAsia" w:ascii="仿宋" w:hAnsi="仿宋" w:eastAsia="仿宋" w:cs="仿宋"/>
                <w:sz w:val="22"/>
                <w:szCs w:val="22"/>
              </w:rPr>
            </w:pPr>
            <w:r>
              <w:rPr>
                <w:rFonts w:hint="eastAsia" w:ascii="仿宋" w:hAnsi="仿宋" w:eastAsia="仿宋" w:cs="仿宋"/>
                <w:sz w:val="22"/>
                <w:szCs w:val="22"/>
              </w:rPr>
              <w:t>1.18</w:t>
            </w:r>
          </w:p>
        </w:tc>
      </w:tr>
    </w:tbl>
    <w:p>
      <w:pPr>
        <w:spacing w:before="120" w:after="120" w:line="360" w:lineRule="auto"/>
        <w:ind w:firstLine="454"/>
        <w:jc w:val="both"/>
        <w:rPr>
          <w:rFonts w:hint="eastAsia" w:ascii="仿宋" w:hAnsi="仿宋" w:eastAsia="仿宋" w:cs="仿宋"/>
          <w:color w:val="000000"/>
          <w:sz w:val="28"/>
          <w:szCs w:val="28"/>
        </w:rPr>
      </w:pPr>
      <w:r>
        <w:rPr>
          <w:rFonts w:hint="eastAsia" w:ascii="仿宋" w:hAnsi="仿宋" w:eastAsia="仿宋" w:cs="仿宋"/>
          <w:color w:val="000000"/>
          <w:sz w:val="28"/>
          <w:szCs w:val="28"/>
        </w:rPr>
        <w:t>总体而言，本项目产生收入对其拟使用的募集资金保障程度较高。同时，因本项目还本付息资金主要来源于项目运营收入，建议进一步关注项目施工进度、项目选点的变化、政府定价风险、宏观经济以及利率等影响项目收益情况的风险要素。若未能实现收入计划，不能偿还到期债券本金，可在专项债务限额内以及满足覆盖倍数的情况下发行专项债券周转偿还，进而在项目收入实现后予以归还，或者通过追加自筹资金等方式来满足还本付息要求。</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（四）预期收益分析</w:t>
      </w:r>
    </w:p>
    <w:p>
      <w:pPr>
        <w:spacing w:before="120" w:after="120" w:line="360" w:lineRule="auto"/>
        <w:ind w:firstLine="560" w:firstLineChars="200"/>
        <w:jc w:val="both"/>
        <w:rPr>
          <w:rFonts w:hint="eastAsia" w:ascii="仿宋" w:hAnsi="仿宋" w:eastAsia="仿宋" w:cs="仿宋"/>
          <w:color w:val="000000"/>
          <w:sz w:val="28"/>
          <w:szCs w:val="28"/>
        </w:rPr>
      </w:pPr>
      <w:r>
        <w:rPr>
          <w:rFonts w:hint="eastAsia" w:ascii="仿宋" w:hAnsi="仿宋" w:eastAsia="仿宋" w:cs="仿宋"/>
          <w:color w:val="000000"/>
          <w:sz w:val="28"/>
          <w:szCs w:val="28"/>
        </w:rPr>
        <w:t>本项目专项债券以经营收益为还本付息基础，收入来源主要为供水收入，运营成本由财政补贴覆盖，故本项目运营期内暂不考虑运营成本。</w:t>
      </w:r>
    </w:p>
    <w:p>
      <w:pPr>
        <w:spacing w:before="120" w:after="120" w:line="360" w:lineRule="auto"/>
        <w:ind w:firstLine="560" w:firstLineChars="200"/>
        <w:jc w:val="both"/>
        <w:rPr>
          <w:rFonts w:hint="eastAsia" w:ascii="仿宋" w:hAnsi="仿宋" w:eastAsia="仿宋" w:cs="仿宋"/>
          <w:color w:val="000000"/>
          <w:sz w:val="28"/>
          <w:szCs w:val="28"/>
        </w:rPr>
      </w:pPr>
      <w:r>
        <w:rPr>
          <w:rFonts w:hint="eastAsia" w:ascii="仿宋" w:hAnsi="仿宋" w:eastAsia="仿宋" w:cs="仿宋"/>
          <w:color w:val="000000"/>
          <w:sz w:val="28"/>
          <w:szCs w:val="28"/>
        </w:rPr>
        <w:t>根据《三亚市吉阳区发展和改革委员会关于吉阳区新村社区饮水巩固提升工程初步设计及概算的批复》（吉发改〔2023〕20号），项目拟新建DN300球墨铸铁管727m、DN250球墨铸铁管683m、DN200球墨铸铁管373m、 DN150 球墨铸铁管1,073m、DN100钢塑管917m、DN80 钢塑管4,293m、DN65 钢塑管2,796m、DN50钢塑管4931m、DN40 钢塑管1,158m、DN20入户钢塑管67,425m、PE100聚乙烯给水管DN300 共95m、DN200过路钢套管30m、DN150过路钢套管144m、DN100 过路钢套管673m、用户水表组安装2,697户，压力等级为1.0MPa等。</w:t>
      </w:r>
    </w:p>
    <w:p>
      <w:pPr>
        <w:spacing w:before="120" w:after="120" w:line="360" w:lineRule="auto"/>
        <w:ind w:firstLine="560" w:firstLineChars="200"/>
        <w:jc w:val="both"/>
        <w:rPr>
          <w:rFonts w:hint="eastAsia" w:ascii="仿宋" w:hAnsi="仿宋" w:eastAsia="仿宋" w:cs="仿宋"/>
          <w:color w:val="000000"/>
          <w:sz w:val="28"/>
          <w:szCs w:val="28"/>
        </w:rPr>
      </w:pPr>
      <w:r>
        <w:rPr>
          <w:rFonts w:hint="eastAsia" w:ascii="仿宋" w:hAnsi="仿宋" w:eastAsia="仿宋" w:cs="仿宋"/>
          <w:color w:val="000000"/>
          <w:sz w:val="28"/>
          <w:szCs w:val="28"/>
        </w:rPr>
        <w:t>参考《水利工程供水价格管理办法》（中华人民共和国国家发展和改革委员会、中华人民共和国水利部第4 号令，2003 年7 月）第九条：利用贷款、债券建设的水利供水工程，供水价格应使供水经营者在经营期内具备补偿成本、费用和偿还贷款、债券本息的能力并获得合理的利润。为保障拟发行债券还本付息，吉阳区政府拟安排辖区内部分供水收入作为还款来源。</w:t>
      </w:r>
    </w:p>
    <w:p>
      <w:pPr>
        <w:spacing w:before="120" w:after="120" w:line="360" w:lineRule="auto"/>
        <w:ind w:firstLine="560" w:firstLineChars="200"/>
        <w:jc w:val="both"/>
        <w:rPr>
          <w:rFonts w:hint="eastAsia" w:ascii="仿宋" w:hAnsi="仿宋" w:eastAsia="仿宋" w:cs="仿宋"/>
          <w:b w:val="0"/>
          <w:color w:val="000000"/>
          <w:sz w:val="28"/>
          <w:szCs w:val="28"/>
        </w:rPr>
      </w:pPr>
      <w:r>
        <w:rPr>
          <w:rFonts w:hint="eastAsia" w:ascii="仿宋" w:hAnsi="仿宋" w:eastAsia="仿宋" w:cs="仿宋"/>
          <w:color w:val="000000"/>
          <w:sz w:val="28"/>
          <w:szCs w:val="28"/>
        </w:rPr>
        <w:t>本项目每年供水收入为136.80万元，拟安排用于本期债券的供水收入共计684.00万元。本项目运营成本由财政拨款解决，本项目运营期债券还本付息层面不考虑运营成本。由于本项目为公益性项目，运营期产生税费较少因此暂不纳入还本付息考虑。债券存续期运营收入情况详见表8。</w:t>
      </w:r>
    </w:p>
    <w:p>
      <w:pPr>
        <w:jc w:val="center"/>
        <w:rPr>
          <w:rFonts w:hint="eastAsia" w:ascii="仿宋" w:hAnsi="仿宋" w:eastAsia="仿宋" w:cs="仿宋"/>
          <w:b/>
          <w:color w:val="000000"/>
        </w:rPr>
      </w:pPr>
      <w:r>
        <w:rPr>
          <w:rFonts w:hint="eastAsia" w:ascii="仿宋" w:hAnsi="仿宋" w:eastAsia="仿宋" w:cs="仿宋"/>
          <w:b/>
          <w:color w:val="000000"/>
        </w:rPr>
        <w:t>表8项目收入支出表</w:t>
      </w:r>
    </w:p>
    <w:p>
      <w:pPr>
        <w:ind w:right="57"/>
        <w:contextualSpacing/>
        <w:jc w:val="right"/>
        <w:rPr>
          <w:rFonts w:hint="eastAsia" w:ascii="仿宋" w:hAnsi="仿宋" w:eastAsia="仿宋" w:cs="仿宋"/>
          <w:sz w:val="21"/>
          <w:szCs w:val="20"/>
          <w:lang w:val="en-GB"/>
        </w:rPr>
      </w:pPr>
      <w:r>
        <w:rPr>
          <w:rFonts w:hint="eastAsia" w:ascii="仿宋" w:hAnsi="仿宋" w:eastAsia="仿宋" w:cs="仿宋"/>
          <w:sz w:val="21"/>
          <w:szCs w:val="20"/>
          <w:lang w:val="en-GB"/>
        </w:rPr>
        <w:t>单位：人民币万元</w:t>
      </w:r>
    </w:p>
    <w:tbl>
      <w:tblPr>
        <w:tblStyle w:val="8"/>
        <w:tblW w:w="86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9"/>
        <w:gridCol w:w="123"/>
        <w:gridCol w:w="840"/>
        <w:gridCol w:w="140"/>
        <w:gridCol w:w="655"/>
        <w:gridCol w:w="470"/>
        <w:gridCol w:w="319"/>
        <w:gridCol w:w="818"/>
        <w:gridCol w:w="872"/>
        <w:gridCol w:w="253"/>
        <w:gridCol w:w="576"/>
        <w:gridCol w:w="549"/>
        <w:gridCol w:w="1649"/>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312" w:type="dxa"/>
            <w:gridSpan w:val="2"/>
            <w:shd w:val="clear" w:color="auto" w:fill="auto"/>
            <w:vAlign w:val="center"/>
          </w:tcPr>
          <w:tbl>
            <w:tblPr>
              <w:tblStyle w:val="8"/>
              <w:tblW w:w="1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
              <w:gridCol w:w="236"/>
              <w:gridCol w:w="236"/>
              <w:gridCol w:w="236"/>
              <w:gridCol w:w="236"/>
              <w:gridCol w:w="236"/>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240" w:type="dxa"/>
                  <w:shd w:val="clear" w:color="000000" w:fill="0070C0"/>
                  <w:vAlign w:val="center"/>
                </w:tcPr>
                <w:p>
                  <w:pPr>
                    <w:jc w:val="center"/>
                    <w:rPr>
                      <w:rFonts w:hint="eastAsia" w:ascii="仿宋" w:hAnsi="仿宋" w:eastAsia="仿宋" w:cs="仿宋"/>
                      <w:b/>
                      <w:bCs/>
                      <w:color w:val="FFFFFF"/>
                      <w:sz w:val="20"/>
                      <w:szCs w:val="20"/>
                    </w:rPr>
                  </w:pPr>
                  <w:bookmarkStart w:id="28" w:name="_Hlk150181624"/>
                  <w:r>
                    <w:rPr>
                      <w:rFonts w:hint="eastAsia" w:ascii="仿宋" w:hAnsi="仿宋" w:eastAsia="仿宋" w:cs="仿宋"/>
                      <w:b/>
                      <w:bCs/>
                      <w:color w:val="FFFFFF"/>
                      <w:sz w:val="20"/>
                      <w:szCs w:val="20"/>
                    </w:rPr>
                    <w:t>年度</w:t>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b/>
                      <w:bCs/>
                      <w:color w:val="FFFFFF"/>
                      <w:sz w:val="20"/>
                      <w:szCs w:val="20"/>
                    </w:rPr>
                    <w:t>2024</w:t>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rPr>
                    <w:fldChar w:fldCharType="begin"/>
                  </w:r>
                  <w:r>
                    <w:rPr>
                      <w:rFonts w:hint="eastAsia" w:ascii="仿宋" w:hAnsi="仿宋" w:eastAsia="仿宋" w:cs="仿宋"/>
                    </w:rPr>
                    <w:instrText xml:space="preserve"> HYPERLINK "file:///C:\\Karen%20Gong\\三亚专项债2022\\2023.03环投\\新发\\环投集团打包测算底稿-23年3月新发-20230327【剔除南岛居】.xlsm" \l "RANGE!_ftn1" </w:instrText>
                  </w:r>
                  <w:r>
                    <w:rPr>
                      <w:rFonts w:hint="eastAsia" w:ascii="仿宋" w:hAnsi="仿宋" w:eastAsia="仿宋" w:cs="仿宋"/>
                    </w:rPr>
                    <w:fldChar w:fldCharType="separate"/>
                  </w:r>
                  <w:r>
                    <w:rPr>
                      <w:rFonts w:hint="eastAsia" w:ascii="仿宋" w:hAnsi="仿宋" w:eastAsia="仿宋" w:cs="仿宋"/>
                      <w:b/>
                      <w:bCs/>
                      <w:color w:val="FFFFFF"/>
                      <w:sz w:val="20"/>
                      <w:szCs w:val="20"/>
                    </w:rPr>
                    <w:t>2025</w:t>
                  </w:r>
                  <w:r>
                    <w:rPr>
                      <w:rFonts w:hint="eastAsia" w:ascii="仿宋" w:hAnsi="仿宋" w:eastAsia="仿宋" w:cs="仿宋"/>
                      <w:b/>
                      <w:bCs/>
                      <w:color w:val="FFFFFF"/>
                      <w:sz w:val="20"/>
                      <w:szCs w:val="20"/>
                    </w:rPr>
                    <w:fldChar w:fldCharType="end"/>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b/>
                      <w:bCs/>
                      <w:color w:val="FFFFFF"/>
                      <w:sz w:val="20"/>
                      <w:szCs w:val="20"/>
                    </w:rPr>
                    <w:t>2026</w:t>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b/>
                      <w:bCs/>
                      <w:color w:val="FFFFFF"/>
                      <w:sz w:val="20"/>
                      <w:szCs w:val="20"/>
                    </w:rPr>
                    <w:t>2027</w:t>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b/>
                      <w:bCs/>
                      <w:color w:val="FFFFFF"/>
                      <w:sz w:val="20"/>
                      <w:szCs w:val="20"/>
                    </w:rPr>
                    <w:t>2028</w:t>
                  </w:r>
                </w:p>
              </w:tc>
              <w:tc>
                <w:tcPr>
                  <w:tcW w:w="236" w:type="dxa"/>
                  <w:shd w:val="clear" w:color="000000" w:fill="0070C0"/>
                  <w:noWrap/>
                  <w:vAlign w:val="center"/>
                </w:tcPr>
                <w:p>
                  <w:pPr>
                    <w:jc w:val="center"/>
                    <w:rPr>
                      <w:rFonts w:hint="eastAsia" w:ascii="仿宋" w:hAnsi="仿宋" w:eastAsia="仿宋" w:cs="仿宋"/>
                      <w:b/>
                      <w:bCs/>
                      <w:color w:val="FFFFFF"/>
                      <w:sz w:val="20"/>
                      <w:szCs w:val="20"/>
                    </w:rPr>
                  </w:pPr>
                  <w:r>
                    <w:rPr>
                      <w:rFonts w:hint="eastAsia" w:ascii="仿宋" w:hAnsi="仿宋" w:eastAsia="仿宋" w:cs="仿宋"/>
                      <w:b/>
                      <w:bCs/>
                      <w:color w:val="FFFFFF"/>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0" w:type="dxa"/>
                  <w:shd w:val="clear" w:color="auto" w:fill="auto"/>
                  <w:vAlign w:val="center"/>
                </w:tcPr>
                <w:p>
                  <w:pPr>
                    <w:rPr>
                      <w:rFonts w:hint="eastAsia" w:ascii="仿宋" w:hAnsi="仿宋" w:eastAsia="仿宋" w:cs="仿宋"/>
                      <w:color w:val="000000"/>
                      <w:sz w:val="20"/>
                      <w:szCs w:val="20"/>
                    </w:rPr>
                  </w:pPr>
                  <w:r>
                    <w:rPr>
                      <w:rFonts w:hint="eastAsia" w:ascii="仿宋" w:hAnsi="仿宋" w:eastAsia="仿宋" w:cs="仿宋"/>
                      <w:color w:val="000000"/>
                      <w:sz w:val="20"/>
                      <w:szCs w:val="20"/>
                    </w:rPr>
                    <w:t>供水收入</w:t>
                  </w:r>
                </w:p>
              </w:tc>
              <w:tc>
                <w:tcPr>
                  <w:tcW w:w="236" w:type="dxa"/>
                  <w:shd w:val="clear" w:color="auto" w:fill="auto"/>
                  <w:noWrap/>
                  <w:vAlign w:val="center"/>
                </w:tcPr>
                <w:p>
                  <w:pPr>
                    <w:jc w:val="right"/>
                    <w:rPr>
                      <w:rFonts w:hint="eastAsia" w:ascii="仿宋" w:hAnsi="仿宋" w:eastAsia="仿宋" w:cs="仿宋"/>
                      <w:color w:val="000000"/>
                      <w:sz w:val="20"/>
                      <w:szCs w:val="20"/>
                    </w:rPr>
                  </w:pPr>
                  <w:r>
                    <w:rPr>
                      <w:rFonts w:hint="eastAsia" w:ascii="仿宋" w:hAnsi="仿宋" w:eastAsia="仿宋" w:cs="仿宋"/>
                      <w:sz w:val="20"/>
                      <w:szCs w:val="20"/>
                    </w:rPr>
                    <w:t xml:space="preserve"> 136.80 </w:t>
                  </w:r>
                </w:p>
              </w:tc>
              <w:tc>
                <w:tcPr>
                  <w:tcW w:w="236" w:type="dxa"/>
                  <w:shd w:val="clear" w:color="auto" w:fill="auto"/>
                  <w:noWrap/>
                  <w:vAlign w:val="center"/>
                </w:tcPr>
                <w:p>
                  <w:pPr>
                    <w:jc w:val="right"/>
                    <w:rPr>
                      <w:rFonts w:hint="eastAsia" w:ascii="仿宋" w:hAnsi="仿宋" w:eastAsia="仿宋" w:cs="仿宋"/>
                      <w:color w:val="000000"/>
                      <w:sz w:val="20"/>
                      <w:szCs w:val="20"/>
                    </w:rPr>
                  </w:pPr>
                  <w:r>
                    <w:rPr>
                      <w:rFonts w:hint="eastAsia" w:ascii="仿宋" w:hAnsi="仿宋" w:eastAsia="仿宋" w:cs="仿宋"/>
                      <w:sz w:val="20"/>
                      <w:szCs w:val="20"/>
                    </w:rPr>
                    <w:t xml:space="preserve"> 136.80 </w:t>
                  </w:r>
                </w:p>
              </w:tc>
              <w:tc>
                <w:tcPr>
                  <w:tcW w:w="236" w:type="dxa"/>
                  <w:shd w:val="clear" w:color="auto" w:fill="auto"/>
                  <w:noWrap/>
                  <w:vAlign w:val="center"/>
                </w:tcPr>
                <w:p>
                  <w:pPr>
                    <w:jc w:val="right"/>
                    <w:rPr>
                      <w:rFonts w:hint="eastAsia" w:ascii="仿宋" w:hAnsi="仿宋" w:eastAsia="仿宋" w:cs="仿宋"/>
                      <w:color w:val="000000"/>
                      <w:sz w:val="20"/>
                      <w:szCs w:val="20"/>
                    </w:rPr>
                  </w:pPr>
                  <w:r>
                    <w:rPr>
                      <w:rFonts w:hint="eastAsia" w:ascii="仿宋" w:hAnsi="仿宋" w:eastAsia="仿宋" w:cs="仿宋"/>
                      <w:sz w:val="20"/>
                      <w:szCs w:val="20"/>
                    </w:rPr>
                    <w:t xml:space="preserve"> 136.80 </w:t>
                  </w:r>
                </w:p>
              </w:tc>
              <w:tc>
                <w:tcPr>
                  <w:tcW w:w="236" w:type="dxa"/>
                  <w:shd w:val="clear" w:color="auto" w:fill="auto"/>
                  <w:noWrap/>
                  <w:vAlign w:val="center"/>
                </w:tcPr>
                <w:p>
                  <w:pPr>
                    <w:jc w:val="right"/>
                    <w:rPr>
                      <w:rFonts w:hint="eastAsia" w:ascii="仿宋" w:hAnsi="仿宋" w:eastAsia="仿宋" w:cs="仿宋"/>
                      <w:color w:val="000000"/>
                      <w:sz w:val="20"/>
                      <w:szCs w:val="20"/>
                    </w:rPr>
                  </w:pPr>
                  <w:r>
                    <w:rPr>
                      <w:rFonts w:hint="eastAsia" w:ascii="仿宋" w:hAnsi="仿宋" w:eastAsia="仿宋" w:cs="仿宋"/>
                      <w:sz w:val="20"/>
                      <w:szCs w:val="20"/>
                    </w:rPr>
                    <w:t xml:space="preserve"> 136.80 </w:t>
                  </w:r>
                </w:p>
              </w:tc>
              <w:tc>
                <w:tcPr>
                  <w:tcW w:w="236" w:type="dxa"/>
                  <w:shd w:val="clear" w:color="auto" w:fill="auto"/>
                  <w:noWrap/>
                  <w:vAlign w:val="center"/>
                </w:tcPr>
                <w:p>
                  <w:pPr>
                    <w:jc w:val="right"/>
                    <w:rPr>
                      <w:rFonts w:hint="eastAsia" w:ascii="仿宋" w:hAnsi="仿宋" w:eastAsia="仿宋" w:cs="仿宋"/>
                      <w:color w:val="000000"/>
                      <w:sz w:val="20"/>
                      <w:szCs w:val="20"/>
                    </w:rPr>
                  </w:pPr>
                  <w:r>
                    <w:rPr>
                      <w:rFonts w:hint="eastAsia" w:ascii="仿宋" w:hAnsi="仿宋" w:eastAsia="仿宋" w:cs="仿宋"/>
                      <w:sz w:val="20"/>
                      <w:szCs w:val="20"/>
                    </w:rPr>
                    <w:t xml:space="preserve"> 136.80 </w:t>
                  </w:r>
                </w:p>
              </w:tc>
              <w:tc>
                <w:tcPr>
                  <w:tcW w:w="236" w:type="dxa"/>
                  <w:shd w:val="clear" w:color="auto" w:fill="auto"/>
                  <w:noWrap/>
                  <w:vAlign w:val="center"/>
                </w:tcPr>
                <w:p>
                  <w:pPr>
                    <w:jc w:val="right"/>
                    <w:rPr>
                      <w:rFonts w:hint="eastAsia" w:ascii="仿宋" w:hAnsi="仿宋" w:eastAsia="仿宋" w:cs="仿宋"/>
                      <w:sz w:val="20"/>
                      <w:szCs w:val="20"/>
                    </w:rPr>
                  </w:pPr>
                  <w:r>
                    <w:rPr>
                      <w:rFonts w:hint="eastAsia" w:ascii="仿宋" w:hAnsi="仿宋" w:eastAsia="仿宋" w:cs="仿宋"/>
                      <w:sz w:val="20"/>
                      <w:szCs w:val="20"/>
                    </w:rPr>
                    <w:t xml:space="preserve"> 684.00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trPr>
              <w:tc>
                <w:tcPr>
                  <w:tcW w:w="240" w:type="dxa"/>
                  <w:shd w:val="clear" w:color="auto" w:fill="auto"/>
                  <w:vAlign w:val="center"/>
                </w:tcPr>
                <w:p>
                  <w:pPr>
                    <w:rPr>
                      <w:rFonts w:hint="eastAsia" w:ascii="仿宋" w:hAnsi="仿宋" w:eastAsia="仿宋" w:cs="仿宋"/>
                      <w:b/>
                      <w:bCs/>
                      <w:color w:val="000000"/>
                      <w:sz w:val="20"/>
                      <w:szCs w:val="20"/>
                    </w:rPr>
                  </w:pPr>
                  <w:r>
                    <w:rPr>
                      <w:rFonts w:hint="eastAsia" w:ascii="仿宋" w:hAnsi="仿宋" w:eastAsia="仿宋" w:cs="仿宋"/>
                      <w:b/>
                      <w:bCs/>
                      <w:color w:val="000000"/>
                      <w:sz w:val="20"/>
                      <w:szCs w:val="20"/>
                    </w:rPr>
                    <w:t>收入合计</w:t>
                  </w:r>
                </w:p>
              </w:tc>
              <w:tc>
                <w:tcPr>
                  <w:tcW w:w="236" w:type="dxa"/>
                  <w:shd w:val="clear" w:color="auto" w:fill="auto"/>
                  <w:noWrap/>
                  <w:vAlign w:val="center"/>
                </w:tcPr>
                <w:p>
                  <w:pPr>
                    <w:jc w:val="right"/>
                    <w:rPr>
                      <w:rFonts w:hint="eastAsia" w:ascii="仿宋" w:hAnsi="仿宋" w:eastAsia="仿宋" w:cs="仿宋"/>
                      <w:b/>
                      <w:bCs/>
                      <w:color w:val="000000"/>
                      <w:sz w:val="20"/>
                      <w:szCs w:val="20"/>
                    </w:rPr>
                  </w:pPr>
                  <w:r>
                    <w:rPr>
                      <w:rFonts w:hint="eastAsia" w:ascii="仿宋" w:hAnsi="仿宋" w:eastAsia="仿宋" w:cs="仿宋"/>
                      <w:b/>
                      <w:bCs/>
                      <w:sz w:val="20"/>
                      <w:szCs w:val="20"/>
                    </w:rPr>
                    <w:t xml:space="preserve"> 136.80 </w:t>
                  </w:r>
                </w:p>
              </w:tc>
              <w:tc>
                <w:tcPr>
                  <w:tcW w:w="236" w:type="dxa"/>
                  <w:shd w:val="clear" w:color="auto" w:fill="auto"/>
                  <w:noWrap/>
                  <w:vAlign w:val="center"/>
                </w:tcPr>
                <w:p>
                  <w:pPr>
                    <w:jc w:val="right"/>
                    <w:rPr>
                      <w:rFonts w:hint="eastAsia" w:ascii="仿宋" w:hAnsi="仿宋" w:eastAsia="仿宋" w:cs="仿宋"/>
                      <w:b/>
                      <w:bCs/>
                      <w:color w:val="000000"/>
                      <w:sz w:val="20"/>
                      <w:szCs w:val="20"/>
                    </w:rPr>
                  </w:pPr>
                  <w:r>
                    <w:rPr>
                      <w:rFonts w:hint="eastAsia" w:ascii="仿宋" w:hAnsi="仿宋" w:eastAsia="仿宋" w:cs="仿宋"/>
                      <w:b/>
                      <w:bCs/>
                      <w:sz w:val="20"/>
                      <w:szCs w:val="20"/>
                    </w:rPr>
                    <w:t xml:space="preserve"> 136.80 </w:t>
                  </w:r>
                </w:p>
              </w:tc>
              <w:tc>
                <w:tcPr>
                  <w:tcW w:w="236" w:type="dxa"/>
                  <w:shd w:val="clear" w:color="auto" w:fill="auto"/>
                  <w:noWrap/>
                  <w:vAlign w:val="center"/>
                </w:tcPr>
                <w:p>
                  <w:pPr>
                    <w:jc w:val="right"/>
                    <w:rPr>
                      <w:rFonts w:hint="eastAsia" w:ascii="仿宋" w:hAnsi="仿宋" w:eastAsia="仿宋" w:cs="仿宋"/>
                      <w:b/>
                      <w:bCs/>
                      <w:color w:val="000000"/>
                      <w:sz w:val="20"/>
                      <w:szCs w:val="20"/>
                    </w:rPr>
                  </w:pPr>
                  <w:r>
                    <w:rPr>
                      <w:rFonts w:hint="eastAsia" w:ascii="仿宋" w:hAnsi="仿宋" w:eastAsia="仿宋" w:cs="仿宋"/>
                      <w:b/>
                      <w:bCs/>
                      <w:sz w:val="20"/>
                      <w:szCs w:val="20"/>
                    </w:rPr>
                    <w:t xml:space="preserve"> 136.80 </w:t>
                  </w:r>
                </w:p>
              </w:tc>
              <w:tc>
                <w:tcPr>
                  <w:tcW w:w="236" w:type="dxa"/>
                  <w:shd w:val="clear" w:color="auto" w:fill="auto"/>
                  <w:noWrap/>
                  <w:vAlign w:val="center"/>
                </w:tcPr>
                <w:p>
                  <w:pPr>
                    <w:jc w:val="right"/>
                    <w:rPr>
                      <w:rFonts w:hint="eastAsia" w:ascii="仿宋" w:hAnsi="仿宋" w:eastAsia="仿宋" w:cs="仿宋"/>
                      <w:b/>
                      <w:bCs/>
                      <w:color w:val="000000"/>
                      <w:sz w:val="20"/>
                      <w:szCs w:val="20"/>
                    </w:rPr>
                  </w:pPr>
                  <w:r>
                    <w:rPr>
                      <w:rFonts w:hint="eastAsia" w:ascii="仿宋" w:hAnsi="仿宋" w:eastAsia="仿宋" w:cs="仿宋"/>
                      <w:b/>
                      <w:bCs/>
                      <w:sz w:val="20"/>
                      <w:szCs w:val="20"/>
                    </w:rPr>
                    <w:t xml:space="preserve"> 136.80 </w:t>
                  </w:r>
                </w:p>
              </w:tc>
              <w:tc>
                <w:tcPr>
                  <w:tcW w:w="236" w:type="dxa"/>
                  <w:shd w:val="clear" w:color="auto" w:fill="auto"/>
                  <w:noWrap/>
                  <w:vAlign w:val="center"/>
                </w:tcPr>
                <w:p>
                  <w:pPr>
                    <w:jc w:val="right"/>
                    <w:rPr>
                      <w:rFonts w:hint="eastAsia" w:ascii="仿宋" w:hAnsi="仿宋" w:eastAsia="仿宋" w:cs="仿宋"/>
                      <w:b/>
                      <w:bCs/>
                      <w:color w:val="000000"/>
                      <w:sz w:val="20"/>
                      <w:szCs w:val="20"/>
                    </w:rPr>
                  </w:pPr>
                  <w:r>
                    <w:rPr>
                      <w:rFonts w:hint="eastAsia" w:ascii="仿宋" w:hAnsi="仿宋" w:eastAsia="仿宋" w:cs="仿宋"/>
                      <w:b/>
                      <w:bCs/>
                      <w:sz w:val="20"/>
                      <w:szCs w:val="20"/>
                    </w:rPr>
                    <w:t xml:space="preserve"> 136.80 </w:t>
                  </w:r>
                </w:p>
              </w:tc>
              <w:tc>
                <w:tcPr>
                  <w:tcW w:w="236" w:type="dxa"/>
                  <w:shd w:val="clear" w:color="auto" w:fill="auto"/>
                  <w:noWrap/>
                  <w:vAlign w:val="center"/>
                </w:tcPr>
                <w:p>
                  <w:pPr>
                    <w:jc w:val="right"/>
                    <w:rPr>
                      <w:rFonts w:hint="eastAsia" w:ascii="仿宋" w:hAnsi="仿宋" w:eastAsia="仿宋" w:cs="仿宋"/>
                      <w:b/>
                      <w:bCs/>
                      <w:sz w:val="20"/>
                      <w:szCs w:val="20"/>
                    </w:rPr>
                  </w:pPr>
                  <w:r>
                    <w:rPr>
                      <w:rFonts w:hint="eastAsia" w:ascii="仿宋" w:hAnsi="仿宋" w:eastAsia="仿宋" w:cs="仿宋"/>
                      <w:b/>
                      <w:bCs/>
                      <w:sz w:val="20"/>
                      <w:szCs w:val="20"/>
                    </w:rPr>
                    <w:t xml:space="preserve"> 684.00 </w:t>
                  </w:r>
                </w:p>
              </w:tc>
            </w:tr>
            <w:bookmarkEnd w:id="28"/>
          </w:tbl>
          <w:p>
            <w:pPr>
              <w:rPr>
                <w:rFonts w:hint="eastAsia" w:ascii="仿宋" w:hAnsi="仿宋" w:eastAsia="仿宋" w:cs="仿宋"/>
              </w:rPr>
            </w:pPr>
          </w:p>
        </w:tc>
        <w:tc>
          <w:tcPr>
            <w:tcW w:w="840" w:type="dxa"/>
            <w:shd w:val="clear" w:color="auto" w:fill="auto"/>
            <w:noWrap/>
            <w:vAlign w:val="center"/>
          </w:tcPr>
          <w:p>
            <w:pPr>
              <w:rPr>
                <w:rFonts w:hint="eastAsia" w:ascii="仿宋" w:hAnsi="仿宋" w:eastAsia="仿宋" w:cs="仿宋"/>
              </w:rPr>
            </w:pPr>
          </w:p>
        </w:tc>
        <w:tc>
          <w:tcPr>
            <w:tcW w:w="795" w:type="dxa"/>
            <w:gridSpan w:val="2"/>
            <w:shd w:val="clear" w:color="auto" w:fill="auto"/>
            <w:noWrap/>
            <w:vAlign w:val="center"/>
          </w:tcPr>
          <w:p>
            <w:pPr>
              <w:rPr>
                <w:rFonts w:hint="eastAsia" w:ascii="仿宋" w:hAnsi="仿宋" w:eastAsia="仿宋" w:cs="仿宋"/>
              </w:rPr>
            </w:pPr>
          </w:p>
        </w:tc>
        <w:tc>
          <w:tcPr>
            <w:tcW w:w="789" w:type="dxa"/>
            <w:gridSpan w:val="2"/>
            <w:shd w:val="clear" w:color="auto" w:fill="auto"/>
            <w:noWrap/>
            <w:vAlign w:val="center"/>
          </w:tcPr>
          <w:p>
            <w:pPr>
              <w:rPr>
                <w:rFonts w:hint="eastAsia" w:ascii="仿宋" w:hAnsi="仿宋" w:eastAsia="仿宋" w:cs="仿宋"/>
              </w:rPr>
            </w:pPr>
          </w:p>
        </w:tc>
        <w:tc>
          <w:tcPr>
            <w:tcW w:w="818" w:type="dxa"/>
            <w:shd w:val="clear" w:color="auto" w:fill="auto"/>
            <w:noWrap/>
            <w:vAlign w:val="center"/>
          </w:tcPr>
          <w:p>
            <w:pPr>
              <w:rPr>
                <w:rFonts w:hint="eastAsia" w:ascii="仿宋" w:hAnsi="仿宋" w:eastAsia="仿宋" w:cs="仿宋"/>
              </w:rPr>
            </w:pPr>
          </w:p>
        </w:tc>
        <w:tc>
          <w:tcPr>
            <w:tcW w:w="872" w:type="dxa"/>
            <w:shd w:val="clear" w:color="auto" w:fill="auto"/>
            <w:noWrap/>
            <w:vAlign w:val="center"/>
          </w:tcPr>
          <w:p>
            <w:pPr>
              <w:rPr>
                <w:rFonts w:hint="eastAsia" w:ascii="仿宋" w:hAnsi="仿宋" w:eastAsia="仿宋" w:cs="仿宋"/>
              </w:rPr>
            </w:pPr>
          </w:p>
        </w:tc>
        <w:tc>
          <w:tcPr>
            <w:tcW w:w="829" w:type="dxa"/>
            <w:gridSpan w:val="2"/>
            <w:shd w:val="clear" w:color="auto" w:fill="auto"/>
            <w:noWrap/>
            <w:vAlign w:val="center"/>
          </w:tcPr>
          <w:p>
            <w:pPr>
              <w:rPr>
                <w:rFonts w:hint="eastAsia" w:ascii="仿宋" w:hAnsi="仿宋" w:eastAsia="仿宋" w:cs="仿宋"/>
              </w:rPr>
            </w:pPr>
          </w:p>
        </w:tc>
        <w:tc>
          <w:tcPr>
            <w:tcW w:w="2198" w:type="dxa"/>
            <w:gridSpan w:val="2"/>
            <w:shd w:val="clear" w:color="auto" w:fill="auto"/>
            <w:noWrap/>
            <w:vAlign w:val="center"/>
          </w:tcPr>
          <w:p>
            <w:pPr>
              <w:rPr>
                <w:rFonts w:hint="eastAsia" w:ascii="仿宋" w:hAnsi="仿宋" w:eastAsia="仿宋" w:cs="仿宋"/>
              </w:rPr>
            </w:pPr>
          </w:p>
        </w:tc>
        <w:tc>
          <w:tcPr>
            <w:tcW w:w="236" w:type="dxa"/>
            <w:shd w:val="clear" w:color="auto" w:fill="auto"/>
            <w:noWrap/>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312" w:type="dxa"/>
            <w:gridSpan w:val="2"/>
            <w:shd w:val="clear" w:color="auto" w:fill="auto"/>
            <w:vAlign w:val="center"/>
          </w:tcPr>
          <w:p>
            <w:pPr>
              <w:rPr>
                <w:rFonts w:hint="eastAsia" w:ascii="仿宋" w:hAnsi="仿宋" w:eastAsia="仿宋" w:cs="仿宋"/>
              </w:rPr>
            </w:pPr>
          </w:p>
        </w:tc>
        <w:tc>
          <w:tcPr>
            <w:tcW w:w="840" w:type="dxa"/>
            <w:shd w:val="clear" w:color="auto" w:fill="auto"/>
            <w:noWrap/>
            <w:vAlign w:val="center"/>
          </w:tcPr>
          <w:p>
            <w:pPr>
              <w:rPr>
                <w:rFonts w:hint="eastAsia" w:ascii="仿宋" w:hAnsi="仿宋" w:eastAsia="仿宋" w:cs="仿宋"/>
              </w:rPr>
            </w:pPr>
          </w:p>
        </w:tc>
        <w:tc>
          <w:tcPr>
            <w:tcW w:w="795" w:type="dxa"/>
            <w:gridSpan w:val="2"/>
            <w:shd w:val="clear" w:color="auto" w:fill="auto"/>
            <w:noWrap/>
            <w:vAlign w:val="center"/>
          </w:tcPr>
          <w:p>
            <w:pPr>
              <w:rPr>
                <w:rFonts w:hint="eastAsia" w:ascii="仿宋" w:hAnsi="仿宋" w:eastAsia="仿宋" w:cs="仿宋"/>
              </w:rPr>
            </w:pPr>
          </w:p>
        </w:tc>
        <w:tc>
          <w:tcPr>
            <w:tcW w:w="789" w:type="dxa"/>
            <w:gridSpan w:val="2"/>
            <w:shd w:val="clear" w:color="auto" w:fill="auto"/>
            <w:noWrap/>
            <w:vAlign w:val="center"/>
          </w:tcPr>
          <w:p>
            <w:pPr>
              <w:rPr>
                <w:rFonts w:hint="eastAsia" w:ascii="仿宋" w:hAnsi="仿宋" w:eastAsia="仿宋" w:cs="仿宋"/>
              </w:rPr>
            </w:pPr>
          </w:p>
        </w:tc>
        <w:tc>
          <w:tcPr>
            <w:tcW w:w="818" w:type="dxa"/>
            <w:shd w:val="clear" w:color="auto" w:fill="auto"/>
            <w:noWrap/>
            <w:vAlign w:val="center"/>
          </w:tcPr>
          <w:p>
            <w:pPr>
              <w:rPr>
                <w:rFonts w:hint="eastAsia" w:ascii="仿宋" w:hAnsi="仿宋" w:eastAsia="仿宋" w:cs="仿宋"/>
              </w:rPr>
            </w:pPr>
          </w:p>
        </w:tc>
        <w:tc>
          <w:tcPr>
            <w:tcW w:w="872" w:type="dxa"/>
            <w:shd w:val="clear" w:color="auto" w:fill="auto"/>
            <w:noWrap/>
            <w:vAlign w:val="center"/>
          </w:tcPr>
          <w:p>
            <w:pPr>
              <w:rPr>
                <w:rFonts w:hint="eastAsia" w:ascii="仿宋" w:hAnsi="仿宋" w:eastAsia="仿宋" w:cs="仿宋"/>
              </w:rPr>
            </w:pPr>
          </w:p>
        </w:tc>
        <w:tc>
          <w:tcPr>
            <w:tcW w:w="829" w:type="dxa"/>
            <w:gridSpan w:val="2"/>
            <w:shd w:val="clear" w:color="auto" w:fill="auto"/>
            <w:noWrap/>
            <w:vAlign w:val="center"/>
          </w:tcPr>
          <w:p>
            <w:pPr>
              <w:rPr>
                <w:rFonts w:hint="eastAsia" w:ascii="仿宋" w:hAnsi="仿宋" w:eastAsia="仿宋" w:cs="仿宋"/>
              </w:rPr>
            </w:pPr>
          </w:p>
        </w:tc>
        <w:tc>
          <w:tcPr>
            <w:tcW w:w="2198" w:type="dxa"/>
            <w:gridSpan w:val="2"/>
            <w:shd w:val="clear" w:color="auto" w:fill="auto"/>
            <w:noWrap/>
            <w:vAlign w:val="center"/>
          </w:tcPr>
          <w:p>
            <w:pPr>
              <w:rPr>
                <w:rFonts w:hint="eastAsia" w:ascii="仿宋" w:hAnsi="仿宋" w:eastAsia="仿宋" w:cs="仿宋"/>
              </w:rPr>
            </w:pPr>
          </w:p>
        </w:tc>
        <w:tc>
          <w:tcPr>
            <w:tcW w:w="236" w:type="dxa"/>
            <w:shd w:val="clear" w:color="auto" w:fill="auto"/>
            <w:noWrap/>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312" w:type="dxa"/>
            <w:gridSpan w:val="2"/>
            <w:shd w:val="clear" w:color="auto" w:fill="auto"/>
            <w:vAlign w:val="center"/>
          </w:tcPr>
          <w:p>
            <w:pPr>
              <w:rPr>
                <w:rFonts w:hint="eastAsia" w:ascii="仿宋" w:hAnsi="仿宋" w:eastAsia="仿宋" w:cs="仿宋"/>
              </w:rPr>
            </w:pPr>
          </w:p>
        </w:tc>
        <w:tc>
          <w:tcPr>
            <w:tcW w:w="840" w:type="dxa"/>
            <w:shd w:val="clear" w:color="auto" w:fill="auto"/>
            <w:noWrap/>
            <w:vAlign w:val="center"/>
          </w:tcPr>
          <w:p>
            <w:pPr>
              <w:rPr>
                <w:rFonts w:hint="eastAsia" w:ascii="仿宋" w:hAnsi="仿宋" w:eastAsia="仿宋" w:cs="仿宋"/>
              </w:rPr>
            </w:pPr>
          </w:p>
        </w:tc>
        <w:tc>
          <w:tcPr>
            <w:tcW w:w="795" w:type="dxa"/>
            <w:gridSpan w:val="2"/>
            <w:shd w:val="clear" w:color="auto" w:fill="auto"/>
            <w:noWrap/>
            <w:vAlign w:val="center"/>
          </w:tcPr>
          <w:p>
            <w:pPr>
              <w:rPr>
                <w:rFonts w:hint="eastAsia" w:ascii="仿宋" w:hAnsi="仿宋" w:eastAsia="仿宋" w:cs="仿宋"/>
              </w:rPr>
            </w:pPr>
          </w:p>
        </w:tc>
        <w:tc>
          <w:tcPr>
            <w:tcW w:w="789" w:type="dxa"/>
            <w:gridSpan w:val="2"/>
            <w:shd w:val="clear" w:color="auto" w:fill="auto"/>
            <w:noWrap/>
            <w:vAlign w:val="center"/>
          </w:tcPr>
          <w:p>
            <w:pPr>
              <w:rPr>
                <w:rFonts w:hint="eastAsia" w:ascii="仿宋" w:hAnsi="仿宋" w:eastAsia="仿宋" w:cs="仿宋"/>
              </w:rPr>
            </w:pPr>
          </w:p>
        </w:tc>
        <w:tc>
          <w:tcPr>
            <w:tcW w:w="818" w:type="dxa"/>
            <w:shd w:val="clear" w:color="auto" w:fill="auto"/>
            <w:noWrap/>
            <w:vAlign w:val="center"/>
          </w:tcPr>
          <w:p>
            <w:pPr>
              <w:rPr>
                <w:rFonts w:hint="eastAsia" w:ascii="仿宋" w:hAnsi="仿宋" w:eastAsia="仿宋" w:cs="仿宋"/>
              </w:rPr>
            </w:pPr>
          </w:p>
        </w:tc>
        <w:tc>
          <w:tcPr>
            <w:tcW w:w="872" w:type="dxa"/>
            <w:shd w:val="clear" w:color="auto" w:fill="auto"/>
            <w:noWrap/>
            <w:vAlign w:val="center"/>
          </w:tcPr>
          <w:p>
            <w:pPr>
              <w:rPr>
                <w:rFonts w:hint="eastAsia" w:ascii="仿宋" w:hAnsi="仿宋" w:eastAsia="仿宋" w:cs="仿宋"/>
              </w:rPr>
            </w:pPr>
          </w:p>
        </w:tc>
        <w:tc>
          <w:tcPr>
            <w:tcW w:w="829" w:type="dxa"/>
            <w:gridSpan w:val="2"/>
            <w:shd w:val="clear" w:color="auto" w:fill="auto"/>
            <w:noWrap/>
            <w:vAlign w:val="center"/>
          </w:tcPr>
          <w:p>
            <w:pPr>
              <w:rPr>
                <w:rFonts w:hint="eastAsia" w:ascii="仿宋" w:hAnsi="仿宋" w:eastAsia="仿宋" w:cs="仿宋"/>
              </w:rPr>
            </w:pPr>
          </w:p>
        </w:tc>
        <w:tc>
          <w:tcPr>
            <w:tcW w:w="2198" w:type="dxa"/>
            <w:gridSpan w:val="2"/>
            <w:shd w:val="clear" w:color="auto" w:fill="auto"/>
            <w:noWrap/>
            <w:vAlign w:val="center"/>
          </w:tcPr>
          <w:p>
            <w:pPr>
              <w:rPr>
                <w:rFonts w:hint="eastAsia" w:ascii="仿宋" w:hAnsi="仿宋" w:eastAsia="仿宋" w:cs="仿宋"/>
              </w:rPr>
            </w:pPr>
          </w:p>
        </w:tc>
        <w:tc>
          <w:tcPr>
            <w:tcW w:w="236" w:type="dxa"/>
            <w:shd w:val="clear" w:color="auto" w:fill="auto"/>
            <w:noWrap/>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Height w:val="336" w:hRule="atLeast"/>
          <w:jc w:val="center"/>
        </w:trPr>
        <w:tc>
          <w:tcPr>
            <w:tcW w:w="1189" w:type="dxa"/>
            <w:shd w:val="clear" w:color="auto" w:fill="auto"/>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年度</w:t>
            </w:r>
          </w:p>
        </w:tc>
        <w:tc>
          <w:tcPr>
            <w:tcW w:w="1103" w:type="dxa"/>
            <w:gridSpan w:val="3"/>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2024</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fldChar w:fldCharType="begin"/>
            </w:r>
            <w:r>
              <w:rPr>
                <w:rFonts w:hint="eastAsia" w:ascii="仿宋" w:hAnsi="仿宋" w:eastAsia="仿宋" w:cs="仿宋"/>
                <w:b/>
                <w:bCs/>
                <w:sz w:val="17"/>
                <w:szCs w:val="17"/>
              </w:rPr>
              <w:instrText xml:space="preserve"> HYPERLINK "file:///C:\\Karen%20Gong\\三亚专项债2022\\2023.03环投\\新发\\环投集团打包测算底稿-23年3月新发-20230327【剔除南岛居】.xlsm" \l "RANGE!_ftn1" </w:instrText>
            </w:r>
            <w:r>
              <w:rPr>
                <w:rFonts w:hint="eastAsia" w:ascii="仿宋" w:hAnsi="仿宋" w:eastAsia="仿宋" w:cs="仿宋"/>
                <w:b/>
                <w:bCs/>
                <w:sz w:val="17"/>
                <w:szCs w:val="17"/>
              </w:rPr>
              <w:fldChar w:fldCharType="separate"/>
            </w:r>
            <w:r>
              <w:rPr>
                <w:rFonts w:hint="eastAsia" w:ascii="仿宋" w:hAnsi="仿宋" w:eastAsia="仿宋" w:cs="仿宋"/>
                <w:b/>
                <w:bCs/>
                <w:color w:val="auto"/>
                <w:sz w:val="17"/>
                <w:szCs w:val="17"/>
              </w:rPr>
              <w:t>2025</w:t>
            </w:r>
            <w:r>
              <w:rPr>
                <w:rFonts w:hint="eastAsia" w:ascii="仿宋" w:hAnsi="仿宋" w:eastAsia="仿宋" w:cs="仿宋"/>
                <w:b/>
                <w:bCs/>
                <w:color w:val="auto"/>
                <w:sz w:val="17"/>
                <w:szCs w:val="17"/>
              </w:rPr>
              <w:fldChar w:fldCharType="end"/>
            </w:r>
          </w:p>
        </w:tc>
        <w:tc>
          <w:tcPr>
            <w:tcW w:w="1137"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2026</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2027</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2028</w:t>
            </w:r>
          </w:p>
        </w:tc>
        <w:tc>
          <w:tcPr>
            <w:tcW w:w="1649" w:type="dxa"/>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color w:val="auto"/>
                <w:sz w:val="17"/>
                <w:szCs w:val="17"/>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Height w:val="324" w:hRule="atLeast"/>
          <w:jc w:val="center"/>
        </w:trPr>
        <w:tc>
          <w:tcPr>
            <w:tcW w:w="1189" w:type="dxa"/>
            <w:shd w:val="clear" w:color="auto" w:fill="auto"/>
            <w:vAlign w:val="center"/>
          </w:tcPr>
          <w:p>
            <w:pPr>
              <w:jc w:val="both"/>
              <w:rPr>
                <w:rFonts w:hint="eastAsia" w:ascii="仿宋" w:hAnsi="仿宋" w:eastAsia="仿宋" w:cs="仿宋"/>
                <w:color w:val="auto"/>
                <w:sz w:val="17"/>
                <w:szCs w:val="17"/>
              </w:rPr>
            </w:pPr>
            <w:r>
              <w:rPr>
                <w:rFonts w:hint="eastAsia" w:ascii="仿宋" w:hAnsi="仿宋" w:eastAsia="仿宋" w:cs="仿宋"/>
                <w:color w:val="auto"/>
                <w:sz w:val="17"/>
                <w:szCs w:val="17"/>
              </w:rPr>
              <w:t>供水收入</w:t>
            </w:r>
          </w:p>
        </w:tc>
        <w:tc>
          <w:tcPr>
            <w:tcW w:w="1103" w:type="dxa"/>
            <w:gridSpan w:val="3"/>
            <w:shd w:val="clear" w:color="auto" w:fill="auto"/>
            <w:noWrap/>
            <w:vAlign w:val="center"/>
          </w:tcPr>
          <w:p>
            <w:pPr>
              <w:jc w:val="center"/>
              <w:rPr>
                <w:rFonts w:hint="eastAsia" w:ascii="仿宋" w:hAnsi="仿宋" w:eastAsia="仿宋" w:cs="仿宋"/>
                <w:color w:val="auto"/>
                <w:sz w:val="17"/>
                <w:szCs w:val="17"/>
              </w:rPr>
            </w:pPr>
            <w:r>
              <w:rPr>
                <w:rFonts w:hint="eastAsia" w:ascii="仿宋" w:hAnsi="仿宋" w:eastAsia="仿宋" w:cs="仿宋"/>
                <w:sz w:val="17"/>
                <w:szCs w:val="17"/>
              </w:rPr>
              <w:t>136.80</w:t>
            </w:r>
          </w:p>
        </w:tc>
        <w:tc>
          <w:tcPr>
            <w:tcW w:w="1125" w:type="dxa"/>
            <w:gridSpan w:val="2"/>
            <w:shd w:val="clear" w:color="auto" w:fill="auto"/>
            <w:noWrap/>
            <w:vAlign w:val="center"/>
          </w:tcPr>
          <w:p>
            <w:pPr>
              <w:jc w:val="center"/>
              <w:rPr>
                <w:rFonts w:hint="eastAsia" w:ascii="仿宋" w:hAnsi="仿宋" w:eastAsia="仿宋" w:cs="仿宋"/>
                <w:color w:val="auto"/>
                <w:sz w:val="17"/>
                <w:szCs w:val="17"/>
              </w:rPr>
            </w:pPr>
            <w:r>
              <w:rPr>
                <w:rFonts w:hint="eastAsia" w:ascii="仿宋" w:hAnsi="仿宋" w:eastAsia="仿宋" w:cs="仿宋"/>
                <w:sz w:val="17"/>
                <w:szCs w:val="17"/>
              </w:rPr>
              <w:t>136.80</w:t>
            </w:r>
          </w:p>
        </w:tc>
        <w:tc>
          <w:tcPr>
            <w:tcW w:w="1137" w:type="dxa"/>
            <w:gridSpan w:val="2"/>
            <w:shd w:val="clear" w:color="auto" w:fill="auto"/>
            <w:noWrap/>
            <w:vAlign w:val="center"/>
          </w:tcPr>
          <w:p>
            <w:pPr>
              <w:jc w:val="center"/>
              <w:rPr>
                <w:rFonts w:hint="eastAsia" w:ascii="仿宋" w:hAnsi="仿宋" w:eastAsia="仿宋" w:cs="仿宋"/>
                <w:color w:val="auto"/>
                <w:sz w:val="17"/>
                <w:szCs w:val="17"/>
              </w:rPr>
            </w:pPr>
            <w:r>
              <w:rPr>
                <w:rFonts w:hint="eastAsia" w:ascii="仿宋" w:hAnsi="仿宋" w:eastAsia="仿宋" w:cs="仿宋"/>
                <w:sz w:val="17"/>
                <w:szCs w:val="17"/>
              </w:rPr>
              <w:t>136.80</w:t>
            </w:r>
          </w:p>
        </w:tc>
        <w:tc>
          <w:tcPr>
            <w:tcW w:w="1125" w:type="dxa"/>
            <w:gridSpan w:val="2"/>
            <w:shd w:val="clear" w:color="auto" w:fill="auto"/>
            <w:noWrap/>
            <w:vAlign w:val="center"/>
          </w:tcPr>
          <w:p>
            <w:pPr>
              <w:jc w:val="center"/>
              <w:rPr>
                <w:rFonts w:hint="eastAsia" w:ascii="仿宋" w:hAnsi="仿宋" w:eastAsia="仿宋" w:cs="仿宋"/>
                <w:color w:val="auto"/>
                <w:sz w:val="17"/>
                <w:szCs w:val="17"/>
              </w:rPr>
            </w:pPr>
            <w:r>
              <w:rPr>
                <w:rFonts w:hint="eastAsia" w:ascii="仿宋" w:hAnsi="仿宋" w:eastAsia="仿宋" w:cs="仿宋"/>
                <w:sz w:val="17"/>
                <w:szCs w:val="17"/>
              </w:rPr>
              <w:t>136.80</w:t>
            </w:r>
          </w:p>
        </w:tc>
        <w:tc>
          <w:tcPr>
            <w:tcW w:w="1125" w:type="dxa"/>
            <w:gridSpan w:val="2"/>
            <w:shd w:val="clear" w:color="auto" w:fill="auto"/>
            <w:noWrap/>
            <w:vAlign w:val="center"/>
          </w:tcPr>
          <w:p>
            <w:pPr>
              <w:jc w:val="center"/>
              <w:rPr>
                <w:rFonts w:hint="eastAsia" w:ascii="仿宋" w:hAnsi="仿宋" w:eastAsia="仿宋" w:cs="仿宋"/>
                <w:color w:val="auto"/>
                <w:sz w:val="17"/>
                <w:szCs w:val="17"/>
              </w:rPr>
            </w:pPr>
            <w:r>
              <w:rPr>
                <w:rFonts w:hint="eastAsia" w:ascii="仿宋" w:hAnsi="仿宋" w:eastAsia="仿宋" w:cs="仿宋"/>
                <w:sz w:val="17"/>
                <w:szCs w:val="17"/>
              </w:rPr>
              <w:t>136.80</w:t>
            </w:r>
          </w:p>
        </w:tc>
        <w:tc>
          <w:tcPr>
            <w:tcW w:w="1649" w:type="dxa"/>
            <w:shd w:val="clear" w:color="auto" w:fill="auto"/>
            <w:noWrap/>
            <w:vAlign w:val="center"/>
          </w:tcPr>
          <w:p>
            <w:pPr>
              <w:jc w:val="center"/>
              <w:rPr>
                <w:rFonts w:hint="eastAsia" w:ascii="仿宋" w:hAnsi="仿宋" w:eastAsia="仿宋" w:cs="仿宋"/>
                <w:sz w:val="17"/>
                <w:szCs w:val="17"/>
              </w:rPr>
            </w:pPr>
            <w:r>
              <w:rPr>
                <w:rFonts w:hint="eastAsia" w:ascii="仿宋" w:hAnsi="仿宋" w:eastAsia="仿宋" w:cs="仿宋"/>
                <w:sz w:val="17"/>
                <w:szCs w:val="17"/>
              </w:rPr>
              <w:t>684.00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36" w:type="dxa"/>
          <w:trHeight w:val="324" w:hRule="atLeast"/>
          <w:jc w:val="center"/>
        </w:trPr>
        <w:tc>
          <w:tcPr>
            <w:tcW w:w="1189" w:type="dxa"/>
            <w:shd w:val="clear" w:color="auto" w:fill="auto"/>
            <w:vAlign w:val="center"/>
          </w:tcPr>
          <w:p>
            <w:pPr>
              <w:jc w:val="both"/>
              <w:rPr>
                <w:rFonts w:hint="eastAsia" w:ascii="仿宋" w:hAnsi="仿宋" w:eastAsia="仿宋" w:cs="仿宋"/>
                <w:b/>
                <w:bCs/>
                <w:color w:val="auto"/>
                <w:sz w:val="17"/>
                <w:szCs w:val="17"/>
              </w:rPr>
            </w:pPr>
            <w:r>
              <w:rPr>
                <w:rFonts w:hint="eastAsia" w:ascii="仿宋" w:hAnsi="仿宋" w:eastAsia="仿宋" w:cs="仿宋"/>
                <w:b/>
                <w:bCs/>
                <w:color w:val="auto"/>
                <w:sz w:val="17"/>
                <w:szCs w:val="17"/>
              </w:rPr>
              <w:t>收入合计</w:t>
            </w:r>
          </w:p>
        </w:tc>
        <w:tc>
          <w:tcPr>
            <w:tcW w:w="1103" w:type="dxa"/>
            <w:gridSpan w:val="3"/>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t>136.80</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t>136.80</w:t>
            </w:r>
          </w:p>
        </w:tc>
        <w:tc>
          <w:tcPr>
            <w:tcW w:w="1137"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t>136.80</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t>136.80</w:t>
            </w:r>
          </w:p>
        </w:tc>
        <w:tc>
          <w:tcPr>
            <w:tcW w:w="1125" w:type="dxa"/>
            <w:gridSpan w:val="2"/>
            <w:shd w:val="clear" w:color="auto" w:fill="auto"/>
            <w:noWrap/>
            <w:vAlign w:val="center"/>
          </w:tcPr>
          <w:p>
            <w:pPr>
              <w:jc w:val="center"/>
              <w:rPr>
                <w:rFonts w:hint="eastAsia" w:ascii="仿宋" w:hAnsi="仿宋" w:eastAsia="仿宋" w:cs="仿宋"/>
                <w:b/>
                <w:bCs/>
                <w:color w:val="auto"/>
                <w:sz w:val="17"/>
                <w:szCs w:val="17"/>
              </w:rPr>
            </w:pPr>
            <w:r>
              <w:rPr>
                <w:rFonts w:hint="eastAsia" w:ascii="仿宋" w:hAnsi="仿宋" w:eastAsia="仿宋" w:cs="仿宋"/>
                <w:b/>
                <w:bCs/>
                <w:sz w:val="17"/>
                <w:szCs w:val="17"/>
              </w:rPr>
              <w:t>136.80</w:t>
            </w:r>
          </w:p>
        </w:tc>
        <w:tc>
          <w:tcPr>
            <w:tcW w:w="1649" w:type="dxa"/>
            <w:shd w:val="clear" w:color="auto" w:fill="auto"/>
            <w:noWrap/>
            <w:vAlign w:val="center"/>
          </w:tcPr>
          <w:p>
            <w:pPr>
              <w:jc w:val="center"/>
              <w:rPr>
                <w:rFonts w:hint="eastAsia" w:ascii="仿宋" w:hAnsi="仿宋" w:eastAsia="仿宋" w:cs="仿宋"/>
                <w:b/>
                <w:bCs/>
                <w:sz w:val="17"/>
                <w:szCs w:val="17"/>
              </w:rPr>
            </w:pPr>
            <w:r>
              <w:rPr>
                <w:rFonts w:hint="eastAsia" w:ascii="仿宋" w:hAnsi="仿宋" w:eastAsia="仿宋" w:cs="仿宋"/>
                <w:b/>
                <w:bCs/>
                <w:sz w:val="17"/>
                <w:szCs w:val="17"/>
              </w:rPr>
              <w:t>684.00</w:t>
            </w:r>
          </w:p>
        </w:tc>
      </w:tr>
    </w:tbl>
    <w:p>
      <w:pPr>
        <w:pStyle w:val="3"/>
        <w:ind w:firstLine="640"/>
        <w:rPr>
          <w:rFonts w:hint="eastAsia" w:ascii="仿宋" w:hAnsi="仿宋" w:eastAsia="仿宋" w:cs="仿宋"/>
        </w:rPr>
      </w:pP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五、主管部门责任</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本债券项目财政部门为三亚市财政局，负责按照专项债务管理规定，审核确定专项债券项目融资平衡方案及相关管理办法，组织做好信息披露等工作，负责组织项目专项债券发行工作，负责组织项目对应专项债券还本付息等存续期管理，负责组织建立相应的资产登记和统计报告制度，会同主管部门、项目单位加强专项债券项目对应资产管理。</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本债券项目主管部门为三亚市吉阳区水务局，负责组织制定专项债券项目融资平衡方案，督促指导项目单位做好项目专项债券发行准备工作和信息披露有关工作；负责对项目建设、资金使用和还本付息进行监督，指导项目单位加快项目建设、规范专项债券资金使用，加快专项债券资金支出使用进度；合理评估发行项目专项债券对应项目风险并组织风险应对工作；负责编制项目专项债券还本付息年度预算，督促项目单位及时上缴项目收益用于还本付息，确保债券还本付息不出任何风险；负责及时组织项目单位将项目形成的资产进行资产登记管理。</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本债券项目单位为三亚市吉阳区水务局，负责按照债券发行组织统一安排，研究制定专项债券项目融资平衡方案，及时提供项目专项债券发行和信息披露有关项目信息工作；负责项目建设、运营管理，规范专项债券资金使用，加快专项债券资金支出使用进度；负责分析预测发行项目专项债券对应项目风险并提出应对措施；负责落实债券还本付息资金来源，按时足额缴交项目对应的政府性基金预算收入和专项收入。负责按照项债券项目穿透管理要求，及时、规范填专项债券资金支出使用和专项收入收缴等信息录入；负责及时将项目形成的资产按照约定的产权归属进行资产登记管理。</w:t>
      </w: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六、事前绩效评估</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（一）项目实施的必要性、公益性、收益性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随着“自由贸易试验区”、“中国特色自由贸易港”建设理念的提出，海南省尤其是三亚市的建设、发展进入了一个崭新的时期。为了改善城市环境质量，促进城市经济、社会和环境持续、协调发展，尽快推进城市环境治理工程，完善城市基础设施建设已刻不容缓。同时，优美、和谐的人居环境是高品质生活质量的重要内容，要提高人民物质生活水平，就必须以保障和改善民生为重点，本项目的建设，切实有效地解决三亚市用水及供水问题，助力三亚市供水系统完善，极大地改善居民的生活环境和基础设施，进一步提高整个地区的水环境质量，对沿线和下游的居民更有实在意义。</w:t>
      </w:r>
    </w:p>
    <w:p>
      <w:pPr>
        <w:pStyle w:val="2"/>
        <w:spacing w:before="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综上所述，</w:t>
      </w:r>
      <w:r>
        <w:rPr>
          <w:rFonts w:hint="eastAsia" w:ascii="仿宋" w:hAnsi="仿宋" w:eastAsia="仿宋" w:cs="仿宋"/>
          <w:color w:val="000000"/>
          <w:kern w:val="2"/>
          <w:sz w:val="28"/>
          <w:szCs w:val="28"/>
          <w:lang w:val="en-US"/>
        </w:rPr>
        <w:t>本项目的建设，是贯彻和执行三亚市加强环境治理、节能减排工作的需要，是保护环境，改善市民生活品质及生活环境、改善投资环境、增强可持续发展后劲的需要。</w:t>
      </w:r>
      <w:r>
        <w:rPr>
          <w:rFonts w:hint="eastAsia" w:ascii="仿宋" w:hAnsi="仿宋" w:eastAsia="仿宋" w:cs="仿宋"/>
          <w:color w:val="000000"/>
          <w:kern w:val="2"/>
          <w:sz w:val="28"/>
          <w:szCs w:val="28"/>
        </w:rPr>
        <w:t>该项目的建设可以提高三亚市的综合服务能力，提升三亚市公共服务水平，提升三亚市公共形象，</w:t>
      </w:r>
      <w:r>
        <w:rPr>
          <w:rFonts w:hint="eastAsia" w:ascii="仿宋" w:hAnsi="仿宋" w:eastAsia="仿宋" w:cs="仿宋"/>
          <w:color w:val="000000"/>
          <w:kern w:val="2"/>
          <w:sz w:val="28"/>
          <w:szCs w:val="28"/>
          <w:lang w:val="en-US"/>
        </w:rPr>
        <w:t>具有十分重要的意义，本项目建设是非常必要的。</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（二）项目建设投资合规性与项目成熟度</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项目建设投资符合相关规定、流程，根据已取得项目单位提供的相关资料中关于项目的批复文件，取得必要论证。部分项目已完成立项审批等工作，目前已处于施工阶段，具备成熟度。</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（三）项目资金来源和到位可行性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本项目为政府投资项目，全部资金均由财政资金及专项债券筹集，资金应能按时拨付到位。</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（四）项目收入、成本、收益预测合理性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本项目专项债券以经营收益为还本付息基础，收入来源主要为供水收入。前述收益作为专项债券还本付息来源。债券存续期间，还本付息的供水收入合计为684.00 万元。</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根据资金平衡测算分析，项目预计债券本金资金覆盖率可达到1.23，债券本息资金覆盖率可达到1.21，债券本息资金覆盖倍数可达到1.21倍，能够满足债券还本付息的需求。</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另外，在对运营收益和债券利率变动进行压力测试后，结果显示，本项目在运营收入下降15%或债券利率上升15%时，项目收益仍能覆盖债券的还本付息，项目具备一定的抗风险能力。项目收入、成本、收益预测具备合理性。</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（五）债券资金需求合理性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结合建设资金需求及项目财政资金款项到账时间节点，为保障项目建设期间资金需求，项目通过发行专项债券筹集资金。同时，本项目专项债券将依照项目现金流结余情况，降低利息费用，提高资金使用效率，已考虑运营收益、债券利率等因素变动对专项债券本息资金覆盖情况的影响。总体而言，本项目通过调剂专项债可实现降低融资成本，是现阶段解决本项目融资资金问题的推荐方案，申请调剂债券资金需求合理。</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（六）项目偿债计划可行性和偿债风险点</w:t>
      </w:r>
    </w:p>
    <w:p>
      <w:pPr>
        <w:widowControl w:val="0"/>
        <w:spacing w:after="16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项目偿债计划为拟在还本付息年份内，安排运营收入等作为债券偿债的主要来源，依据供水量等数据可以测算得出本项目未来用于还本付息的运营收入可以覆盖债券还本付息，具备可行性。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但尽管上述对于运营收入预测遵循了谨慎性原则进行保守推测，但是由于实际工期延误、采购成本等受宏观经济及市场影响较大，存在以上偿债风险点，详见“七、风险评估”。</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（七）绩效目标合理性</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在本次事前绩效目标的评估中，项目单位已根据项目情况设置了成本指标、可持续影响指标、服务对象满意度指标等三项事前绩效目标。已设置的绩效目标及指标均可量化考核，匹配项目实际情况，基本已完整覆盖，契合了本项目对我市基础设施推进作用的实质，与我市长期规划目标、年度工作目标相一致，产出和效果目标紧密相连。</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（八）其他需要纳入事前绩效评估的事项</w:t>
      </w:r>
    </w:p>
    <w:p>
      <w:pPr>
        <w:widowControl w:val="0"/>
        <w:spacing w:before="120" w:after="120" w:line="360" w:lineRule="auto"/>
        <w:ind w:firstLine="560" w:firstLineChars="200"/>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暂无。</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GB"/>
          <w14:textFill>
            <w14:solidFill>
              <w14:schemeClr w14:val="tx1"/>
            </w14:solidFill>
          </w14:textFill>
        </w:rPr>
        <w:t>（九）整体结论</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综上，本项目经事前绩效评估，是已具备调剂专项债券资金支持的必要性和可行性。</w:t>
      </w: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七、风险评估</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bookmarkStart w:id="29" w:name="_Toc20908"/>
      <w:bookmarkStart w:id="30" w:name="_Toc498551274"/>
      <w:bookmarkStart w:id="31" w:name="_Toc498385095"/>
      <w:bookmarkStart w:id="32" w:name="_Toc498385763"/>
      <w:r>
        <w:rPr>
          <w:rFonts w:hint="eastAsia" w:ascii="仿宋" w:hAnsi="仿宋" w:eastAsia="仿宋" w:cs="仿宋"/>
          <w:b/>
          <w:bCs/>
          <w:color w:val="000000" w:themeColor="text1"/>
          <w:sz w:val="28"/>
          <w:szCs w:val="28"/>
          <w:lang w:val="en-GB"/>
          <w14:textFill>
            <w14:solidFill>
              <w14:schemeClr w14:val="tx1"/>
            </w14:solidFill>
          </w14:textFill>
        </w:rPr>
        <w:t>（一）影响项目施工进度或正常运营的风险及控制措施</w:t>
      </w:r>
      <w:bookmarkEnd w:id="29"/>
      <w:bookmarkEnd w:id="30"/>
      <w:bookmarkEnd w:id="31"/>
      <w:bookmarkEnd w:id="32"/>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33" w:name="_Toc498385096"/>
      <w:bookmarkStart w:id="34" w:name="_Toc498551275"/>
      <w:bookmarkStart w:id="35" w:name="_Toc498385764"/>
      <w:bookmarkStart w:id="36" w:name="_Toc23168"/>
      <w:r>
        <w:rPr>
          <w:rFonts w:hint="eastAsia" w:ascii="仿宋" w:hAnsi="仿宋" w:eastAsia="仿宋" w:cs="仿宋"/>
          <w:b/>
          <w:bCs/>
          <w:color w:val="000000" w:themeColor="text1"/>
          <w:sz w:val="28"/>
          <w:szCs w:val="28"/>
          <w14:textFill>
            <w14:solidFill>
              <w14:schemeClr w14:val="tx1"/>
            </w14:solidFill>
          </w14:textFill>
        </w:rPr>
        <w:t>1</w:t>
      </w:r>
      <w:bookmarkEnd w:id="33"/>
      <w:bookmarkEnd w:id="34"/>
      <w:bookmarkEnd w:id="35"/>
      <w:r>
        <w:rPr>
          <w:rFonts w:hint="eastAsia" w:ascii="仿宋" w:hAnsi="仿宋" w:eastAsia="仿宋" w:cs="仿宋"/>
          <w:b/>
          <w:bCs/>
          <w:color w:val="000000" w:themeColor="text1"/>
          <w:sz w:val="28"/>
          <w:szCs w:val="28"/>
          <w14:textFill>
            <w14:solidFill>
              <w14:schemeClr w14:val="tx1"/>
            </w14:solidFill>
          </w14:textFill>
        </w:rPr>
        <w:t>.政策风险</w:t>
      </w:r>
      <w:bookmarkEnd w:id="36"/>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包括政治变动、国家法规、产业政策、货币政策、财政政策等国家政策的变化对承办单位投资的相关产业产生影响，可能导致所投资项目的市场变动，从而影响项目建设。本项目为公益性项目，面临的政策性风险较小。</w:t>
      </w:r>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37" w:name="_Toc498385765"/>
      <w:bookmarkStart w:id="38" w:name="_Toc498551276"/>
      <w:bookmarkStart w:id="39" w:name="_Toc498385097"/>
      <w:bookmarkStart w:id="40" w:name="_Toc26505"/>
      <w:r>
        <w:rPr>
          <w:rFonts w:hint="eastAsia" w:ascii="仿宋" w:hAnsi="仿宋" w:eastAsia="仿宋" w:cs="仿宋"/>
          <w:b/>
          <w:bCs/>
          <w:color w:val="000000" w:themeColor="text1"/>
          <w:sz w:val="28"/>
          <w:szCs w:val="28"/>
          <w14:textFill>
            <w14:solidFill>
              <w14:schemeClr w14:val="tx1"/>
            </w14:solidFill>
          </w14:textFill>
        </w:rPr>
        <w:t>2</w:t>
      </w:r>
      <w:bookmarkEnd w:id="37"/>
      <w:bookmarkEnd w:id="38"/>
      <w:bookmarkEnd w:id="39"/>
      <w:r>
        <w:rPr>
          <w:rFonts w:hint="eastAsia" w:ascii="仿宋" w:hAnsi="仿宋" w:eastAsia="仿宋" w:cs="仿宋"/>
          <w:b/>
          <w:bCs/>
          <w:color w:val="000000" w:themeColor="text1"/>
          <w:sz w:val="28"/>
          <w:szCs w:val="28"/>
          <w14:textFill>
            <w14:solidFill>
              <w14:schemeClr w14:val="tx1"/>
            </w14:solidFill>
          </w14:textFill>
        </w:rPr>
        <w:t>.项目实施与管理风险</w:t>
      </w:r>
      <w:bookmarkEnd w:id="40"/>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项目建设期间严格执行文明施工标准，确保项目对民众生活的影响降至最低。</w:t>
      </w:r>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41" w:name="_Toc22995"/>
      <w:r>
        <w:rPr>
          <w:rFonts w:hint="eastAsia" w:ascii="仿宋" w:hAnsi="仿宋" w:eastAsia="仿宋" w:cs="仿宋"/>
          <w:b/>
          <w:bCs/>
          <w:color w:val="000000" w:themeColor="text1"/>
          <w:sz w:val="28"/>
          <w:szCs w:val="28"/>
          <w14:textFill>
            <w14:solidFill>
              <w14:schemeClr w14:val="tx1"/>
            </w14:solidFill>
          </w14:textFill>
        </w:rPr>
        <w:t>3.财务风险</w:t>
      </w:r>
      <w:bookmarkEnd w:id="41"/>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项目总投资规模较大，可能会形成由于资金落实不到位，使项目工期延长，无法按时完成项目建设的风险。项目资金来源拟通过财政拨款、申请发行债券解决，在债券资金的支撑下，项目的实施将会顺利进行，因此，项目面临的财务风险较小。</w:t>
      </w:r>
    </w:p>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bookmarkStart w:id="42" w:name="_Toc498385766"/>
      <w:bookmarkStart w:id="43" w:name="_Toc498385098"/>
      <w:bookmarkStart w:id="44" w:name="_Toc17161"/>
      <w:bookmarkStart w:id="45" w:name="_Toc498551277"/>
      <w:r>
        <w:rPr>
          <w:rFonts w:hint="eastAsia" w:ascii="仿宋" w:hAnsi="仿宋" w:eastAsia="仿宋" w:cs="仿宋"/>
          <w:b/>
          <w:bCs/>
          <w:color w:val="000000" w:themeColor="text1"/>
          <w:sz w:val="28"/>
          <w:szCs w:val="28"/>
          <w:lang w:val="en-GB"/>
          <w14:textFill>
            <w14:solidFill>
              <w14:schemeClr w14:val="tx1"/>
            </w14:solidFill>
          </w14:textFill>
        </w:rPr>
        <w:t>（二）影响项目收益的风险及控制措施</w:t>
      </w:r>
      <w:bookmarkEnd w:id="42"/>
      <w:bookmarkEnd w:id="43"/>
      <w:bookmarkEnd w:id="44"/>
      <w:bookmarkEnd w:id="45"/>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46" w:name="_Toc5648"/>
      <w:bookmarkStart w:id="47" w:name="_Toc498551278"/>
      <w:bookmarkStart w:id="48" w:name="_Toc498385099"/>
      <w:bookmarkStart w:id="49" w:name="_Toc498385767"/>
      <w:r>
        <w:rPr>
          <w:rFonts w:hint="eastAsia" w:ascii="仿宋" w:hAnsi="仿宋" w:eastAsia="仿宋" w:cs="仿宋"/>
          <w:b/>
          <w:bCs/>
          <w:color w:val="000000" w:themeColor="text1"/>
          <w:sz w:val="28"/>
          <w:szCs w:val="28"/>
          <w14:textFill>
            <w14:solidFill>
              <w14:schemeClr w14:val="tx1"/>
            </w14:solidFill>
          </w14:textFill>
        </w:rPr>
        <w:t>1.工程项目总投资不准确风险</w:t>
      </w:r>
      <w:bookmarkEnd w:id="46"/>
      <w:bookmarkEnd w:id="47"/>
    </w:p>
    <w:p>
      <w:pPr>
        <w:spacing w:before="120" w:after="120" w:line="360" w:lineRule="auto"/>
        <w:ind w:firstLine="560" w:firstLineChars="200"/>
        <w:jc w:val="both"/>
        <w:rPr>
          <w:rFonts w:hint="eastAsia" w:ascii="仿宋" w:hAnsi="仿宋" w:eastAsia="仿宋" w:cs="仿宋"/>
          <w:sz w:val="28"/>
          <w:szCs w:val="28"/>
          <w:lang w:val="en-GB"/>
        </w:rPr>
      </w:pPr>
      <w:bookmarkStart w:id="50" w:name="_Toc498551279"/>
      <w:r>
        <w:rPr>
          <w:rFonts w:hint="eastAsia" w:ascii="仿宋" w:hAnsi="仿宋" w:eastAsia="仿宋" w:cs="仿宋"/>
          <w:sz w:val="28"/>
          <w:szCs w:val="28"/>
          <w:lang w:val="en-GB"/>
        </w:rPr>
        <w:t>工程可行性研究报告中的总投资额与实际造价成本可能会发生偏差，影响资金项目资金投入和发债计划安排。</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风险控制措施：按照市政府主管部门的批复结果及时调整项目资金投入计划，保障项目顺利实施。</w:t>
      </w:r>
    </w:p>
    <w:bookmarkEnd w:id="48"/>
    <w:bookmarkEnd w:id="49"/>
    <w:bookmarkEnd w:id="50"/>
    <w:p>
      <w:pPr>
        <w:pStyle w:val="4"/>
        <w:widowControl w:val="0"/>
        <w:spacing w:before="240" w:beforeLines="100" w:after="240" w:afterLines="100" w:line="360" w:lineRule="auto"/>
        <w:ind w:firstLine="562" w:firstLineChars="200"/>
        <w:jc w:val="both"/>
        <w:rPr>
          <w:rFonts w:hint="eastAsia" w:ascii="仿宋" w:hAnsi="仿宋" w:eastAsia="仿宋" w:cs="仿宋"/>
          <w:b/>
          <w:bCs/>
          <w:color w:val="000000" w:themeColor="text1"/>
          <w:sz w:val="28"/>
          <w:szCs w:val="28"/>
          <w:lang w:val="en-GB"/>
          <w14:textFill>
            <w14:solidFill>
              <w14:schemeClr w14:val="tx1"/>
            </w14:solidFill>
          </w14:textFill>
        </w:rPr>
      </w:pPr>
      <w:bookmarkStart w:id="51" w:name="_Toc7640"/>
      <w:bookmarkStart w:id="52" w:name="_Toc498385105"/>
      <w:bookmarkStart w:id="53" w:name="_Toc498385773"/>
      <w:bookmarkStart w:id="54" w:name="_Toc498551286"/>
      <w:r>
        <w:rPr>
          <w:rFonts w:hint="eastAsia" w:ascii="仿宋" w:hAnsi="仿宋" w:eastAsia="仿宋" w:cs="仿宋"/>
          <w:b/>
          <w:bCs/>
          <w:color w:val="000000" w:themeColor="text1"/>
          <w:sz w:val="28"/>
          <w:szCs w:val="28"/>
          <w:lang w:val="en-GB"/>
          <w14:textFill>
            <w14:solidFill>
              <w14:schemeClr w14:val="tx1"/>
            </w14:solidFill>
          </w14:textFill>
        </w:rPr>
        <w:t>（三）影响融资平衡结果的风险及控制措施</w:t>
      </w:r>
      <w:bookmarkEnd w:id="51"/>
      <w:bookmarkEnd w:id="52"/>
      <w:bookmarkEnd w:id="53"/>
      <w:bookmarkEnd w:id="54"/>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55" w:name="_Toc498385106"/>
      <w:bookmarkStart w:id="56" w:name="_Toc498551287"/>
      <w:bookmarkStart w:id="57" w:name="_Toc498385774"/>
      <w:bookmarkStart w:id="58" w:name="_Toc7555"/>
      <w:r>
        <w:rPr>
          <w:rFonts w:hint="eastAsia" w:ascii="仿宋" w:hAnsi="仿宋" w:eastAsia="仿宋" w:cs="仿宋"/>
          <w:b/>
          <w:bCs/>
          <w:color w:val="000000" w:themeColor="text1"/>
          <w:sz w:val="28"/>
          <w:szCs w:val="28"/>
          <w14:textFill>
            <w14:solidFill>
              <w14:schemeClr w14:val="tx1"/>
            </w14:solidFill>
          </w14:textFill>
        </w:rPr>
        <w:t>1.投资测算不准确风险</w:t>
      </w:r>
      <w:bookmarkEnd w:id="55"/>
      <w:bookmarkEnd w:id="56"/>
      <w:bookmarkEnd w:id="57"/>
      <w:bookmarkEnd w:id="58"/>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影响本项目融资平衡最大的风险在于对未来经营预测、项目进度以及项目整体现金流测算等重要环节出现判断偏差。经营预测偏大或偏小直接导致投资总额设计偏大或偏小；对项目进度错判将导致融资节奏错乱，导致资金不能及时足额注入到项目或者大额资金不能充分运用的后果；整体现金流测算出现偏差将导致项目可行性分析不能及时纠偏，项目资金投入和现金流入不能平衡的结果。</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风险控制措施：债券内所含项目的可行性研究报告均聘请了国内知名研究院经过大量分析论证工作后得出，分析结果较为可靠。</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此外，根据《财政部关于试点发展项目收益与融资自求平衡的地方政府专项债券品种的通知》（财预〔2017〕89号）规定，因项目取得的政府性基金或专项收入暂时难以实现，不能偿还到期债券本金时，可在专项债务限额内发行相关专项债券周转偿还，项目收入实现后予以归还。同时，为控制融资平衡风险，三亚市政府有权视项目平衡情况动态调整项目资本金比例。</w:t>
      </w:r>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59" w:name="_Toc3687"/>
      <w:r>
        <w:rPr>
          <w:rFonts w:hint="eastAsia" w:ascii="仿宋" w:hAnsi="仿宋" w:eastAsia="仿宋" w:cs="仿宋"/>
          <w:b/>
          <w:bCs/>
          <w:color w:val="000000" w:themeColor="text1"/>
          <w:sz w:val="28"/>
          <w:szCs w:val="28"/>
          <w14:textFill>
            <w14:solidFill>
              <w14:schemeClr w14:val="tx1"/>
            </w14:solidFill>
          </w14:textFill>
        </w:rPr>
        <w:t>2.利率波动风险</w:t>
      </w:r>
      <w:bookmarkEnd w:id="59"/>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在本政府专项债券存续期内，国际、国内宏观经济环境的变化，国家经济政策变动等因素会引起债务资本市场利率的波动，市场利率波动将会对本项目的财务成本产生影响，进而影响项目投资收益的平衡。</w:t>
      </w:r>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风险控制措施：为控制项目融资平衡风险，可动态调整债券发行期限和还款方式及时间，做好期限配比、还款计划和准备，加快资金周转，适当增大流动比率，充分盘活资金，用资金使用效率收益对冲利率波动损失。</w:t>
      </w:r>
    </w:p>
    <w:p>
      <w:pPr>
        <w:widowControl w:val="0"/>
        <w:spacing w:before="100" w:beforeAutospacing="1" w:after="160" w:line="360" w:lineRule="auto"/>
        <w:ind w:firstLine="562" w:firstLineChars="200"/>
        <w:rPr>
          <w:rFonts w:hint="eastAsia" w:ascii="仿宋" w:hAnsi="仿宋" w:eastAsia="仿宋" w:cs="仿宋"/>
          <w:b/>
          <w:bCs/>
          <w:color w:val="000000" w:themeColor="text1"/>
          <w:sz w:val="28"/>
          <w:szCs w:val="28"/>
          <w14:textFill>
            <w14:solidFill>
              <w14:schemeClr w14:val="tx1"/>
            </w14:solidFill>
          </w14:textFill>
        </w:rPr>
      </w:pPr>
      <w:bookmarkStart w:id="60" w:name="_Toc25085"/>
      <w:bookmarkStart w:id="61" w:name="_Toc498551289"/>
      <w:r>
        <w:rPr>
          <w:rFonts w:hint="eastAsia" w:ascii="仿宋" w:hAnsi="仿宋" w:eastAsia="仿宋" w:cs="仿宋"/>
          <w:b/>
          <w:bCs/>
          <w:color w:val="000000" w:themeColor="text1"/>
          <w:sz w:val="28"/>
          <w:szCs w:val="28"/>
          <w14:textFill>
            <w14:solidFill>
              <w14:schemeClr w14:val="tx1"/>
            </w14:solidFill>
          </w14:textFill>
        </w:rPr>
        <w:t>3.存续债券置换不畅风险</w:t>
      </w:r>
      <w:bookmarkEnd w:id="60"/>
      <w:bookmarkEnd w:id="61"/>
    </w:p>
    <w:p>
      <w:pPr>
        <w:spacing w:before="120" w:after="120" w:line="360" w:lineRule="auto"/>
        <w:ind w:firstLine="560" w:firstLineChars="200"/>
        <w:jc w:val="both"/>
        <w:rPr>
          <w:rFonts w:hint="eastAsia" w:ascii="仿宋" w:hAnsi="仿宋" w:eastAsia="仿宋" w:cs="仿宋"/>
          <w:sz w:val="28"/>
          <w:szCs w:val="28"/>
          <w:lang w:val="en-GB"/>
        </w:rPr>
      </w:pPr>
      <w:r>
        <w:rPr>
          <w:rFonts w:hint="eastAsia" w:ascii="仿宋" w:hAnsi="仿宋" w:eastAsia="仿宋" w:cs="仿宋"/>
          <w:sz w:val="28"/>
          <w:szCs w:val="28"/>
          <w:lang w:val="en-GB"/>
        </w:rPr>
        <w:t>根据《地方政府专项债务预算管理办法》（财预〔2016〕155号）第六条规定，专项债务本金通过对应的政府性基金收入、专项收入、发行专项债券等偿还。若本期政府专项债券到期时项目收入不足以偿还本期债券，发行人将发行政府专项债券置换本期债券。因此存在由于政府专项债券不能足额及时募集而造成本期政府专项债券不能按期足额兑付的风险。</w:t>
      </w:r>
    </w:p>
    <w:p>
      <w:pPr>
        <w:spacing w:before="120" w:after="120" w:line="360" w:lineRule="auto"/>
        <w:ind w:firstLine="560" w:firstLineChars="200"/>
        <w:jc w:val="both"/>
        <w:rPr>
          <w:rFonts w:hint="eastAsia" w:ascii="仿宋" w:hAnsi="仿宋" w:eastAsia="仿宋" w:cs="仿宋"/>
          <w:lang w:val="en-GB"/>
        </w:rPr>
      </w:pPr>
      <w:r>
        <w:rPr>
          <w:rFonts w:hint="eastAsia" w:ascii="仿宋" w:hAnsi="仿宋" w:eastAsia="仿宋" w:cs="仿宋"/>
          <w:sz w:val="28"/>
          <w:szCs w:val="28"/>
          <w:lang w:val="en-GB"/>
        </w:rPr>
        <w:t>风险控制措施：为防止发生存续债券不能顺畅置换的风险，发行人将会同主承销商及承销团成员提前准备发行资料，选取合适发行时间窗口，根据市场行情科学定价，力争在存续债券兑付日之前及时足额地募集到还款资金。</w:t>
      </w:r>
    </w:p>
    <w:p>
      <w:pPr>
        <w:pStyle w:val="4"/>
        <w:widowControl w:val="0"/>
        <w:spacing w:before="240" w:beforeLines="100" w:after="240" w:afterLines="100"/>
        <w:ind w:firstLine="562" w:firstLineChars="200"/>
        <w:jc w:val="both"/>
        <w:rPr>
          <w:rFonts w:hint="eastAsia" w:ascii="仿宋" w:hAnsi="仿宋" w:eastAsia="仿宋" w:cs="仿宋"/>
          <w:b/>
          <w:bCs/>
          <w:color w:val="000000" w:themeColor="text1"/>
          <w:sz w:val="28"/>
          <w:szCs w:val="28"/>
          <w14:textFill>
            <w14:solidFill>
              <w14:schemeClr w14:val="tx1"/>
            </w14:solidFill>
          </w14:textFill>
        </w:rPr>
      </w:pPr>
      <w:bookmarkStart w:id="62" w:name="_Toc16774"/>
      <w:bookmarkStart w:id="63" w:name="_Toc15917"/>
      <w:bookmarkStart w:id="64" w:name="_Toc17302"/>
      <w:bookmarkStart w:id="65" w:name="_Toc1363787282"/>
      <w:r>
        <w:rPr>
          <w:rFonts w:hint="eastAsia" w:ascii="仿宋" w:hAnsi="仿宋" w:eastAsia="仿宋" w:cs="仿宋"/>
          <w:b/>
          <w:bCs/>
          <w:color w:val="000000" w:themeColor="text1"/>
          <w:sz w:val="28"/>
          <w:szCs w:val="28"/>
          <w14:textFill>
            <w14:solidFill>
              <w14:schemeClr w14:val="tx1"/>
            </w14:solidFill>
          </w14:textFill>
        </w:rPr>
        <w:t>八、偿债保障及投资者保护</w:t>
      </w:r>
      <w:bookmarkEnd w:id="62"/>
      <w:bookmarkEnd w:id="63"/>
      <w:bookmarkEnd w:id="64"/>
      <w:bookmarkEnd w:id="65"/>
    </w:p>
    <w:p>
      <w:pPr>
        <w:keepNext/>
        <w:keepLines/>
        <w:widowControl w:val="0"/>
        <w:spacing w:before="240" w:beforeLines="100" w:after="240" w:afterLines="100" w:line="360" w:lineRule="auto"/>
        <w:ind w:firstLine="562" w:firstLineChars="200"/>
        <w:jc w:val="both"/>
        <w:outlineLvl w:val="1"/>
        <w:rPr>
          <w:rFonts w:hint="eastAsia" w:ascii="仿宋" w:hAnsi="仿宋" w:eastAsia="仿宋" w:cs="仿宋"/>
          <w:b/>
          <w:bCs/>
          <w:color w:val="000000"/>
          <w:sz w:val="28"/>
          <w:szCs w:val="28"/>
          <w:lang w:val="en-GB"/>
        </w:rPr>
      </w:pPr>
      <w:r>
        <w:rPr>
          <w:rFonts w:hint="eastAsia" w:ascii="仿宋" w:hAnsi="仿宋" w:eastAsia="仿宋" w:cs="仿宋"/>
          <w:b/>
          <w:bCs/>
          <w:color w:val="000000"/>
          <w:sz w:val="28"/>
          <w:szCs w:val="28"/>
          <w:lang w:val="en-GB"/>
        </w:rPr>
        <w:t>（一）专项债券偿债保障措施</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1、根据《财政部关于印发&lt;地方政府专项债务预算管理办法&gt;的通知》（财预〔2016〕155号）规定，专项债务应当有偿还计划和稳定的偿还资金来源。专项债务本金通过对应的政府性基金收入、专项收入、发行专项债券等偿还。专项债务利息通过对应的政府性基金收入、专项收入偿还，不通过发行专项债券偿。专项债务收支按照对应的政府性基金收入、专项收入实现项目收支平衡。</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2、根据《国务院办公厅关于印发地方政府性债务风险应急处置预案的通知》（国办函〔2016〕88号）规定，对地方政府债券，地方政府依法承担全部偿还责任。市县财政将根据《财政部关于印发&lt;地方政府专项债务预算管理办法&gt;的通知》（财预〔2016〕155号）规定,及时按照转贷协议约定向省级财政部门缴纳本级应当承担的还本付息资金，由省级财政部门按照合同约定及时偿还专项债券到期本息。如偿债出现困难，将通过调减投资计划、调整预算支出等措施进行偿债。未及时足额向省级财政部门缴纳专项债券还本付息资金的，省级财政部门可以采取适当方式扣回。</w:t>
      </w:r>
    </w:p>
    <w:p>
      <w:pPr>
        <w:keepNext/>
        <w:keepLines/>
        <w:widowControl w:val="0"/>
        <w:spacing w:before="240" w:beforeLines="100" w:after="240" w:afterLines="100" w:line="360" w:lineRule="auto"/>
        <w:ind w:firstLine="562" w:firstLineChars="200"/>
        <w:jc w:val="both"/>
        <w:outlineLvl w:val="1"/>
        <w:rPr>
          <w:rFonts w:hint="eastAsia" w:ascii="仿宋" w:hAnsi="仿宋" w:eastAsia="仿宋" w:cs="仿宋"/>
          <w:b/>
          <w:bCs/>
          <w:color w:val="000000"/>
          <w:sz w:val="28"/>
          <w:szCs w:val="28"/>
          <w:lang w:val="en-GB"/>
        </w:rPr>
      </w:pPr>
      <w:r>
        <w:rPr>
          <w:rFonts w:hint="eastAsia" w:ascii="仿宋" w:hAnsi="仿宋" w:eastAsia="仿宋" w:cs="仿宋"/>
          <w:b/>
          <w:bCs/>
          <w:color w:val="000000"/>
          <w:sz w:val="28"/>
          <w:szCs w:val="28"/>
          <w:lang w:val="en-GB"/>
        </w:rPr>
        <w:t>（二）专项债券的投资者保护措施</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根据《中华人民共和国预算法》、《国务院关于加强地方政府性债务管理的意见》（国发〔2014〕43号）和《国务院办公厅关于印发地方政府性债务风险应急处置预案的通知》（国办函〔2016〕88号），海南省政府先后制定了相关政策性文件，全面防控政府性债务风险并完善应急处置机制。</w:t>
      </w:r>
    </w:p>
    <w:p>
      <w:pPr>
        <w:keepNext/>
        <w:keepLines/>
        <w:widowControl w:val="0"/>
        <w:spacing w:before="240" w:beforeLines="100" w:after="240" w:afterLines="100"/>
        <w:ind w:firstLine="562" w:firstLineChars="200"/>
        <w:jc w:val="both"/>
        <w:outlineLvl w:val="1"/>
        <w:rPr>
          <w:rFonts w:hint="eastAsia" w:ascii="仿宋" w:hAnsi="仿宋" w:eastAsia="仿宋" w:cs="仿宋"/>
          <w:color w:val="000000"/>
          <w:sz w:val="28"/>
          <w:szCs w:val="28"/>
        </w:rPr>
      </w:pPr>
      <w:r>
        <w:rPr>
          <w:rFonts w:hint="eastAsia" w:ascii="仿宋" w:hAnsi="仿宋" w:eastAsia="仿宋" w:cs="仿宋"/>
          <w:b/>
          <w:bCs/>
          <w:color w:val="000000"/>
          <w:sz w:val="28"/>
          <w:szCs w:val="28"/>
        </w:rPr>
        <w:t>九、结论</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基于财政部对地方政府发行专项债券的要求，本项目可以通过调剂发行专项债券的方式进行融资以完成资金筹措，并以项目自身收益所对应的充足、稳定现金流作为还本付息的资金来源。</w:t>
      </w:r>
    </w:p>
    <w:p>
      <w:pPr>
        <w:widowControl w:val="0"/>
        <w:spacing w:before="120" w:after="120" w:line="360" w:lineRule="auto"/>
        <w:ind w:firstLine="560" w:firstLineChars="200"/>
        <w:jc w:val="both"/>
        <w:rPr>
          <w:rFonts w:hint="eastAsia" w:ascii="仿宋" w:hAnsi="仿宋" w:eastAsia="仿宋" w:cs="仿宋"/>
          <w:color w:val="000000"/>
          <w:kern w:val="2"/>
          <w:sz w:val="28"/>
          <w:szCs w:val="28"/>
        </w:rPr>
      </w:pPr>
      <w:r>
        <w:rPr>
          <w:rFonts w:hint="eastAsia" w:ascii="仿宋" w:hAnsi="仿宋" w:eastAsia="仿宋" w:cs="仿宋"/>
          <w:color w:val="000000"/>
          <w:kern w:val="2"/>
          <w:sz w:val="28"/>
          <w:szCs w:val="28"/>
        </w:rPr>
        <w:t>综上所述，本次三亚市政府专项债券项目债券金额，是解决本项目资金来源的较好方式。</w:t>
      </w:r>
    </w:p>
    <w:p>
      <w:pPr>
        <w:widowControl w:val="0"/>
        <w:spacing w:after="160" w:line="259" w:lineRule="auto"/>
        <w:jc w:val="both"/>
        <w:rPr>
          <w:rFonts w:hint="eastAsia" w:ascii="仿宋" w:hAnsi="仿宋" w:eastAsia="仿宋" w:cs="仿宋"/>
          <w:kern w:val="2"/>
          <w:sz w:val="21"/>
          <w:szCs w:val="22"/>
        </w:rPr>
      </w:pPr>
    </w:p>
    <w:p>
      <w:pPr>
        <w:keepNext w:val="0"/>
        <w:keepLines w:val="0"/>
        <w:pageBreakBefore w:val="0"/>
        <w:widowControl/>
        <w:kinsoku/>
        <w:wordWrap/>
        <w:overflowPunct/>
        <w:topLinePunct w:val="0"/>
        <w:autoSpaceDE/>
        <w:autoSpaceDN/>
        <w:bidi w:val="0"/>
        <w:adjustRightInd/>
        <w:snapToGrid/>
        <w:spacing w:before="120" w:after="120" w:line="578" w:lineRule="exact"/>
        <w:ind w:firstLine="510"/>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三亚市吉阳区水务局</w:t>
      </w:r>
    </w:p>
    <w:p>
      <w:pPr>
        <w:keepNext w:val="0"/>
        <w:keepLines w:val="0"/>
        <w:pageBreakBefore w:val="0"/>
        <w:widowControl/>
        <w:kinsoku/>
        <w:wordWrap/>
        <w:overflowPunct/>
        <w:topLinePunct w:val="0"/>
        <w:autoSpaceDE/>
        <w:autoSpaceDN/>
        <w:bidi w:val="0"/>
        <w:adjustRightInd/>
        <w:snapToGrid/>
        <w:spacing w:before="120" w:after="120" w:line="578" w:lineRule="exact"/>
        <w:ind w:firstLine="510"/>
        <w:jc w:val="center"/>
        <w:textAlignment w:val="auto"/>
        <w:rPr>
          <w:rFonts w:hint="eastAsia" w:ascii="仿宋" w:hAnsi="仿宋" w:eastAsia="仿宋" w:cs="仿宋"/>
          <w:color w:val="000000"/>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2023年11月14日</w:t>
      </w:r>
    </w:p>
    <w:p>
      <w:pPr>
        <w:rPr>
          <w:rFonts w:hint="eastAsia" w:ascii="仿宋" w:hAnsi="仿宋" w:eastAsia="仿宋" w:cs="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000" w:usb1="00000000" w:usb2="00000000" w:usb3="00000000" w:csb0="00000000" w:csb1="00000000"/>
  </w:font>
  <w:font w:name="华文楷体">
    <w:altName w:val="楷体_GB2312"/>
    <w:panose1 w:val="02010600040101010101"/>
    <w:charset w:val="86"/>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3815145"/>
    </w:sdtPr>
    <w:sdtContent>
      <w:p>
        <w:pPr>
          <w:pStyle w:val="5"/>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8673598"/>
    </w:sdtPr>
    <w:sdtEndPr>
      <w:rPr>
        <w:sz w:val="21"/>
        <w:szCs w:val="21"/>
      </w:rPr>
    </w:sdtEndPr>
    <w:sdtContent>
      <w:p>
        <w:pPr>
          <w:pStyle w:val="5"/>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5"/>
      <w:jc w:val="center"/>
      <w:rPr>
        <w:rFonts w:ascii="Verdana" w:hAnsi="Verdana"/>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89709014"/>
    </w:sdtPr>
    <w:sdtEndPr>
      <w:rPr>
        <w:rFonts w:ascii="Verdana" w:hAnsi="Verdana"/>
        <w:sz w:val="20"/>
        <w:szCs w:val="20"/>
      </w:rPr>
    </w:sdtEndPr>
    <w:sdtContent>
      <w:p>
        <w:pPr>
          <w:pStyle w:val="5"/>
          <w:jc w:val="center"/>
          <w:rPr>
            <w:rFonts w:ascii="Verdana" w:hAnsi="Verdana"/>
            <w:sz w:val="20"/>
            <w:szCs w:val="20"/>
          </w:rPr>
        </w:pPr>
        <w:r>
          <w:rPr>
            <w:rFonts w:ascii="Verdana" w:hAnsi="Verdana"/>
            <w:sz w:val="20"/>
            <w:szCs w:val="20"/>
          </w:rPr>
          <w:fldChar w:fldCharType="begin"/>
        </w:r>
        <w:r>
          <w:rPr>
            <w:rFonts w:ascii="Verdana" w:hAnsi="Verdana"/>
            <w:sz w:val="20"/>
            <w:szCs w:val="20"/>
          </w:rPr>
          <w:instrText xml:space="preserve"> PAGE   \* MERGEFORMAT </w:instrText>
        </w:r>
        <w:r>
          <w:rPr>
            <w:rFonts w:ascii="Verdana" w:hAnsi="Verdana"/>
            <w:sz w:val="20"/>
            <w:szCs w:val="20"/>
          </w:rPr>
          <w:fldChar w:fldCharType="separate"/>
        </w:r>
        <w:r>
          <w:rPr>
            <w:rFonts w:ascii="Verdana" w:hAnsi="Verdana"/>
            <w:sz w:val="20"/>
            <w:szCs w:val="20"/>
          </w:rPr>
          <w:t>13</w:t>
        </w:r>
        <w:r>
          <w:rPr>
            <w:rFonts w:ascii="Verdana" w:hAnsi="Verdana"/>
            <w:sz w:val="20"/>
            <w:szCs w:val="20"/>
          </w:rPr>
          <w:fldChar w:fldCharType="end"/>
        </w:r>
      </w:p>
    </w:sdtContent>
  </w:sdt>
  <w:p>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3971028"/>
    </w:sdtPr>
    <w:sdtContent>
      <w:sdt>
        <w:sdtPr>
          <w:id w:val="-393971028"/>
        </w:sdtPr>
        <w:sdtContent>
          <w:p>
            <w:pPr>
              <w:pStyle w:val="5"/>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ind w:firstLine="200"/>
        <w:rPr>
          <w:rFonts w:hint="eastAsia" w:ascii="仿宋" w:hAnsi="仿宋" w:eastAsia="仿宋" w:cs="仿宋"/>
          <w:sz w:val="20"/>
        </w:rPr>
      </w:pPr>
      <w:r>
        <w:rPr>
          <w:rStyle w:val="11"/>
          <w:rFonts w:hint="eastAsia" w:ascii="仿宋" w:hAnsi="仿宋" w:eastAsia="仿宋" w:cs="仿宋"/>
          <w:sz w:val="20"/>
        </w:rPr>
        <w:footnoteRef/>
      </w:r>
      <w:r>
        <w:rPr>
          <w:rStyle w:val="11"/>
          <w:rFonts w:hint="eastAsia" w:ascii="仿宋" w:hAnsi="仿宋" w:eastAsia="仿宋" w:cs="仿宋"/>
          <w:sz w:val="20"/>
        </w:rPr>
        <w:t xml:space="preserve"> </w:t>
      </w:r>
      <w:r>
        <w:rPr>
          <w:rFonts w:hint="eastAsia" w:ascii="仿宋" w:hAnsi="仿宋" w:eastAsia="仿宋" w:cs="仿宋"/>
          <w:sz w:val="20"/>
        </w:rPr>
        <w:t>本息覆盖率=期末净现金流量/债券本息和+1，详见"2.资金稳定性"。</w:t>
      </w:r>
    </w:p>
  </w:footnote>
  <w:footnote w:id="1">
    <w:p>
      <w:pPr>
        <w:pStyle w:val="7"/>
        <w:ind w:firstLine="200"/>
        <w:rPr>
          <w:rFonts w:hint="eastAsia" w:ascii="仿宋" w:hAnsi="仿宋" w:eastAsia="仿宋" w:cs="仿宋"/>
          <w:sz w:val="20"/>
        </w:rPr>
      </w:pPr>
      <w:r>
        <w:rPr>
          <w:rStyle w:val="11"/>
          <w:rFonts w:hint="eastAsia" w:ascii="仿宋" w:hAnsi="仿宋" w:eastAsia="仿宋" w:cs="仿宋"/>
          <w:sz w:val="20"/>
        </w:rPr>
        <w:footnoteRef/>
      </w:r>
      <w:r>
        <w:rPr>
          <w:rStyle w:val="11"/>
          <w:rFonts w:hint="eastAsia" w:ascii="仿宋" w:hAnsi="仿宋" w:eastAsia="仿宋" w:cs="仿宋"/>
          <w:sz w:val="20"/>
        </w:rPr>
        <w:t xml:space="preserve"> </w:t>
      </w:r>
      <w:r>
        <w:rPr>
          <w:rFonts w:hint="eastAsia" w:ascii="仿宋" w:hAnsi="仿宋" w:eastAsia="仿宋" w:cs="仿宋"/>
          <w:sz w:val="20"/>
        </w:rPr>
        <w:t>本息覆盖倍数=项目总收益/债券本息，下同。</w:t>
      </w:r>
    </w:p>
  </w:footnote>
  <w:footnote w:id="2">
    <w:p>
      <w:pPr>
        <w:pStyle w:val="7"/>
        <w:rPr>
          <w:rFonts w:ascii="楷体" w:hAnsi="楷体" w:eastAsia="楷体"/>
        </w:rPr>
      </w:pPr>
      <w:r>
        <w:rPr>
          <w:rStyle w:val="11"/>
          <w:rFonts w:ascii="楷体" w:hAnsi="楷体" w:eastAsia="楷体"/>
        </w:rPr>
        <w:footnoteRef/>
      </w:r>
      <w:r>
        <w:rPr>
          <w:rFonts w:ascii="楷体" w:hAnsi="楷体" w:eastAsia="楷体" w:cs="宋体"/>
          <w:sz w:val="20"/>
        </w:rPr>
        <w:t>本息覆盖率</w:t>
      </w:r>
      <w:r>
        <w:rPr>
          <w:rFonts w:ascii="楷体" w:hAnsi="楷体" w:eastAsia="楷体"/>
          <w:sz w:val="20"/>
        </w:rPr>
        <w:t>=</w:t>
      </w:r>
      <w:r>
        <w:rPr>
          <w:rFonts w:ascii="楷体" w:hAnsi="楷体" w:eastAsia="楷体" w:cs="宋体"/>
          <w:sz w:val="20"/>
        </w:rPr>
        <w:t>期末净现金流量</w:t>
      </w:r>
      <w:r>
        <w:rPr>
          <w:rFonts w:ascii="楷体" w:hAnsi="楷体" w:eastAsia="楷体"/>
          <w:sz w:val="20"/>
        </w:rPr>
        <w:t>/</w:t>
      </w:r>
      <w:r>
        <w:rPr>
          <w:rFonts w:ascii="楷体" w:hAnsi="楷体" w:eastAsia="楷体" w:cs="宋体"/>
          <w:sz w:val="20"/>
        </w:rPr>
        <w:t>债券本息和</w:t>
      </w:r>
      <w:r>
        <w:rPr>
          <w:rFonts w:ascii="楷体" w:hAnsi="楷体" w:eastAsia="楷体"/>
          <w:sz w:val="20"/>
        </w:rPr>
        <w:t>+1</w:t>
      </w:r>
      <w:r>
        <w:rPr>
          <w:rFonts w:ascii="楷体" w:hAnsi="楷体" w:eastAsia="楷体" w:cs="宋体"/>
          <w:sz w:val="20"/>
        </w:rPr>
        <w:t>，</w:t>
      </w:r>
      <w:r>
        <w:rPr>
          <w:rFonts w:hint="eastAsia" w:ascii="楷体" w:hAnsi="楷体" w:eastAsia="楷体" w:cs="宋体"/>
          <w:sz w:val="20"/>
        </w:rPr>
        <w:t>即为（期末现金流量</w:t>
      </w:r>
      <w:r>
        <w:rPr>
          <w:rFonts w:ascii="楷体" w:hAnsi="楷体" w:eastAsia="楷体" w:cs="宋体"/>
          <w:sz w:val="20"/>
        </w:rPr>
        <w:t>116.50</w:t>
      </w:r>
      <w:r>
        <w:rPr>
          <w:rFonts w:hint="eastAsia" w:ascii="楷体" w:hAnsi="楷体" w:eastAsia="楷体" w:cs="宋体"/>
          <w:sz w:val="20"/>
        </w:rPr>
        <w:t>万元/本息和</w:t>
      </w:r>
      <w:r>
        <w:rPr>
          <w:rFonts w:ascii="楷体" w:hAnsi="楷体" w:eastAsia="楷体" w:cs="宋体"/>
          <w:sz w:val="20"/>
        </w:rPr>
        <w:t>567.50</w:t>
      </w:r>
      <w:r>
        <w:rPr>
          <w:rFonts w:hint="eastAsia" w:ascii="楷体" w:hAnsi="楷体" w:eastAsia="楷体" w:cs="宋体"/>
          <w:sz w:val="20"/>
        </w:rPr>
        <w:t>万元）+1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1E18BA"/>
    <w:multiLevelType w:val="multilevel"/>
    <w:tmpl w:val="261E18BA"/>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0D85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zh-CN" w:bidi="ar-SA"/>
    </w:rPr>
  </w:style>
  <w:style w:type="paragraph" w:styleId="4">
    <w:name w:val="heading 2"/>
    <w:basedOn w:val="1"/>
    <w:next w:val="1"/>
    <w:unhideWhenUsed/>
    <w:qFormat/>
    <w:uiPriority w:val="9"/>
    <w:pPr>
      <w:keepNext/>
      <w:keepLines/>
      <w:spacing w:before="40"/>
      <w:outlineLvl w:val="1"/>
    </w:pPr>
    <w:rPr>
      <w:rFonts w:asciiTheme="majorHAnsi" w:hAnsiTheme="majorHAnsi" w:eastAsiaTheme="majorEastAsia" w:cstheme="majorBidi"/>
      <w:color w:val="2E75B6" w:themeColor="accent1" w:themeShade="BF"/>
      <w:sz w:val="26"/>
      <w:szCs w:val="26"/>
    </w:rPr>
  </w:style>
  <w:style w:type="character" w:default="1" w:styleId="10">
    <w:name w:val="Default Paragraph Font"/>
    <w:semiHidden/>
    <w:uiPriority w:val="0"/>
  </w:style>
  <w:style w:type="table" w:default="1" w:styleId="8">
    <w:name w:val="Normal Table"/>
    <w:semiHidden/>
    <w:uiPriority w:val="0"/>
    <w:tblPr>
      <w:tblLayout w:type="fixed"/>
      <w:tblCellMar>
        <w:top w:w="0" w:type="dxa"/>
        <w:left w:w="108" w:type="dxa"/>
        <w:bottom w:w="0" w:type="dxa"/>
        <w:right w:w="108" w:type="dxa"/>
      </w:tblCellMar>
    </w:tblPr>
  </w:style>
  <w:style w:type="paragraph" w:styleId="2">
    <w:name w:val="Body Text First Indent"/>
    <w:next w:val="3"/>
    <w:unhideWhenUsed/>
    <w:qFormat/>
    <w:uiPriority w:val="99"/>
    <w:pPr>
      <w:spacing w:after="120"/>
      <w:ind w:firstLine="420" w:firstLineChars="100"/>
    </w:pPr>
    <w:rPr>
      <w:rFonts w:ascii="Calibri" w:hAnsi="Calibri" w:eastAsia="宋体" w:cs="黑体"/>
      <w:sz w:val="24"/>
      <w:lang w:val="en-GB" w:eastAsia="zh-CN" w:bidi="ar-SA"/>
    </w:rPr>
  </w:style>
  <w:style w:type="paragraph" w:styleId="3">
    <w:name w:val="Body Text First Indent 2"/>
    <w:next w:val="2"/>
    <w:unhideWhenUsed/>
    <w:qFormat/>
    <w:uiPriority w:val="99"/>
    <w:pPr>
      <w:ind w:left="105" w:firstLine="420" w:firstLineChars="200"/>
    </w:pPr>
    <w:rPr>
      <w:rFonts w:asciiTheme="minorHAnsi" w:hAnsiTheme="minorHAnsi" w:eastAsiaTheme="minorEastAsia" w:cstheme="minorBidi"/>
      <w:sz w:val="32"/>
      <w:szCs w:val="32"/>
      <w:lang w:val="en-GB" w:eastAsia="zh-CN" w:bidi="ar-SA"/>
    </w:rPr>
  </w:style>
  <w:style w:type="paragraph" w:styleId="5">
    <w:name w:val="footer"/>
    <w:basedOn w:val="1"/>
    <w:unhideWhenUsed/>
    <w:qFormat/>
    <w:uiPriority w:val="99"/>
    <w:pPr>
      <w:tabs>
        <w:tab w:val="center" w:pos="4320"/>
        <w:tab w:val="right" w:pos="8640"/>
      </w:tabs>
    </w:pPr>
  </w:style>
  <w:style w:type="paragraph" w:styleId="6">
    <w:name w:val="header"/>
    <w:basedOn w:val="1"/>
    <w:unhideWhenUsed/>
    <w:qFormat/>
    <w:uiPriority w:val="99"/>
    <w:pPr>
      <w:tabs>
        <w:tab w:val="center" w:pos="4320"/>
        <w:tab w:val="right" w:pos="8640"/>
      </w:tabs>
    </w:pPr>
  </w:style>
  <w:style w:type="paragraph" w:styleId="7">
    <w:name w:val="footnote text"/>
    <w:basedOn w:val="1"/>
    <w:unhideWhenUsed/>
    <w:qFormat/>
    <w:uiPriority w:val="99"/>
    <w:rPr>
      <w:szCs w:val="20"/>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1">
    <w:name w:val="footnote reference"/>
    <w:basedOn w:val="10"/>
    <w:unhideWhenUsed/>
    <w:qFormat/>
    <w:uiPriority w:val="99"/>
    <w:rPr>
      <w:vertAlign w:val="superscript"/>
    </w:rPr>
  </w:style>
  <w:style w:type="paragraph" w:styleId="12">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6.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000" b="0" i="0" u="none" strike="noStrike" kern="1200" spc="0" baseline="0">
                <a:solidFill>
                  <a:schemeClr val="tx1">
                    <a:lumMod val="65000"/>
                    <a:lumOff val="35000"/>
                  </a:schemeClr>
                </a:solidFill>
                <a:latin typeface="华文楷体" panose="02010600040101010101" charset="-122"/>
                <a:ea typeface="华文楷体" panose="02010600040101010101" charset="-122"/>
                <a:cs typeface="华文楷体" panose="02010600040101010101" charset="-122"/>
                <a:sym typeface="华文楷体" panose="02010600040101010101" charset="-122"/>
              </a:defRPr>
            </a:pPr>
            <a:r>
              <a:rPr lang="zh-CN" sz="1000">
                <a:latin typeface="楷体" panose="02010609060101010101" pitchFamily="3" charset="-122"/>
                <a:ea typeface="楷体" panose="02010609060101010101" pitchFamily="3" charset="-122"/>
                <a:cs typeface="华文楷体" panose="02010600040101010101" charset="-122"/>
                <a:sym typeface="华文楷体" panose="02010600040101010101" charset="-122"/>
              </a:rPr>
              <a:t>单位：人民币万元</a:t>
            </a:r>
            <a:endParaRPr lang="en-US" sz="1000">
              <a:latin typeface="楷体" panose="02010609060101010101" pitchFamily="3" charset="-122"/>
              <a:ea typeface="楷体" panose="02010609060101010101" pitchFamily="3" charset="-122"/>
              <a:cs typeface="华文楷体" panose="02010600040101010101" charset="-122"/>
              <a:sym typeface="华文楷体" panose="02010600040101010101" charset="-122"/>
            </a:endParaRPr>
          </a:p>
        </c:rich>
      </c:tx>
      <c:layout>
        <c:manualLayout>
          <c:xMode val="edge"/>
          <c:yMode val="edge"/>
          <c:x val="0.832913888764001"/>
          <c:y val="0"/>
        </c:manualLayout>
      </c:layout>
      <c:overlay val="0"/>
      <c:spPr>
        <a:noFill/>
        <a:ln>
          <a:noFill/>
        </a:ln>
        <a:effectLst/>
      </c:spPr>
    </c:title>
    <c:autoTitleDeleted val="0"/>
    <c:plotArea>
      <c:layout>
        <c:manualLayout>
          <c:layoutTarget val="inner"/>
          <c:xMode val="edge"/>
          <c:yMode val="edge"/>
          <c:x val="0.0758641367745699"/>
          <c:y val="0.188246490601951"/>
          <c:w val="0.887098826188393"/>
          <c:h val="0.74821209447320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楷体" panose="02010609060101010101" pitchFamily="3" charset="-122"/>
                    <a:ea typeface="楷体" panose="02010609060101010101" pitchFamily="3" charset="-122"/>
                    <a:cs typeface="华文楷体" panose="02010600040101010101" charset="-122"/>
                    <a:sym typeface="华文楷体" panose="0201060004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现金流模拟测算表!$H$2:$M$2</c:f>
              <c:numCache>
                <c:formatCode>General</c:formatCode>
                <c:ptCount val="6"/>
                <c:pt idx="0">
                  <c:v>2023</c:v>
                </c:pt>
                <c:pt idx="1">
                  <c:v>2024</c:v>
                </c:pt>
                <c:pt idx="2">
                  <c:v>2025</c:v>
                </c:pt>
                <c:pt idx="3">
                  <c:v>2026</c:v>
                </c:pt>
                <c:pt idx="4">
                  <c:v>2027</c:v>
                </c:pt>
                <c:pt idx="5">
                  <c:v>2028</c:v>
                </c:pt>
              </c:numCache>
            </c:numRef>
          </c:cat>
          <c:val>
            <c:numRef>
              <c:f>现金流模拟测算表!$H$23:$M$23</c:f>
              <c:numCache>
                <c:formatCode>_(* #,##0.00_);_(* \(#,##0.00\);_(* "-"??_);_(@_)</c:formatCode>
                <c:ptCount val="6"/>
                <c:pt idx="0">
                  <c:v>0</c:v>
                </c:pt>
                <c:pt idx="1">
                  <c:v>123.3</c:v>
                </c:pt>
                <c:pt idx="2">
                  <c:v>246.6</c:v>
                </c:pt>
                <c:pt idx="3">
                  <c:v>369.9</c:v>
                </c:pt>
                <c:pt idx="4">
                  <c:v>493.2</c:v>
                </c:pt>
                <c:pt idx="5">
                  <c:v>116.5</c:v>
                </c:pt>
              </c:numCache>
            </c:numRef>
          </c:val>
        </c:ser>
        <c:dLbls>
          <c:showLegendKey val="0"/>
          <c:showVal val="0"/>
          <c:showCatName val="0"/>
          <c:showSerName val="0"/>
          <c:showPercent val="0"/>
          <c:showBubbleSize val="0"/>
        </c:dLbls>
        <c:gapWidth val="219"/>
        <c:overlap val="-27"/>
        <c:axId val="501556952"/>
        <c:axId val="501557608"/>
      </c:barChart>
      <c:catAx>
        <c:axId val="50155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华文楷体" panose="02010600040101010101" charset="-122"/>
                <a:sym typeface="华文楷体" panose="02010600040101010101" charset="-122"/>
              </a:defRPr>
            </a:pPr>
          </a:p>
        </c:txPr>
        <c:crossAx val="501557608"/>
        <c:crosses val="autoZero"/>
        <c:auto val="1"/>
        <c:lblAlgn val="ctr"/>
        <c:lblOffset val="100"/>
        <c:noMultiLvlLbl val="0"/>
      </c:catAx>
      <c:valAx>
        <c:axId val="50155760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楷体" panose="02010609060101010101" pitchFamily="3" charset="-122"/>
                <a:ea typeface="楷体" panose="02010609060101010101" pitchFamily="3" charset="-122"/>
                <a:cs typeface="华文楷体" panose="02010600040101010101" charset="-122"/>
                <a:sym typeface="华文楷体" panose="02010600040101010101" charset="-122"/>
              </a:defRPr>
            </a:pPr>
          </a:p>
        </c:txPr>
        <c:crossAx val="501556952"/>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latin typeface="华文楷体" panose="02010600040101010101" charset="-122"/>
          <a:ea typeface="华文楷体" panose="02010600040101010101" charset="-122"/>
          <a:cs typeface="华文楷体" panose="02010600040101010101" charset="-122"/>
          <a:sym typeface="华文楷体" panose="02010600040101010101"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2024-06-17T01:32:15Z</dcterms:created>
  <dc:creator>Administrator</dc:creator>
  <cp:lastModifiedBy>Administrator</cp:lastModifiedBy>
  <dcterms:modified xsi:type="dcterms:W3CDTF">2024-06-17T01:37:37Z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ies>
</file>