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/>
          <w:b/>
          <w:color w:val="auto"/>
          <w:sz w:val="44"/>
          <w:szCs w:val="44"/>
          <w:highlight w:val="none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4" name="矩形 4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60288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zSj5wxkEAAB5BgAADgAAAGRycy9lMm9Eb2MueG1srVXb&#10;sqpGEH1PVf6B4tXKQcUb1nGn3KBs8YIICvI2wCAow+AMN/2ZVOUtH5HPSeU3MrBPziXJQyoVHoZu&#10;plmzuptefPyxRglXQkJjnM743ocuz8HUx0GcXmb80Vr+MOE5moM0AAlO4Yx/QMr/+PL9dx+rbAr7&#10;OMJJAAnHQFI6rbIZH+V5NhUE6kcQAfoBZzBlmyEmCOTMJRchIKBi6CgR+t3uSKgwCTKCfUgpe6q8&#10;b/IvLX4YQj/Xw5DCnEtmPOOWtytpV69ZhZePYHohIIti/xMN8B9YIBCn7NDPUArIAVeQ+G9QKPYJ&#10;pjjMP/gYCTgMYx+2ObBset2/ZGNGIINtLqw4NPtcJvr/wfq7ck+4OJjxA55LAWIt+v2nX3779WeO&#10;+QGkPqtVQm/n8V7sdkTJNM3+E4qyLOgyrq8eQVfhtHai4UXp3y0Vl0Pp8LD7mxtyzs/HWd+rKFlX&#10;e9s+99Sn7HuiXaqusu24O6sghjGwZHBP54Wph7ZsO7og29HkKVUhLV1yg87keSJVNPFFQvFuORjI&#10;Hb2nLwxd6lJHPOyBTSS8oNIWvm2C04p1X/f9UNPPa0NaGa52yl7frIN5SOOFEvkjrYCjG5Bu9zUe&#10;T0SntKy6vl9XyuiOzMiJV+KBwLJyJ2OApJ2MFv7xgY2iHq2PEejvH/bIfrqj15PuC9lmd3GetTMm&#10;FaLS8Gi/ZtdBd3y0rjRHaH0wo0XRt4PlI4/dEIfHPkIoc4cnxRM9Twh9cDK8TbI57zSgFeV1NRTu&#10;mnzYaPMO6WSZKYYWGE4WWz+s7hODOqulYtXgvLXdXlJJWB2ZotZ1B9F84OixlxaZWrrr+K4Lumpd&#10;arIavY1TXXOKiRi+paNqHj061iPsG7UWGI/62rE8hETxJEa7cBy8qTHcktVTg4rxZl10vJe3qbzp&#10;xRvq+dLzjmtXHqi+gpWcFFuVwGNQRqu1TVG3SARFHHhx7o1XkruifpgFp6LTu5meirOsFk461S7Q&#10;zQ/KeZOgZbiE1kENlUFfSw3SGWBiia/HuVrQ2pFT+/IKn+6w3s4Fm1zm8Lmhm/EiYkoQObdepkg3&#10;tzSt83OH1gZy5rMZz0VxEMBGd5o5rjI6ZZ+zme3JJ48ysxnKOiSoubNx4+p29h+fZx/WOeezhyNx&#10;2GUC4bOdd5NhCF9ezQjNVYgR1xgznjBhaecdlBuav4f+GdKcRHESB8s4SVqHXDw5IVwJmAgt26vh&#10;y9C/CUtSrprx0rA/ZDQA08IwATkzUcamk6aX9rxv3qBfA3fb65+AG2IKoNE7gRahCQNTFOewqRWY&#10;RhAEizTg8kfGFCBlUs03ZBAMeC5pKtxYbWQO4uTfRLLskpQl2XTlvQ+N5eHgwfSmyEh8iVgd28a1&#10;MUzf2pJ80uJGQL/2W6Qvf4y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KBgAAW0NvbnRlbnRfVHlwZXNdLnhtbFBLAQIUAAoAAAAAAIdO4kAA&#10;AAAAAAAAAAAAAAAGAAAAAAAAAAAAEAAAAGwFAABfcmVscy9QSwECFAAUAAAACACHTuJAihRmPNEA&#10;AACUAQAACwAAAAAAAAABACAAAACQBQAAX3JlbHMvLnJlbHNQSwECFAAKAAAAAACHTuJAAAAAAAAA&#10;AAAAAAAABAAAAAAAAAAAABAAAAAAAAAAZHJzL1BLAQIUABQAAAAIAIdO4kATzIkJ2AAAAA8BAAAP&#10;AAAAAAAAAAEAIAAAACIAAABkcnMvZG93bnJldi54bWxQSwECFAAUAAAACACHTuJAzSj5wxkEAAB5&#10;BgAADgAAAAAAAAABACAAAAAnAQAAZHJzL2Uyb0RvYy54bWxQSwUGAAAAAAYABgBZAQAAsgc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cs="Arial Unicode MS"/>
          <w:b/>
          <w:color w:val="auto"/>
          <w:sz w:val="44"/>
          <w:szCs w:val="44"/>
          <w:highlight w:val="none"/>
        </w:rPr>
      </w:pPr>
    </w:p>
    <w:tbl>
      <w:tblPr>
        <w:tblStyle w:val="6"/>
        <w:tblpPr w:leftFromText="180" w:rightFromText="180" w:vertAnchor="text" w:horzAnchor="page" w:tblpX="3307" w:tblpY="350"/>
        <w:tblOverlap w:val="never"/>
        <w:tblW w:w="57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7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eastAsia="宋体" w:cs="宋体"/>
                <w:b/>
                <w:color w:val="auto"/>
                <w:sz w:val="32"/>
                <w:szCs w:val="32"/>
                <w:highlight w:val="none"/>
                <w:lang w:val="en-US" w:eastAsia="zh-CN"/>
              </w:rPr>
              <w:t>三亚市吉阳区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  <w:t>2022年度</w:t>
            </w: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部门整体支出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  <w:lang w:val="en-US" w:eastAsia="zh-CN"/>
              </w:rPr>
              <w:t>绩效评价报告</w:t>
            </w:r>
            <w:bookmarkEnd w:id="0"/>
          </w:p>
        </w:tc>
      </w:tr>
    </w:tbl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snapToGrid w:val="0"/>
        <w:jc w:val="center"/>
        <w:rPr>
          <w:rFonts w:ascii="宋体" w:hAnsi="宋体"/>
          <w:b/>
          <w:color w:val="auto"/>
          <w:spacing w:val="4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绩效评价结果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评价等级总体情况：90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含）分以上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共16</w:t>
      </w:r>
      <w:r>
        <w:rPr>
          <w:rFonts w:hint="eastAsia" w:ascii="宋体" w:hAnsi="宋体" w:eastAsia="宋体" w:cs="宋体"/>
          <w:sz w:val="28"/>
          <w:szCs w:val="28"/>
        </w:rPr>
        <w:t>家，占比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38.10</w:t>
      </w:r>
      <w:r>
        <w:rPr>
          <w:rFonts w:hint="eastAsia" w:ascii="宋体" w:hAnsi="宋体" w:eastAsia="宋体" w:cs="宋体"/>
          <w:sz w:val="28"/>
          <w:szCs w:val="28"/>
        </w:rPr>
        <w:t>%，80（含）-90分为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共20</w:t>
      </w:r>
      <w:r>
        <w:rPr>
          <w:rFonts w:hint="eastAsia" w:ascii="宋体" w:hAnsi="宋体" w:eastAsia="宋体" w:cs="宋体"/>
          <w:sz w:val="28"/>
          <w:szCs w:val="28"/>
        </w:rPr>
        <w:t>家，占比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47.62</w:t>
      </w:r>
      <w:r>
        <w:rPr>
          <w:rFonts w:hint="eastAsia" w:ascii="宋体" w:hAnsi="宋体" w:eastAsia="宋体" w:cs="宋体"/>
          <w:sz w:val="28"/>
          <w:szCs w:val="28"/>
        </w:rPr>
        <w:t>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Fonts w:hint="eastAsia" w:ascii="宋体" w:hAnsi="宋体" w:eastAsia="宋体" w:cs="宋体"/>
          <w:sz w:val="28"/>
          <w:szCs w:val="28"/>
        </w:rPr>
        <w:t>（含）-80分为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共6</w:t>
      </w:r>
      <w:r>
        <w:rPr>
          <w:rFonts w:hint="eastAsia" w:ascii="宋体" w:hAnsi="宋体" w:eastAsia="宋体" w:cs="宋体"/>
          <w:sz w:val="28"/>
          <w:szCs w:val="28"/>
        </w:rPr>
        <w:t>家，占比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14.29</w:t>
      </w:r>
      <w:r>
        <w:rPr>
          <w:rFonts w:hint="eastAsia" w:ascii="宋体" w:hAnsi="宋体" w:eastAsia="宋体" w:cs="宋体"/>
          <w:sz w:val="28"/>
          <w:szCs w:val="28"/>
        </w:rPr>
        <w:t>%；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0分以下为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</w:t>
      </w:r>
      <w:r>
        <w:rPr>
          <w:rFonts w:hint="eastAsia" w:ascii="宋体" w:hAnsi="宋体" w:eastAsia="宋体" w:cs="宋体"/>
          <w:sz w:val="28"/>
          <w:szCs w:val="28"/>
        </w:rPr>
        <w:t>0家，占比0%。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42家单位</w:t>
      </w:r>
      <w:r>
        <w:rPr>
          <w:rFonts w:hint="eastAsia" w:ascii="宋体" w:hAnsi="宋体" w:eastAsia="宋体" w:cs="宋体"/>
          <w:sz w:val="28"/>
          <w:szCs w:val="28"/>
        </w:rPr>
        <w:t>具体评分如下表：</w:t>
      </w:r>
    </w:p>
    <w:tbl>
      <w:tblPr>
        <w:tblStyle w:val="6"/>
        <w:tblW w:w="843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940"/>
        <w:gridCol w:w="1420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970" w:type="dxa"/>
            <w:tcBorders>
              <w:top w:val="single" w:color="000000" w:sz="12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94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评价单位名称</w:t>
            </w:r>
          </w:p>
        </w:tc>
        <w:tc>
          <w:tcPr>
            <w:tcW w:w="142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评价得分</w:t>
            </w:r>
          </w:p>
        </w:tc>
        <w:tc>
          <w:tcPr>
            <w:tcW w:w="110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评分等级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三亚市吉阳区财政局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88.46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三亚市吉阳区应急联动中心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91.11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三亚市吉阳区亚龙湾综合服务中心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90.47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中共三亚市吉阳区委统一战线工作部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91.49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三亚市吉阳区发展和改革委员会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68.46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三亚市吉阳区医疗保障局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88.97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三亚市吉阳区卫生健康委员会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88.04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三亚市综合行政执法局吉阳分局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88.67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中国人民政治协商会议三亚市吉阳区委员会办公室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76.12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中国共产主义青年团三亚市吉阳区委员会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中共三亚市吉阳区委组织部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77.32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三亚市吉阳区环卫所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92.03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三亚市吉阳区退役军人事务局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78.58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三亚市吉阳区审计局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81.84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三亚市吉阳区园林区绿地所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94.53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三亚市吉阳区政府办公室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80.48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三亚市吉阳区水务局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90.98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三亚市吉阳区统计局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88.30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三亚市吉阳区政务服务中心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85.37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三亚市吉阳区总工会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三亚市吉阳区教育局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三亚市吉阳区旅游和文化广电体育局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99.59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中共三亚市吉阳区委直属机关工作委员会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中共三亚市吉阳区委宣传部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82.35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三亚市吉阳区信息化服务中心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三亚市吉阳区区委办公室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三亚市吉阳区民政局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95.53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三亚市吉阳区商务与金融发展局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90.91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中国共产党三亚市吉阳区纪律检查委员会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70.52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中共三亚市吉阳区吉阳区委机构编制委员会办公室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95.15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中共三亚市吉阳区委政法委员会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77.75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三亚市吉阳区人民代表大会常务委员会办公室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81.33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三亚市吉阳区司法局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93.64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三亚市吉阳区应急管理局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87.22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三亚市吉阳区住房和城乡建设局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87.42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三亚市吉阳区人力资源和社会保障局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86.28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三亚市吉阳区农业农村局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102.33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三亚市吉阳区档案管理中心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89.08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三亚市吉阳区妇女联合会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88.31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三亚市吉阳区乡村振兴局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90.37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三亚市吉阳区项目推进服务中心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90.96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0" w:type="dxa"/>
            <w:tcBorders>
              <w:top w:val="dotted" w:color="000000" w:sz="4" w:space="0"/>
              <w:left w:val="nil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94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三亚市吉阳区行政审批服务局</w:t>
            </w:r>
          </w:p>
        </w:tc>
        <w:tc>
          <w:tcPr>
            <w:tcW w:w="142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83.81</w:t>
            </w:r>
          </w:p>
        </w:tc>
        <w:tc>
          <w:tcPr>
            <w:tcW w:w="110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评价总体结论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  <w:t>经评价，本次纳入绩效评价范围的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42家单位</w:t>
      </w:r>
      <w:r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  <w:t>基本能按预算绩效管理要求开展工作，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基本实现了部门履行职责</w:t>
      </w:r>
      <w:r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42家单位中，评价为</w:t>
      </w:r>
      <w:r>
        <w:rPr>
          <w:rFonts w:hint="default" w:ascii="宋体" w:hAnsi="宋体" w:eastAsia="宋体" w:cs="宋体"/>
          <w:bCs/>
          <w:sz w:val="28"/>
          <w:szCs w:val="28"/>
          <w:highlight w:val="none"/>
          <w:lang w:val="en-US" w:eastAsia="zh-CN"/>
        </w:rPr>
        <w:t>“优”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的单位共16家，能够很好地履行部门职责，预算绩效管理工作落实到位；评价为“良”的单位共20家，能够履行部门职责，预算绩效管理工作执行较好；评价为“中”的单位共6家，基本履行了部门职责，预算绩效管理工作执行一般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绩效评价汇总分析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评价内容主要围绕预算编制质量、预算执行管理、存量资金管理、三公经费管理、其他财政管理以及加分项（包括争取上级资金、重点项目储备、直达资金支出进度）这六个方面进行评价，评价得分采用百分制加加分事项。各项指标得分情况如下：</w:t>
      </w:r>
    </w:p>
    <w:tbl>
      <w:tblPr>
        <w:tblStyle w:val="6"/>
        <w:tblW w:w="8324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661"/>
        <w:gridCol w:w="181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720" w:type="dxa"/>
            <w:tcBorders>
              <w:top w:val="single" w:color="000000" w:sz="12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1661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标准分</w:t>
            </w:r>
          </w:p>
        </w:tc>
        <w:tc>
          <w:tcPr>
            <w:tcW w:w="1810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平均分</w:t>
            </w:r>
          </w:p>
        </w:tc>
        <w:tc>
          <w:tcPr>
            <w:tcW w:w="2133" w:type="dxa"/>
            <w:tcBorders>
              <w:top w:val="single" w:color="000000" w:sz="12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1、预算编制质量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13.76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76.46%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预算执行差异率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4.19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83.73%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年初预算到位率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项目储备率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4.58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2、预算执行管理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38.02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预算支出进度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16.23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81.17%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项目调剂频率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7.33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项目预算调剂率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14.46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96.43%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3、存量资金管理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存量资金规模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4、三公经费管理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9.12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三公经费预算控制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4.12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三公经费执行控制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5、其他财政管理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21.12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96.01%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固定资产管理情况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5.74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预算绩效管理情况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7.39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6、加分项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重点项目储备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直达资金支出进度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20" w:type="dxa"/>
            <w:tcBorders>
              <w:top w:val="dotted" w:color="000000" w:sz="4" w:space="0"/>
              <w:left w:val="nil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661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110.00</w:t>
            </w:r>
          </w:p>
        </w:tc>
        <w:tc>
          <w:tcPr>
            <w:tcW w:w="1810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dotted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87.20</w:t>
            </w:r>
          </w:p>
        </w:tc>
        <w:tc>
          <w:tcPr>
            <w:tcW w:w="2133" w:type="dxa"/>
            <w:tcBorders>
              <w:top w:val="dotted" w:color="000000" w:sz="4" w:space="0"/>
              <w:left w:val="dotted" w:color="000000" w:sz="4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Narrow" w:hAnsi="Arial Narrow" w:eastAsia="宋体" w:cs="Arial Narrow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79.27%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上述指标中，年初预算到位率、三公经费执行控制、预决算公开指标平均得分分别为100%、100%、99.97%，说明各单位在上述指标方面均执行到位。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预算调剂率、固定资产管理情况、预算绩效管理情况指标平均得分分别为96.43%、95.63%、92.34%，说明42家单位整体执行情况好，存在个别单位执行不到位的情况，如：项目预算调剂率指标中，区卫健委2022年度项目调剂金额较大，项目预算调剂率为106.03%，得分率仅为64.67%；固定资产管理情况指标中，有区财政局、区发改委、区环卫所、区政府办、区政府服务中心5家单位均存在账实不符情况，均扣2份，得分率仅为66.67%；预算绩效管理情况指标中，区妇女联合会2022年度项目自评率仅为66.67%，未严格按照预算绩效管理规定执行项目全部自评，得分率仅为79%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预算执行差异率、预算支出进度、存量资金规模、三公经费预算控制指标平均得分分别为83.73%、81.17%、80.09%、82.38%，说明42家单位基本存在单位执行效率不高的情况，如：区委组织部、区退役军人事务局、区委宣传部等，因单位的预算编制不够准确，导致预算执行差异率较大，加上单位的预算执行力不强，导致单位的预算支出进度、存量资金规模执行效率不高。三公经费预算控制主要系区发改委、区政府办、区委政法委3家单位因公需要调高三公经费预算，导致三公经费预算控制指标得分率均为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调剂频率指标平均得分为73.25%，说明42家单位整体项目调剂次数一般，存在多数单位调剂次数较多的情况，其中区退役军人事务局、区绿地所、区教育局、区纪委、区人大常委会、区住建局6家单位项目调剂次数均超标，得分率均为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项目储备率指标平均得分为57.20%，说明42家单位整体执行情况差，大多数单位储备项目不多，其中区统计局、区审计局、区政府服务中心、区妇女联合会、区档案管理中心、区纪委、团区委7家单位2022年度无项目储备，得分率均为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通过对吉阳区42家单位绩效评价结果进行分析，反映出如下好的方面：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各单位项目支出年初预算到位率100%，项目支出年初预算到位情况好。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各单位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严格按照文件规定的形式、时限、内容公开了预决算信息且公开内容完整，有利于提高预决算信息的公开透明度，更好地规范部门收支行为。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各单位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2022年度“三公”经费执行数小于年初预算数, 公用经费支出严格控制在预算范围内，反映单位能够从严从紧控制三公经费支出,三公经费支出控制好。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通过对吉阳区42家单位绩效评价结果进行分析，发现存在以下共性问题与个性问题：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共性问题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1、全年预算数与执行数存在差异，存在预算编制不合理、预算执行力度不强的情况。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2、项目预算执行力不强，导致存量资金闲置，未能充分发挥财政资金的使用效益。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3、项目预算编制不够准确，导致项目存在调剂次数频繁的情况。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4、项目储备率低，反映部门项目储备不足。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个性问题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固定资产存在账实不符情况。经评价组现场实地抽盘，发现区财政局、区发改委、区环卫所、区政府办、区政府服务中心5家单位均存在固定资产账实不符情况，固定资产管理意识有待加强。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项目调剂金额较大，项目预算编制不够准确。如：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区卫健委2022年度项目预算调剂率为106.03%，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调剂金额较大，反映单位项目预算编制金额有待准确。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项目自评率未达标。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预算绩效管理情况指标中，区妇女联合会2022年度项目自评率仅为66.67%，未严格按照预算绩效管理规定执行项目全部自评。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加强预算管理工作，提高预算的编制能力，量入为出，避免预算编制过大造成财政资金过剩。进一步增强支出责任，加大预算执行力度。科学合理制定各季度预算支出计划，合理安排预算支出，对各项目支出进度进行动态跟踪。对于预算实施进度偏慢、支出进度较低的项目，加强日常监管和重点监管，落实相关责任，把预算执行工作抓紧、抓实、抓好，确保各预算项目按期完成预算目标。同时，在年终前，对剩余较多且无法支付的预算经费，应及时向财政申请收回资金，以便进一步发挥资金效益，避免财政资金沉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加强新项目的建设，通过加强项目规划和发掘新的项目机会，提高项目储备率，以保证部门的持续发展。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对已经达到不能使用、报废情况的固定资产，应及时向上级反映，按照规定程序处置报废资产，更新固定资产台账，避免资产滞留导致后续资产管理中出现账实不符等问题。对新购的资产应及时入账并严格按照资产管理制度，对资产进行标识卡的编制、资产的分配及后续管理保养等工作，避免资产的闲置，落实固定资产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重视项目的自评工作，积极完成财政局下达的项目自评工作，加强对项目自评的管理，有利于财政监督项目资金使用情况，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提供财政资金使用效益。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2" w:firstLineChars="200"/>
        <w:textAlignment w:val="auto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附件1：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吉阳区2022年度部门整体支出绩效评价得分汇总表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723" w:right="1800" w:bottom="1440" w:left="1800" w:header="1077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decorative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  <w:between w:val="none" w:color="auto" w:sz="0" w:space="0"/>
      </w:pBdr>
      <w:snapToGrid w:val="0"/>
      <w:spacing w:line="240" w:lineRule="auto"/>
      <w:jc w:val="right"/>
      <w:outlineLvl w:val="9"/>
      <w:rPr>
        <w:rFonts w:hint="default" w:ascii="宋体" w:hAnsi="宋体" w:eastAsia="宋体" w:cs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7057756">
    <w:nsid w:val="02CE0B5C"/>
    <w:multiLevelType w:val="singleLevel"/>
    <w:tmpl w:val="02CE0B5C"/>
    <w:lvl w:ilvl="0" w:tentative="1">
      <w:start w:val="1"/>
      <w:numFmt w:val="decimal"/>
      <w:suff w:val="nothing"/>
      <w:lvlText w:val="%1、"/>
      <w:lvlJc w:val="left"/>
    </w:lvl>
  </w:abstractNum>
  <w:abstractNum w:abstractNumId="1142781557">
    <w:nsid w:val="441D7675"/>
    <w:multiLevelType w:val="singleLevel"/>
    <w:tmpl w:val="441D7675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85419612">
    <w:nsid w:val="4C9DF25C"/>
    <w:multiLevelType w:val="singleLevel"/>
    <w:tmpl w:val="4C9DF25C"/>
    <w:lvl w:ilvl="0" w:tentative="1">
      <w:start w:val="1"/>
      <w:numFmt w:val="decimal"/>
      <w:suff w:val="nothing"/>
      <w:lvlText w:val="%1、"/>
      <w:lvlJc w:val="left"/>
    </w:lvl>
  </w:abstractNum>
  <w:abstractNum w:abstractNumId="785433169">
    <w:nsid w:val="2ED0C251"/>
    <w:multiLevelType w:val="singleLevel"/>
    <w:tmpl w:val="2ED0C251"/>
    <w:lvl w:ilvl="0" w:tentative="1">
      <w:start w:val="1"/>
      <w:numFmt w:val="decimal"/>
      <w:suff w:val="nothing"/>
      <w:lvlText w:val="%1、"/>
      <w:lvlJc w:val="left"/>
    </w:lvl>
  </w:abstractNum>
  <w:abstractNum w:abstractNumId="77507715">
    <w:nsid w:val="049EAC83"/>
    <w:multiLevelType w:val="singleLevel"/>
    <w:tmpl w:val="049EAC83"/>
    <w:lvl w:ilvl="0" w:tentative="1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77507715"/>
  </w:num>
  <w:num w:numId="2">
    <w:abstractNumId w:val="47057756"/>
  </w:num>
  <w:num w:numId="3">
    <w:abstractNumId w:val="1142781557"/>
  </w:num>
  <w:num w:numId="4">
    <w:abstractNumId w:val="1285419612"/>
  </w:num>
  <w:num w:numId="5">
    <w:abstractNumId w:val="7854331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237A6E"/>
    <w:rsid w:val="01CC7C92"/>
    <w:rsid w:val="0328714A"/>
    <w:rsid w:val="03E05C76"/>
    <w:rsid w:val="04AB3B8E"/>
    <w:rsid w:val="06C158EB"/>
    <w:rsid w:val="07C5765D"/>
    <w:rsid w:val="083E11BD"/>
    <w:rsid w:val="08732C15"/>
    <w:rsid w:val="08B5322E"/>
    <w:rsid w:val="08F71A98"/>
    <w:rsid w:val="09646A02"/>
    <w:rsid w:val="0C085D6A"/>
    <w:rsid w:val="0C7B478E"/>
    <w:rsid w:val="0C831895"/>
    <w:rsid w:val="0CC779D3"/>
    <w:rsid w:val="0E0D58BA"/>
    <w:rsid w:val="0E567261"/>
    <w:rsid w:val="142C636E"/>
    <w:rsid w:val="145F04F1"/>
    <w:rsid w:val="156404B5"/>
    <w:rsid w:val="15806971"/>
    <w:rsid w:val="16557772"/>
    <w:rsid w:val="177D585E"/>
    <w:rsid w:val="18581E27"/>
    <w:rsid w:val="197B7B7C"/>
    <w:rsid w:val="19F33BB6"/>
    <w:rsid w:val="1B965141"/>
    <w:rsid w:val="1C281B11"/>
    <w:rsid w:val="1CC161ED"/>
    <w:rsid w:val="1D7C3EC2"/>
    <w:rsid w:val="1DBA2C3C"/>
    <w:rsid w:val="1E087E4C"/>
    <w:rsid w:val="1FFB1A16"/>
    <w:rsid w:val="20C77B4A"/>
    <w:rsid w:val="21BF0821"/>
    <w:rsid w:val="22407BB4"/>
    <w:rsid w:val="23C40371"/>
    <w:rsid w:val="24054516"/>
    <w:rsid w:val="2419690F"/>
    <w:rsid w:val="254A2AF8"/>
    <w:rsid w:val="25706A02"/>
    <w:rsid w:val="257162D7"/>
    <w:rsid w:val="25FA2770"/>
    <w:rsid w:val="261A071C"/>
    <w:rsid w:val="27383550"/>
    <w:rsid w:val="28546167"/>
    <w:rsid w:val="287F6F5C"/>
    <w:rsid w:val="28B906C0"/>
    <w:rsid w:val="297B5976"/>
    <w:rsid w:val="29C42E79"/>
    <w:rsid w:val="2A44220C"/>
    <w:rsid w:val="2B0D4CF3"/>
    <w:rsid w:val="2D241E80"/>
    <w:rsid w:val="2E41718E"/>
    <w:rsid w:val="2EFE507F"/>
    <w:rsid w:val="2F0A3A24"/>
    <w:rsid w:val="30DF2C8E"/>
    <w:rsid w:val="315947EF"/>
    <w:rsid w:val="31E502AC"/>
    <w:rsid w:val="323D5EBE"/>
    <w:rsid w:val="33552D94"/>
    <w:rsid w:val="34993154"/>
    <w:rsid w:val="34B61F58"/>
    <w:rsid w:val="35AB313F"/>
    <w:rsid w:val="379245B6"/>
    <w:rsid w:val="37CF580A"/>
    <w:rsid w:val="387463B2"/>
    <w:rsid w:val="39F94DC1"/>
    <w:rsid w:val="3A712BA9"/>
    <w:rsid w:val="3A8A3C6B"/>
    <w:rsid w:val="3B6C15C2"/>
    <w:rsid w:val="3B7A5A8D"/>
    <w:rsid w:val="3C3E2F5F"/>
    <w:rsid w:val="3D45031D"/>
    <w:rsid w:val="3D4E5423"/>
    <w:rsid w:val="3D5567B2"/>
    <w:rsid w:val="3D6764E5"/>
    <w:rsid w:val="3D7D7AB7"/>
    <w:rsid w:val="3D8175A7"/>
    <w:rsid w:val="3DC7543B"/>
    <w:rsid w:val="3F051B12"/>
    <w:rsid w:val="3F1D32FF"/>
    <w:rsid w:val="3F854A01"/>
    <w:rsid w:val="404623E2"/>
    <w:rsid w:val="41720FB5"/>
    <w:rsid w:val="418238EE"/>
    <w:rsid w:val="42AB6E74"/>
    <w:rsid w:val="439873F8"/>
    <w:rsid w:val="44C91833"/>
    <w:rsid w:val="454A4722"/>
    <w:rsid w:val="4800556C"/>
    <w:rsid w:val="48E72288"/>
    <w:rsid w:val="4AFA2747"/>
    <w:rsid w:val="4B7C315C"/>
    <w:rsid w:val="4B893ACB"/>
    <w:rsid w:val="4C7D53DD"/>
    <w:rsid w:val="4CEC2563"/>
    <w:rsid w:val="4DD86643"/>
    <w:rsid w:val="4E8A2033"/>
    <w:rsid w:val="4F93316A"/>
    <w:rsid w:val="53A2397B"/>
    <w:rsid w:val="549E2395"/>
    <w:rsid w:val="56130B60"/>
    <w:rsid w:val="5661779E"/>
    <w:rsid w:val="56B23ED5"/>
    <w:rsid w:val="583B7EFB"/>
    <w:rsid w:val="583F5C3D"/>
    <w:rsid w:val="593E5EF4"/>
    <w:rsid w:val="5A3E495C"/>
    <w:rsid w:val="5ABA15AB"/>
    <w:rsid w:val="5B9B5880"/>
    <w:rsid w:val="5CBB785C"/>
    <w:rsid w:val="5E0C4813"/>
    <w:rsid w:val="60340051"/>
    <w:rsid w:val="617A7CE6"/>
    <w:rsid w:val="61CD250B"/>
    <w:rsid w:val="628250A4"/>
    <w:rsid w:val="638939B3"/>
    <w:rsid w:val="642D7291"/>
    <w:rsid w:val="64590086"/>
    <w:rsid w:val="65293EFC"/>
    <w:rsid w:val="65B732B6"/>
    <w:rsid w:val="66815672"/>
    <w:rsid w:val="67582877"/>
    <w:rsid w:val="68701E42"/>
    <w:rsid w:val="695452C0"/>
    <w:rsid w:val="6A154A4F"/>
    <w:rsid w:val="6B3B6738"/>
    <w:rsid w:val="6D323B6A"/>
    <w:rsid w:val="6D3C22F3"/>
    <w:rsid w:val="6DFB3F5C"/>
    <w:rsid w:val="6E9F6FDD"/>
    <w:rsid w:val="6EA2087C"/>
    <w:rsid w:val="6EF235B1"/>
    <w:rsid w:val="72DD6326"/>
    <w:rsid w:val="73467A28"/>
    <w:rsid w:val="74147B26"/>
    <w:rsid w:val="74AE3AD6"/>
    <w:rsid w:val="75DC0B17"/>
    <w:rsid w:val="77613082"/>
    <w:rsid w:val="77B91110"/>
    <w:rsid w:val="7A7B26AD"/>
    <w:rsid w:val="7A8F43AA"/>
    <w:rsid w:val="7AB4796D"/>
    <w:rsid w:val="7D513B99"/>
    <w:rsid w:val="7E1F3C97"/>
    <w:rsid w:val="7E4B4A8C"/>
    <w:rsid w:val="7EA81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qFormat/>
    <w:uiPriority w:val="99"/>
    <w:rPr>
      <w:rFonts w:ascii="仿宋_GB2312" w:hAnsi="新宋体" w:eastAsia="仿宋_GB2312"/>
      <w:color w:val="0000FF"/>
      <w:sz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2023-11-09T02:26:00Z</dcterms:created>
  <dc:creator>chajing</dc:creator>
  <cp:lastModifiedBy>123</cp:lastModifiedBy>
  <dcterms:modified xsi:type="dcterms:W3CDTF">2024-05-21T01:25:23Z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  <property fmtid="{D5CDD505-2E9C-101B-9397-08002B2CF9AE}" pid="3" name="ICV">
    <vt:lpwstr>1030463A05374E4B9CD566F4F8D06A54_12</vt:lpwstr>
  </property>
</Properties>
</file>